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Diseño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características de módulo a implementar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acoplamiento con otros módulos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interacciones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61nLC2zId9NTkwq9cPNiyCT1Bg==">AMUW2mV+4A8IHROK1W82rtyhYb6X7oArPe53foB29rOpdI78LKGiCP1oOqyW1/lCA6hdhtDLFyfGnbLVooOPxpRgUdg/D50+aNC44Hco91ZEoq9lZ4xL86yu0F234tHP+UVUDtKjJbWA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2020-11-07T01:22:00Z</dcterms:created>
</cp:coreProperties>
</file>