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Desarrollo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 de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Mal manejo de las claves foráneas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 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Implementación de las funcionalidades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Implementación de las medidas de seguridad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Se utilizó de malas prácticas al momento de crear las claves foráneas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5B7358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B7358"/>
  </w:style>
  <w:style w:type="paragraph" w:styleId="Piedepgina">
    <w:name w:val="footer"/>
    <w:basedOn w:val="Normal"/>
    <w:link w:val="PiedepginaCar"/>
    <w:uiPriority w:val="99"/>
    <w:unhideWhenUsed w:val="1"/>
    <w:rsid w:val="005B7358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B735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k/H06J4FsU8g4ZM480HMqMIQug==">AMUW2mW/++7ZtssFxQHYGJ2H01YXfZBgAsBXvEVEJZIuwSy0TK4LY51xOgz3yaBAlYk4DzEsSRj2OHB6zOnIjHDChFhIX6TtuUpvup97zOp8AUX0zKRmqx8=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2020-11-07T01:17:00Z</dcterms:created>
</cp:coreProperties>
</file>