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Planning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Planning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Cambio de responsable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Recopilación de información acerca de la implementación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la estructura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Creación del prototipo del módulo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center" w:pos="1115"/>
              </w:tabs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ab/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 realizó un nuevo prototipo y el evaluador (Kath Cc) aprobó el prototipo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9s+8YmpKevg1F0OWaSj1vF30A==">AMUW2mVoq9oWr9WQKWrEpkRnv78qVYEWNO2AIB3ceeK2OsjhPWooNkaXbcXJAcS9vJUndkb6uYbrTiEfoFeFGMv7o74nYFDW78pHVB7+l/CrHzfqVXYBrYA=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2020-11-07T02:17:00Z</dcterms:created>
</cp:coreProperties>
</file>