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Briefing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Briefing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G-GAP-CCR-0001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Fallos Detectados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Reglas correctivas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fallos detectados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Numero de Incumplimiento de Normas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Reglas correctivas aplicadas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detalles del producto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alcance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tecnologías a usar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contenidos y recursos incluidos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7" w:type="default"/>
      <w:pgSz w:h="16834" w:w="11909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Lt3gilOerdyzEzVpfOtLpN+KPg==">AMUW2mW8FhYYyJTTfcq3k5HnC5Smskr6TFrOHfjfZLbd/HIIb78+/JAq/b4KOd/+G5f7zXALQCehm6GMxEXAwvVsk9V91QiJRw5vIESBOIHX+EEIyBBCk0M=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2020-11-07T04:59:00Z</dcterms:created>
</cp:coreProperties>
</file>