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Diseño del producto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 del producto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G-DP-CCR-0001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colorimetría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diseño por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6VK0F2NUt3beovb6L+XUA2cpA==">AMUW2mUfJD8lSkCriU1MSjJAuZp3QQbLKczD1IV65UHb4HsDtrogImN3t4FkCV66+QD25Sm/etlqhIq0IOhRAJu9jh1BtNJ7if4p9gucjztBLqyw7Ncq49k=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