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right="-1316.4566929133848" w:hanging="1417.3228346456694"/>
        <w:rPr>
          <w:shd w:fill="0b5394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65.0" w:type="dxa"/>
        <w:jc w:val="left"/>
        <w:tblInd w:w="-1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5"/>
        <w:gridCol w:w="1155"/>
        <w:gridCol w:w="2205"/>
        <w:tblGridChange w:id="0">
          <w:tblGrid>
            <w:gridCol w:w="8505"/>
            <w:gridCol w:w="1155"/>
            <w:gridCol w:w="2205"/>
          </w:tblGrid>
        </w:tblGridChange>
      </w:tblGrid>
      <w:tr>
        <w:trPr>
          <w:trHeight w:val="2115" w:hRule="atLeast"/>
        </w:trPr>
        <w:tc>
          <w:tcPr>
            <w:tcBorders>
              <w:right w:color="0b5394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Roboto Black" w:cs="Roboto Black" w:eastAsia="Roboto Black" w:hAnsi="Roboto Black"/>
                <w:color w:val="ffffff"/>
                <w:sz w:val="108"/>
                <w:szCs w:val="108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ffffff"/>
                <w:sz w:val="108"/>
                <w:szCs w:val="108"/>
                <w:rtl w:val="0"/>
              </w:rPr>
              <w:t xml:space="preserve">Kusayki</w:t>
            </w:r>
            <w:r w:rsidDel="00000000" w:rsidR="00000000" w:rsidRPr="00000000">
              <w:rPr>
                <w:rFonts w:ascii="Roboto Black" w:cs="Roboto Black" w:eastAsia="Roboto Black" w:hAnsi="Roboto Black"/>
                <w:color w:val="ffffff"/>
                <w:sz w:val="108"/>
                <w:szCs w:val="108"/>
                <w:rtl w:val="0"/>
              </w:rPr>
              <w:t xml:space="preserve"> Box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720" w:firstLine="72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Parámetros de Cumplimiento:  Distribucion de producto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8"/>
          <w:szCs w:val="28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</w:p>
    <w:tbl>
      <w:tblPr>
        <w:tblStyle w:val="Table2"/>
        <w:tblW w:w="11415.0" w:type="dxa"/>
        <w:jc w:val="left"/>
        <w:tblInd w:w="-10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2520"/>
        <w:gridCol w:w="4440"/>
        <w:tblGridChange w:id="0">
          <w:tblGrid>
            <w:gridCol w:w="4455"/>
            <w:gridCol w:w="2520"/>
            <w:gridCol w:w="4440"/>
          </w:tblGrid>
        </w:tblGridChange>
      </w:tblGrid>
      <w:t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Roboto" w:cs="Roboto" w:eastAsia="Roboto" w:hAnsi="Roboto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8"/>
                <w:szCs w:val="28"/>
                <w:rtl w:val="0"/>
              </w:rPr>
              <w:t xml:space="preserve">Nombre de parámetro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rFonts w:ascii="Roboto" w:cs="Roboto" w:eastAsia="Roboto" w:hAnsi="Roboto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6"/>
                <w:szCs w:val="26"/>
                <w:rtl w:val="0"/>
              </w:rPr>
              <w:t xml:space="preserve">Gravedad del incumplimiento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rFonts w:ascii="Roboto" w:cs="Roboto" w:eastAsia="Roboto" w:hAnsi="Roboto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6"/>
                <w:szCs w:val="26"/>
                <w:rtl w:val="0"/>
              </w:rPr>
              <w:t xml:space="preserve">Estado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Actualización de Courier del Estado del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Debe estar constantemente actualizado por parte del courier el estado del producto, se debe poder ver su estado en todo momento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Elección de medio de envío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medio de envío debe ser via maritima o aerea dependiendo sea el caso</w:t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Sincronización de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Crítico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tracking tanto de la empresa de envío como el de la página principal deben estar correctamente sincronizados</w:t>
              <w:tab/>
              <w:tab/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f4GpIw4l7MT9e2vjdJ83Krf3qQ==">AMUW2mVGN43N+hEV96EcoSdOLf4f+nRW/PY6f2y/fGme96kU7jfP8eG+6h6coOEUO72F2XihbFh2vffWT3NrNLSErbXsKdoNp349Qq8RJYhy/BIe8DTudyQ=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