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right="-1316.4566929133848" w:hanging="1417.3228346456694"/>
        <w:rPr>
          <w:shd w:fill="0b5394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865.0" w:type="dxa"/>
        <w:jc w:val="left"/>
        <w:tblInd w:w="-13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5"/>
        <w:gridCol w:w="1155"/>
        <w:gridCol w:w="2205"/>
        <w:tblGridChange w:id="0">
          <w:tblGrid>
            <w:gridCol w:w="8505"/>
            <w:gridCol w:w="1155"/>
            <w:gridCol w:w="2205"/>
          </w:tblGrid>
        </w:tblGridChange>
      </w:tblGrid>
      <w:tr>
        <w:trPr>
          <w:trHeight w:val="2115" w:hRule="atLeast"/>
        </w:trPr>
        <w:tc>
          <w:tcPr>
            <w:tcBorders>
              <w:right w:color="0b5394" w:space="0" w:sz="8" w:val="single"/>
            </w:tcBorders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Roboto Black" w:cs="Roboto Black" w:eastAsia="Roboto Black" w:hAnsi="Roboto Black"/>
                <w:color w:val="ffffff"/>
                <w:sz w:val="108"/>
                <w:szCs w:val="108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color w:val="ffffff"/>
                <w:sz w:val="108"/>
                <w:szCs w:val="108"/>
                <w:rtl w:val="0"/>
              </w:rPr>
              <w:t xml:space="preserve">Kusayki</w:t>
            </w:r>
            <w:r w:rsidDel="00000000" w:rsidR="00000000" w:rsidRPr="00000000">
              <w:rPr>
                <w:rFonts w:ascii="Roboto Black" w:cs="Roboto Black" w:eastAsia="Roboto Black" w:hAnsi="Roboto Black"/>
                <w:color w:val="ffffff"/>
                <w:sz w:val="108"/>
                <w:szCs w:val="108"/>
                <w:rtl w:val="0"/>
              </w:rPr>
              <w:t xml:space="preserve"> Box</w:t>
            </w:r>
          </w:p>
        </w:tc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ind w:left="720" w:firstLine="720"/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28"/>
          <w:szCs w:val="28"/>
          <w:rtl w:val="0"/>
        </w:rPr>
        <w:t xml:space="preserve">Parámetros de Cumplimiento:  Envios x Bundle</w:t>
      </w:r>
      <w:r w:rsidDel="00000000" w:rsidR="00000000" w:rsidRPr="00000000">
        <w:rPr>
          <w:rFonts w:ascii="Roboto" w:cs="Roboto" w:eastAsia="Roboto" w:hAnsi="Roboto"/>
          <w:b w:val="1"/>
          <w:color w:val="434343"/>
          <w:sz w:val="28"/>
          <w:szCs w:val="28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</w:r>
    </w:p>
    <w:tbl>
      <w:tblPr>
        <w:tblStyle w:val="Table2"/>
        <w:tblW w:w="11415.0" w:type="dxa"/>
        <w:jc w:val="left"/>
        <w:tblInd w:w="-10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55"/>
        <w:gridCol w:w="2520"/>
        <w:gridCol w:w="4440"/>
        <w:tblGridChange w:id="0">
          <w:tblGrid>
            <w:gridCol w:w="4455"/>
            <w:gridCol w:w="2520"/>
            <w:gridCol w:w="4440"/>
          </w:tblGrid>
        </w:tblGridChange>
      </w:tblGrid>
      <w:t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76" w:lineRule="auto"/>
              <w:jc w:val="center"/>
              <w:rPr>
                <w:rFonts w:ascii="Roboto" w:cs="Roboto" w:eastAsia="Roboto" w:hAnsi="Roboto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8"/>
                <w:szCs w:val="28"/>
                <w:rtl w:val="0"/>
              </w:rPr>
              <w:t xml:space="preserve">Nombre de parámetro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76" w:lineRule="auto"/>
              <w:jc w:val="center"/>
              <w:rPr>
                <w:rFonts w:ascii="Roboto" w:cs="Roboto" w:eastAsia="Roboto" w:hAnsi="Roboto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6"/>
                <w:szCs w:val="26"/>
                <w:rtl w:val="0"/>
              </w:rPr>
              <w:t xml:space="preserve">Gravedad del incumplimiento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76" w:lineRule="auto"/>
              <w:jc w:val="center"/>
              <w:rPr>
                <w:rFonts w:ascii="Roboto" w:cs="Roboto" w:eastAsia="Roboto" w:hAnsi="Roboto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6"/>
                <w:szCs w:val="26"/>
                <w:rtl w:val="0"/>
              </w:rPr>
              <w:t xml:space="preserve">Estado de aceptación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Armado de bundle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Crítico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76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El paquete se arma siguiendo las estipulaciones de membresía premium e incluye los objetos adicionales correspondientes a dicha membresía.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Actualización de puntos de comprador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Crítico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Se actualiza en el sistema la cantidad de puntos acumuladas del comprador por cada transacción que realice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Aplicación del descuento x bundle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Crítico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Se realiza un descuento al momento de realizar la compra por el tipo de suscripción del cliente</w:t>
              <w:tab/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Actualización de stocks e inventario productos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Crítico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Estado de aceptación: Se actualizan los inventarios de stock del producto vendido</w:t>
            </w:r>
          </w:p>
        </w:tc>
      </w:tr>
    </w:tbl>
    <w:p w:rsidR="00000000" w:rsidDel="00000000" w:rsidP="00000000" w:rsidRDefault="00000000" w:rsidRPr="00000000" w14:paraId="00000017">
      <w:pPr>
        <w:spacing w:line="276" w:lineRule="auto"/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Black">
    <w:embedBold w:fontKey="{00000000-0000-0000-0000-000000000000}" r:id="rId1" w:subsetted="0"/>
    <w:embedBol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UvLuguBdcMOMlYiCewE127r7gQ==">AMUW2mXhe7L9xy4/JQ41yjrYuhsifR5lI4rCGmTRHzTdpj/BDKTBsMTN6As2ZIukKBhKlfP+g8rEAWY2NiySmRrMcNFkLNczNoOBjHgJp3csaxkVhbRFWmM=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