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Gestión de envíos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Gestión de envíos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G-GE-CCR-0001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Estado de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medios de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con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transportista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2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w8tArPF77YTDUvkB323rTLEvg==">AMUW2mVtlTI6xTEY9NEncST9RdteW12R0MHzmBLI/qPGIqHjxNfGKVPmg94WFpcDQ5jbCrmeVVI5iIQ2W0S4B3NtxNpEoOOxkweZV4H9kCDR7jVCuUeQ5nw=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