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Gestión de pagos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de pasarela de pago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deberá mostrar el estado de la pasarela de pago, deberá lanzar las respectivas alertas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Cambio de moneda extranjera 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cambio deberá estar constantemente actualizado al tipo de cambio actual y respectivo de la moneda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fondos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fondos de la empresa deberán estar constantemente actualizado con las cuentas bancarias</w:t>
              <w:tab/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zcCYNBhONJGFXDxTS0QUHJ8sg==">AMUW2mX+qRwxdlX2UIagsqWPbSKxhnE3UaPgyPWb0VYFrql+PYNSTn2Qcg2JabBbnCsoFfhSX11FwdoYk2k8vA9OZ16DU4hWkp+wP71aJM58Q2buceHzquk=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