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color w:val="666666"/>
          <w:sz w:val="18"/>
        </w:rPr>
        <w:t>中软国际  |  产品战略发布</w:t>
      </w:r>
    </w:p>
    <w:p>
      <w:pPr>
        <w:spacing w:before="400" w:after="80"/>
        <w:jc w:val="center"/>
      </w:pPr>
      <w:r>
        <w:rPr>
          <w:rFonts w:ascii="微软雅黑" w:hAnsi="微软雅黑" w:eastAsia="微软雅黑"/>
          <w:b/>
          <w:color w:val="003D79"/>
          <w:sz w:val="64"/>
        </w:rPr>
        <w:t>allm²eta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002B5C"/>
          <w:sz w:val="36"/>
        </w:rPr>
        <w:t>数智时代企业智能操作系统</w:t>
      </w:r>
    </w:p>
    <w:p>
      <w:pPr>
        <w:spacing w:after="200"/>
        <w:jc w:val="center"/>
      </w:pPr>
      <w:r>
        <w:rPr>
          <w:rFonts w:ascii="微软雅黑" w:hAnsi="微软雅黑" w:eastAsia="微软雅黑"/>
          <w:color w:val="0078D4"/>
          <w:sz w:val="22"/>
        </w:rPr>
        <w:t>Enterprise Intelligent Operating System (EOS)</w:t>
      </w:r>
    </w:p>
    <w:p>
      <w:pPr>
        <w:spacing w:line="432" w:lineRule="auto" w:before="240" w:after="240"/>
        <w:ind w:left="850" w:right="850"/>
        <w:jc w:val="center"/>
        <w:pBdr>
          <w:left w:val="single" w:sz="18" w:space="12" w:color="003D79"/>
        </w:pBdr>
      </w:pPr>
      <w:r>
        <w:rPr>
          <w:rFonts w:ascii="微软雅黑" w:hAnsi="微软雅黑" w:eastAsia="微软雅黑"/>
          <w:i/>
          <w:color w:val="003D79"/>
          <w:sz w:val="22"/>
        </w:rPr>
        <w:t>从"记录过去的账本"到"驱动未来的智能生命体"</w:t>
        <w:br/>
        <w:t>—— 企业核心系统的范式革命</w:t>
      </w:r>
    </w:p>
    <w:p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</w:t>
      </w:r>
    </w:p>
    <w:p>
      <w:pPr>
        <w:spacing w:before="160" w:after="160"/>
      </w:pPr>
    </w:p>
    <w:p>
      <w:pPr>
        <w:pStyle w:val="Heading1"/>
        <w:jc w:val="left"/>
      </w:pPr>
      <w:r>
        <w:rPr>
          <w:rFonts w:ascii="微软雅黑" w:hAnsi="微软雅黑" w:eastAsia="微软雅黑"/>
          <w:color w:val="003D79"/>
        </w:rPr>
        <w:t>引言：站在时代的战略岔路口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当数字化与人工智能全面重构商业格局，企业正面临一个根本性的战略抉择：是继续沿用基于20世纪管理思想与技术架构的传统系统，在旧有范式内进行有限优化？还是彻底转向，拥抱一个为智能时代原生设计、具备自主进化能力的新一代业务操作系统？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以ERP为代表的传统信息管理系统，其深层局限已日益显现——固化的流程难以响应动态市场，封闭的架构无法容纳虚实融合的业务形态，滞后的数据响应无法支撑实时决策。企业需要的不是对旧系统的修补，而是一场从"流程自动化"到"智能业务操作系统"的范式革命。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/>
          <w:color w:val="003D79"/>
          <w:sz w:val="21"/>
        </w:rPr>
        <w:t>allm²eta应运而生</w:t>
      </w:r>
      <w:r>
        <w:rPr>
          <w:rFonts w:ascii="微软雅黑" w:hAnsi="微软雅黑" w:eastAsia="微软雅黑"/>
          <w:b w:val="0"/>
          <w:sz w:val="21"/>
        </w:rPr>
        <w:t>，正是为这一时代命题提供的战略性答案。</w:t>
      </w:r>
    </w:p>
    <w:p>
      <w:pPr>
        <w:spacing w:before="80" w:after="80"/>
      </w:pPr>
    </w:p>
    <w:p>
      <w:pPr>
        <w:pStyle w:val="Heading1"/>
        <w:jc w:val="left"/>
      </w:pPr>
      <w:r>
        <w:rPr>
          <w:rFonts w:ascii="微软雅黑" w:hAnsi="微软雅黑" w:eastAsia="微软雅黑"/>
          <w:color w:val="003D79"/>
        </w:rPr>
        <w:t>allm²eta：重新定义企业核心系统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allm²eta是中软国际面向智能时代推出的统一产品品牌与战略，定位为企业智能业务操作系统（Enterprise Intelligent Operating System, EOS）。它不是传统ERP的替代品，而是一个以AI为核心设计原则、三位一体协同的新一代企业核心系统。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其核心目标：推动企业核心系统完成从"记录系统"到"行动系统"的根本跃迁——以业务本体为认知框架、智能体应用网络为执行神经，实现对真实世界业务的实时感知、自主决策、闭环执行。</w:t>
      </w:r>
    </w:p>
    <w:p>
      <w:pPr>
        <w:spacing w:before="80" w:after="80"/>
      </w:pPr>
    </w:p>
    <w:p>
      <w:pPr>
        <w:pStyle w:val="Heading1"/>
        <w:jc w:val="left"/>
      </w:pPr>
      <w:r>
        <w:rPr>
          <w:rFonts w:ascii="微软雅黑" w:hAnsi="微软雅黑" w:eastAsia="微软雅黑"/>
          <w:color w:val="003D79"/>
        </w:rPr>
        <w:t>三位一体核心架构：Agentic × LLM × Meta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AI原生的未来企业并非由单一技术驱动，而是构建在三位一体的核心架构之上：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3D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架构层</w:t>
            </w:r>
          </w:p>
        </w:tc>
        <w:tc>
          <w:tcPr>
            <w:tcW w:type="dxa" w:w="1984"/>
            <w:shd w:fill="003D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核心角色</w:t>
            </w:r>
          </w:p>
        </w:tc>
        <w:tc>
          <w:tcPr>
            <w:tcW w:type="dxa" w:w="5669"/>
            <w:shd w:fill="003D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能力说明</w:t>
            </w:r>
          </w:p>
        </w:tc>
      </w:tr>
      <w:tr>
        <w:tc>
          <w:tcPr>
            <w:tcW w:type="dxa" w:w="1701"/>
            <w:shd w:fill="EBF5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3D79"/>
                <w:sz w:val="19"/>
              </w:rPr>
              <w:t>Agentic</w:t>
            </w:r>
          </w:p>
        </w:tc>
        <w:tc>
          <w:tcPr>
            <w:tcW w:type="dxa" w:w="1984"/>
            <w:shd w:fill="EBF5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自主执行引擎</w:t>
            </w:r>
          </w:p>
        </w:tc>
        <w:tc>
          <w:tcPr>
            <w:tcW w:type="dxa" w:w="5669"/>
            <w:shd w:fill="EBF5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智能体作为企业的"数字员工"，基于指令与授权自主感知、决策、执行复杂业务流程，实现端到端智能自动化闭环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3D79"/>
                <w:sz w:val="19"/>
              </w:rPr>
              <w:t>LLM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认知理解引擎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大语言模型赋予系统理解自然语义、处理非结构化知识、进行逻辑推演的能力，将海量知识资产转化为可行动智能</w:t>
            </w:r>
          </w:p>
        </w:tc>
      </w:tr>
      <w:tr>
        <w:tc>
          <w:tcPr>
            <w:tcW w:type="dxa" w:w="1701"/>
            <w:shd w:fill="EBF5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3D79"/>
                <w:sz w:val="19"/>
              </w:rPr>
              <w:t>Meta</w:t>
            </w:r>
          </w:p>
        </w:tc>
        <w:tc>
          <w:tcPr>
            <w:tcW w:type="dxa" w:w="1984"/>
            <w:shd w:fill="EBF5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企业数字基因</w:t>
            </w:r>
          </w:p>
        </w:tc>
        <w:tc>
          <w:tcPr>
            <w:tcW w:type="dxa" w:w="5669"/>
            <w:shd w:fill="EBF5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元数据升维为业务本体，定义业务流程、商业规则与组织关系的本质逻辑，成为机器可理解、可计算、可演化的"企业DNA"</w:t>
            </w:r>
          </w:p>
        </w:tc>
      </w:tr>
    </w:tbl>
    <w:p>
      <w:pPr>
        <w:spacing w:before="160" w:after="160"/>
      </w:pPr>
    </w:p>
    <w:p>
      <w:pPr>
        <w:pStyle w:val="Heading1"/>
        <w:jc w:val="left"/>
      </w:pPr>
      <w:r>
        <w:rPr>
          <w:rFonts w:ascii="微软雅黑" w:hAnsi="微软雅黑" w:eastAsia="微软雅黑"/>
          <w:color w:val="003D79"/>
        </w:rPr>
        <w:t>三层产品架构：基座 — 认知 — 执行</w:t>
      </w:r>
    </w:p>
    <w:p>
      <w:pPr>
        <w:spacing w:line="432" w:lineRule="auto" w:after="160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allm²eta由三大核心产品构成，形成"基座—认知—执行"纵向三层赋能体系，以递进协同的方式支撑企业构建智能数字原生能力。</w:t>
      </w:r>
    </w:p>
    <w:p>
      <w:pPr>
        <w:spacing w:before="80" w:after="80"/>
      </w:pPr>
    </w:p>
    <w:p>
      <w:pPr>
        <w:pStyle w:val="Heading2"/>
        <w:jc w:val="left"/>
      </w:pPr>
      <w:r>
        <w:rPr>
          <w:rFonts w:ascii="微软雅黑" w:hAnsi="微软雅黑" w:eastAsia="微软雅黑"/>
          <w:color w:val="0078D4"/>
        </w:rPr>
        <w:t>基座层：allm²eta ECore</w:t>
      </w:r>
    </w:p>
    <w:p>
      <w:pPr>
        <w:spacing w:line="432" w:lineRule="auto" w:after="160"/>
        <w:jc w:val="both"/>
      </w:pPr>
      <w:r>
        <w:rPr>
          <w:rFonts w:ascii="微软雅黑" w:hAnsi="微软雅黑" w:eastAsia="微软雅黑"/>
          <w:b w:val="0"/>
          <w:color w:val="666666"/>
          <w:sz w:val="21"/>
        </w:rPr>
        <w:t>—— 稳定可靠的数据与业务基座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allm²eta ECore是以元数据为基础打造的集团级核心经营管理系统，作为企业核心经营数据的统一入口与安全底座。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功能覆盖：</w:t>
      </w:r>
      <w:r>
        <w:rPr>
          <w:rFonts w:ascii="微软雅黑" w:hAnsi="微软雅黑" w:eastAsia="微软雅黑"/>
          <w:sz w:val="20"/>
        </w:rPr>
        <w:t>全面承载传统ERP的业财一体化管理功能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架构突破：</w:t>
      </w:r>
      <w:r>
        <w:rPr>
          <w:rFonts w:ascii="微软雅黑" w:hAnsi="微软雅黑" w:eastAsia="微软雅黑"/>
          <w:sz w:val="20"/>
        </w:rPr>
        <w:t>通过元数据开放架构与业务本体预埋接口，构建高质量、实时、可信的数据环境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核心价值：</w:t>
      </w:r>
      <w:r>
        <w:rPr>
          <w:rFonts w:ascii="微软雅黑" w:hAnsi="微软雅黑" w:eastAsia="微软雅黑"/>
          <w:sz w:val="20"/>
        </w:rPr>
        <w:t>从"记录系统"跃迁为"智能业务平台"，为上层提供结构化、标准化、可语义化的数据供给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战略意义：</w:t>
      </w:r>
      <w:r>
        <w:rPr>
          <w:rFonts w:ascii="微软雅黑" w:hAnsi="微软雅黑" w:eastAsia="微软雅黑"/>
          <w:sz w:val="20"/>
        </w:rPr>
        <w:t>无此基座，智能无从依附。ECore是整个智能体系的数据起点</w:t>
      </w:r>
    </w:p>
    <w:p>
      <w:pPr>
        <w:spacing w:before="80" w:after="80"/>
      </w:pPr>
    </w:p>
    <w:p>
      <w:pPr>
        <w:pStyle w:val="Heading2"/>
        <w:jc w:val="left"/>
      </w:pPr>
      <w:r>
        <w:rPr>
          <w:rFonts w:ascii="微软雅黑" w:hAnsi="微软雅黑" w:eastAsia="微软雅黑"/>
          <w:color w:val="0078D4"/>
        </w:rPr>
        <w:t>认知与行动层：allm²eta Ontology</w:t>
      </w:r>
    </w:p>
    <w:p>
      <w:pPr>
        <w:spacing w:line="432" w:lineRule="auto" w:after="160"/>
        <w:jc w:val="both"/>
      </w:pPr>
      <w:r>
        <w:rPr>
          <w:rFonts w:ascii="微软雅黑" w:hAnsi="微软雅黑" w:eastAsia="微软雅黑"/>
          <w:b w:val="0"/>
          <w:color w:val="666666"/>
          <w:sz w:val="21"/>
        </w:rPr>
        <w:t>—— 可行动的业务本体与智能演进中枢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allm²eta Ontology将ECore提供的原始业务数据与企业沉淀的隐性知识，转化为可计算、可演化、可推理的结构化业务本体模型。与传统的静态数据建模不同，allm²eta Ontology是一套"可行动的本体（Actionable Ontology）"——它不仅定义世界是什么，更定义了可以对世界做什么，从而成为智能体感知与行动的统一操作界面。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本质定义：</w:t>
      </w:r>
      <w:r>
        <w:rPr>
          <w:rFonts w:ascii="微软雅黑" w:hAnsi="微软雅黑" w:eastAsia="微软雅黑"/>
          <w:sz w:val="20"/>
        </w:rPr>
        <w:t>企业真实运营逻辑的动态语义操作系统，是认知与行动的统一载体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双元核心：</w:t>
      </w:r>
      <w:r>
        <w:rPr>
          <w:rFonts w:ascii="微软雅黑" w:hAnsi="微软雅黑" w:eastAsia="微软雅黑"/>
          <w:sz w:val="20"/>
        </w:rPr>
        <w:t>以"对象（Object）"建模业务实体及其关系，以"行动（Action）"定义可对实体执行的操作。Object描述"世界是什么"，Action定义"可以做什么"——两者结合，使本体天然具备可执行性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可行动设计：</w:t>
      </w:r>
      <w:r>
        <w:rPr>
          <w:rFonts w:ascii="微软雅黑" w:hAnsi="微软雅黑" w:eastAsia="微软雅黑"/>
          <w:sz w:val="20"/>
        </w:rPr>
        <w:t>每个Action包含前置条件、业务规则、权限约束与副作用定义，智能体可直接调用Action执行业务操作，无需额外的流程编排层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与Agentic双向连接：</w:t>
      </w:r>
      <w:r>
        <w:rPr>
          <w:rFonts w:ascii="微软雅黑" w:hAnsi="微软雅黑" w:eastAsia="微软雅黑"/>
          <w:sz w:val="20"/>
        </w:rPr>
        <w:t>Ontology为Agentic提供业务语义、可执行操作与约束规则；Agentic的执行结果实时回写Ontology，更新对象状态、触发新的Action，形成"认知—行动—反馈"的实时闭环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战略意义：</w:t>
      </w:r>
      <w:r>
        <w:rPr>
          <w:rFonts w:ascii="微软雅黑" w:hAnsi="微软雅黑" w:eastAsia="微软雅黑"/>
          <w:sz w:val="20"/>
        </w:rPr>
        <w:t>无此可行动本体，智能仅为浅层计算。Ontology是智能体系的认知中枢，也是Agentic的行动地图与操作接口</w:t>
      </w:r>
    </w:p>
    <w:p>
      <w:pPr>
        <w:spacing w:before="80" w:after="80"/>
      </w:pPr>
    </w:p>
    <w:p>
      <w:pPr>
        <w:pStyle w:val="Heading2"/>
        <w:jc w:val="left"/>
      </w:pPr>
      <w:r>
        <w:rPr>
          <w:rFonts w:ascii="微软雅黑" w:hAnsi="微软雅黑" w:eastAsia="微软雅黑"/>
          <w:color w:val="0078D4"/>
        </w:rPr>
        <w:t>执行层：allm²eta Agentic</w:t>
      </w:r>
    </w:p>
    <w:p>
      <w:pPr>
        <w:spacing w:line="432" w:lineRule="auto" w:after="160"/>
        <w:jc w:val="both"/>
      </w:pPr>
      <w:r>
        <w:rPr>
          <w:rFonts w:ascii="微软雅黑" w:hAnsi="微软雅黑" w:eastAsia="微软雅黑"/>
          <w:b w:val="0"/>
          <w:color w:val="666666"/>
          <w:sz w:val="21"/>
        </w:rPr>
        <w:t>—— 基于本体驱动的智能体执行网络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allm²eta Agentic是将企业认知转化为业务动能的执行中枢。它不是独立于Ontology之外的自动化引擎，而是直接生长在本体之上的行动网络——智能体通过Ontology的Object感知业务状态，通过Action执行业务操作，并将结果实时回写本体，形成持续运转的闭环。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核心使命：</w:t>
      </w:r>
      <w:r>
        <w:rPr>
          <w:rFonts w:ascii="微软雅黑" w:hAnsi="微软雅黑" w:eastAsia="微软雅黑"/>
          <w:sz w:val="20"/>
        </w:rPr>
        <w:t>消除"决策"与"执行"之间的时间差，让洞察即刻触发行动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本体驱动机制：</w:t>
      </w:r>
      <w:r>
        <w:rPr>
          <w:rFonts w:ascii="微软雅黑" w:hAnsi="微软雅黑" w:eastAsia="微软雅黑"/>
          <w:sz w:val="20"/>
        </w:rPr>
        <w:t>智能体直接读取Ontology中的Object状态与关系图谱以感知业务现状，调用预定义的Action执行业务操作，操作结果自动更新Object状态并可级联触发后续Action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典型场景：</w:t>
      </w:r>
      <w:r>
        <w:rPr>
          <w:rFonts w:ascii="微软雅黑" w:hAnsi="微软雅黑" w:eastAsia="微软雅黑"/>
          <w:sz w:val="20"/>
        </w:rPr>
        <w:t>供应链动态调度、客户服务自主响应、财务风险预警、生产异常处置——每个场景都由Ontology的Object+Action结构化定义，智能体据此自主闭环执行</w:t>
      </w:r>
    </w:p>
    <w:p>
      <w:pPr>
        <w:spacing w:line="384" w:lineRule="auto" w:after="80"/>
        <w:ind w:left="567"/>
      </w:pPr>
      <w:r>
        <w:rPr>
          <w:color w:val="0078D4"/>
          <w:sz w:val="20"/>
        </w:rPr>
        <w:t xml:space="preserve">▸ </w:t>
      </w:r>
      <w:r>
        <w:rPr>
          <w:rFonts w:ascii="微软雅黑" w:hAnsi="微软雅黑" w:eastAsia="微软雅黑"/>
          <w:b/>
          <w:sz w:val="20"/>
        </w:rPr>
        <w:t>战略意义：</w:t>
      </w:r>
      <w:r>
        <w:rPr>
          <w:rFonts w:ascii="微软雅黑" w:hAnsi="微软雅黑" w:eastAsia="微软雅黑"/>
          <w:sz w:val="20"/>
        </w:rPr>
        <w:t>无此执行，认知无法创造价值。Agentic与Ontology互为表里：Ontology定义"能做什么"，Agentic决定"现在做什么"，两者共同构成企业的智能行动力</w:t>
      </w:r>
    </w:p>
    <w:p>
      <w:pPr>
        <w:spacing w:before="80" w:after="80"/>
      </w:pPr>
    </w:p>
    <w:p>
      <w:pPr>
        <w:pStyle w:val="Heading2"/>
        <w:jc w:val="left"/>
      </w:pPr>
      <w:r>
        <w:rPr>
          <w:rFonts w:ascii="微软雅黑" w:hAnsi="微软雅黑" w:eastAsia="微软雅黑"/>
          <w:color w:val="003D79"/>
        </w:rPr>
        <w:t>产品架构总览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003D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68"/>
            <w:shd w:fill="003D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984"/>
            <w:shd w:fill="003D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角色比喻</w:t>
            </w:r>
          </w:p>
        </w:tc>
        <w:tc>
          <w:tcPr>
            <w:tcW w:type="dxa" w:w="3685"/>
            <w:shd w:fill="003D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核心使命</w:t>
            </w:r>
          </w:p>
        </w:tc>
      </w:tr>
      <w:tr>
        <w:tc>
          <w:tcPr>
            <w:tcW w:type="dxa" w:w="1417"/>
            <w:shd w:fill="EBF5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基座层</w:t>
            </w:r>
          </w:p>
        </w:tc>
        <w:tc>
          <w:tcPr>
            <w:tcW w:type="dxa" w:w="2268"/>
            <w:shd w:fill="EBF5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3D79"/>
                <w:sz w:val="19"/>
              </w:rPr>
              <w:t>allm²eta ECore</w:t>
            </w:r>
          </w:p>
        </w:tc>
        <w:tc>
          <w:tcPr>
            <w:tcW w:type="dxa" w:w="1984"/>
            <w:shd w:fill="EBF5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让数据可信</w:t>
            </w:r>
          </w:p>
        </w:tc>
        <w:tc>
          <w:tcPr>
            <w:tcW w:type="dxa" w:w="3685"/>
            <w:shd w:fill="EBF5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提供真实、实时、可信的业务数据——企业智能的"血液与骨骼"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认知与行动层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3D79"/>
                <w:sz w:val="19"/>
              </w:rPr>
              <w:t>allm²eta Ontology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让机器理解并行动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构建可行动的业务本体，驱动智能体闭环执行——企业智能的"大脑与神经"</w:t>
            </w:r>
          </w:p>
        </w:tc>
      </w:tr>
      <w:tr>
        <w:tc>
          <w:tcPr>
            <w:tcW w:type="dxa" w:w="1417"/>
            <w:shd w:fill="EBF5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执行层</w:t>
            </w:r>
          </w:p>
        </w:tc>
        <w:tc>
          <w:tcPr>
            <w:tcW w:type="dxa" w:w="2268"/>
            <w:shd w:fill="EBF5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3D79"/>
                <w:sz w:val="19"/>
              </w:rPr>
              <w:t>allm²eta Agentic</w:t>
            </w:r>
          </w:p>
        </w:tc>
        <w:tc>
          <w:tcPr>
            <w:tcW w:type="dxa" w:w="1984"/>
            <w:shd w:fill="EBF5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让智能行动</w:t>
            </w:r>
          </w:p>
        </w:tc>
        <w:tc>
          <w:tcPr>
            <w:tcW w:type="dxa" w:w="3685"/>
            <w:shd w:fill="EBF5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自主执行、闭环落地业务任务——企业智能的"手脚与五官"</w:t>
            </w:r>
          </w:p>
        </w:tc>
      </w:tr>
    </w:tbl>
    <w:p>
      <w:pPr>
        <w:spacing w:before="160" w:after="160"/>
      </w:pPr>
    </w:p>
    <w:p>
      <w:pPr>
        <w:pStyle w:val="Heading1"/>
        <w:jc w:val="left"/>
      </w:pPr>
      <w:r>
        <w:rPr>
          <w:rFonts w:ascii="微软雅黑" w:hAnsi="微软雅黑" w:eastAsia="微软雅黑"/>
          <w:color w:val="003D79"/>
        </w:rPr>
        <w:t>价值闭环：数据 → 知识 → 智能 → 行动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三层递进，缺一不可。ECore让数据可信，Ontology让机器理解并行动，Agentic让智能落地。三者共同构成从数据→知识→智能→行动的完整价值闭环，使企业核心系统从"记录过去的账本"进化为"驱动未来的智能生命体"。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其中，Ontology与Agentic的双向耦合是架构的关键枢纽——Ontology的可行动本体为智能体提供感知接口与操作指令，智能体的执行结果实时回写本体状态。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更重要的是，这一层级关系并非单向依赖，而是形成持续进化飞轮：</w:t>
      </w:r>
    </w:p>
    <w:p>
      <w:pPr>
        <w:spacing w:before="240" w:after="240"/>
        <w:jc w:val="center"/>
      </w:pPr>
      <w:r>
        <w:rPr>
          <w:rFonts w:ascii="微软雅黑" w:hAnsi="微软雅黑" w:eastAsia="微软雅黑"/>
          <w:b/>
          <w:color w:val="003D79"/>
          <w:sz w:val="26"/>
        </w:rPr>
        <w:t>数据滋养认知</w:t>
      </w:r>
      <w:r>
        <w:rPr>
          <w:rFonts w:ascii="微软雅黑" w:hAnsi="微软雅黑" w:eastAsia="微软雅黑"/>
          <w:b w:val="0"/>
          <w:color w:val="666666"/>
          <w:sz w:val="26"/>
        </w:rPr>
        <w:t xml:space="preserve">  →  </w:t>
      </w:r>
      <w:r>
        <w:rPr>
          <w:rFonts w:ascii="微软雅黑" w:hAnsi="微软雅黑" w:eastAsia="微软雅黑"/>
          <w:b/>
          <w:color w:val="0078D4"/>
          <w:sz w:val="26"/>
        </w:rPr>
        <w:t>认知驱动行动</w:t>
      </w:r>
      <w:r>
        <w:rPr>
          <w:rFonts w:ascii="微软雅黑" w:hAnsi="微软雅黑" w:eastAsia="微软雅黑"/>
          <w:b w:val="0"/>
          <w:color w:val="666666"/>
          <w:sz w:val="26"/>
        </w:rPr>
        <w:t xml:space="preserve">  →  </w:t>
      </w:r>
      <w:r>
        <w:rPr>
          <w:rFonts w:ascii="微软雅黑" w:hAnsi="微软雅黑" w:eastAsia="微软雅黑"/>
          <w:b/>
          <w:color w:val="008B00"/>
          <w:sz w:val="26"/>
        </w:rPr>
        <w:t>行动反哺数据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随着业务运行的不断深入，三层之间实时互动、迭代优化，驱动企业智能能力在实战中不断增强、持续进化。</w:t>
      </w:r>
    </w:p>
    <w:p>
      <w:pPr>
        <w:spacing w:before="80" w:after="80"/>
      </w:pPr>
    </w:p>
    <w:p>
      <w:pPr>
        <w:pStyle w:val="Heading1"/>
        <w:jc w:val="left"/>
      </w:pPr>
      <w:r>
        <w:rPr>
          <w:rFonts w:ascii="微软雅黑" w:hAnsi="微软雅黑" w:eastAsia="微软雅黑"/>
          <w:color w:val="003D79"/>
        </w:rPr>
        <w:t>为什么是中软国际</w:t>
      </w:r>
    </w:p>
    <w:p>
      <w:pPr>
        <w:spacing w:line="432" w:lineRule="auto" w:after="160"/>
        <w:ind w:firstLine="425"/>
        <w:jc w:val="both"/>
      </w:pPr>
      <w:r>
        <w:rPr>
          <w:rFonts w:ascii="微软雅黑" w:hAnsi="微软雅黑" w:eastAsia="微软雅黑"/>
          <w:b w:val="0"/>
          <w:i w:val="0"/>
          <w:sz w:val="21"/>
        </w:rPr>
        <w:t>依托中软国际三十年来在IT服务与数字化转型领域积累的深厚经验与技术沉淀，allm²eta不仅提供领先的产品架构，更提供确保客户成功落地的全生命周期支持——从战略规划、架构设计到实施交付与持续运营。</w:t>
      </w:r>
    </w:p>
    <w:p>
      <w:pPr>
        <w:spacing w:line="384" w:lineRule="auto" w:after="60"/>
        <w:ind w:left="567"/>
      </w:pPr>
      <w:r>
        <w:rPr>
          <w:color w:val="003D79"/>
          <w:sz w:val="20"/>
        </w:rPr>
        <w:t xml:space="preserve">✦  </w:t>
      </w:r>
      <w:r>
        <w:rPr>
          <w:rFonts w:ascii="微软雅黑" w:hAnsi="微软雅黑" w:eastAsia="微软雅黑"/>
          <w:sz w:val="20"/>
        </w:rPr>
        <w:t>三十年企业级IT服务与数字化转型实战经验</w:t>
      </w:r>
    </w:p>
    <w:p>
      <w:pPr>
        <w:spacing w:line="384" w:lineRule="auto" w:after="60"/>
        <w:ind w:left="567"/>
      </w:pPr>
      <w:r>
        <w:rPr>
          <w:color w:val="003D79"/>
          <w:sz w:val="20"/>
        </w:rPr>
        <w:t xml:space="preserve">✦  </w:t>
      </w:r>
      <w:r>
        <w:rPr>
          <w:rFonts w:ascii="微软雅黑" w:hAnsi="微软雅黑" w:eastAsia="微软雅黑"/>
          <w:sz w:val="20"/>
        </w:rPr>
        <w:t>覆盖全行业的核心业务系统建设与运营能力</w:t>
      </w:r>
    </w:p>
    <w:p>
      <w:pPr>
        <w:spacing w:line="384" w:lineRule="auto" w:after="60"/>
        <w:ind w:left="567"/>
      </w:pPr>
      <w:r>
        <w:rPr>
          <w:color w:val="003D79"/>
          <w:sz w:val="20"/>
        </w:rPr>
        <w:t xml:space="preserve">✦  </w:t>
      </w:r>
      <w:r>
        <w:rPr>
          <w:rFonts w:ascii="微软雅黑" w:hAnsi="微软雅黑" w:eastAsia="微软雅黑"/>
          <w:sz w:val="20"/>
        </w:rPr>
        <w:t>从战略咨询到实施交付的端到端服务体系</w:t>
      </w:r>
    </w:p>
    <w:p>
      <w:pPr>
        <w:spacing w:line="384" w:lineRule="auto" w:after="60"/>
        <w:ind w:left="567"/>
      </w:pPr>
      <w:r>
        <w:rPr>
          <w:color w:val="003D79"/>
          <w:sz w:val="20"/>
        </w:rPr>
        <w:t xml:space="preserve">✦  </w:t>
      </w:r>
      <w:r>
        <w:rPr>
          <w:rFonts w:ascii="微软雅黑" w:hAnsi="微软雅黑" w:eastAsia="微软雅黑"/>
          <w:sz w:val="20"/>
        </w:rPr>
        <w:t>AI原生架构设计，面向未来十年的技术前瞻性</w:t>
      </w:r>
    </w:p>
    <w:p>
      <w:pPr>
        <w:spacing w:before="160" w:after="160"/>
      </w:pPr>
    </w:p>
    <w:p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</w:t>
      </w:r>
    </w:p>
    <w:p>
      <w:pPr>
        <w:spacing w:before="80" w:after="80"/>
      </w:pPr>
    </w:p>
    <w:p>
      <w:pPr>
        <w:spacing w:before="320" w:after="160"/>
        <w:jc w:val="center"/>
      </w:pPr>
      <w:r>
        <w:rPr>
          <w:rFonts w:ascii="微软雅黑" w:hAnsi="微软雅黑" w:eastAsia="微软雅黑"/>
          <w:b/>
          <w:color w:val="003D79"/>
          <w:sz w:val="32"/>
        </w:rPr>
        <w:t>allm²eta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color w:val="002B5C"/>
          <w:sz w:val="24"/>
        </w:rPr>
        <w:t>让企业核心系统从"记录过去的账本"进化为"驱动未来的智能生命体"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666666"/>
          <w:sz w:val="18"/>
        </w:rPr>
        <w:t>中软国际  |  2026年2月</w:t>
      </w:r>
    </w:p>
    <w:p>
      <w:pPr>
        <w:jc w:val="center"/>
      </w:pPr>
      <w:r>
        <w:rPr>
          <w:rFonts w:ascii="微软雅黑" w:hAnsi="微软雅黑" w:eastAsia="微软雅黑"/>
          <w:color w:val="0078D4"/>
          <w:sz w:val="18"/>
        </w:rPr>
        <w:t>www.chinasofti.com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