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cs="Calibri" w:eastAsia="Arial Unicode MS"/>
          <w:b/>
          <w:color w:val="000000"/>
          <w:sz w:val="46"/>
        </w:rPr>
        <w:t>HARNESS ENGINEERING</w:t>
      </w:r>
    </w:p>
    <w:p>
      <w:pPr>
        <w:spacing w:after="320"/>
      </w:pPr>
      <w:r>
        <w:rPr>
          <w:rFonts w:ascii="Arial Unicode MS" w:hAnsi="Arial Unicode MS" w:cs="Arial Unicode MS" w:eastAsia="Arial Unicode MS" w:hint="eastAsia"/>
          <w:b w:val="0"/>
          <w:color w:val="373737"/>
          <w:sz w:val="28"/>
          <w:lang w:val="zh-CN" w:eastAsia="zh-CN"/>
        </w:rPr>
        <w:t>OntoChat 架构深度审计与升级建议</w:t>
      </w:r>
    </w:p>
    <w:p>
      <w:pPr>
        <w:spacing w:before="0" w:after="40" w:line="240" w:lineRule="auto"/>
      </w:pPr>
      <w:r>
        <w:rPr>
          <w:rFonts w:ascii="Arial Unicode MS" w:hAnsi="Arial Unicode MS" w:cs="Arial Unicode MS" w:eastAsia="Arial Unicode MS" w:hint="eastAsia"/>
          <w:b/>
          <w:color w:val="000000"/>
          <w:sz w:val="21"/>
          <w:lang w:val="zh-CN" w:eastAsia="zh-CN"/>
        </w:rPr>
        <w:t>对象：</w:t>
      </w:r>
      <w:r>
        <w:rPr>
          <w:rFonts w:ascii="Calibri" w:hAnsi="Calibri" w:cs="Calibri" w:eastAsia="Arial Unicode MS"/>
          <w:color w:val="000000"/>
          <w:sz w:val="21"/>
        </w:rPr>
        <w:t>OntoChat / OntoCopilot</w:t>
      </w:r>
    </w:p>
    <w:p>
      <w:pPr>
        <w:spacing w:before="0" w:after="40" w:line="240" w:lineRule="auto"/>
      </w:pPr>
      <w:r>
        <w:rPr>
          <w:rFonts w:ascii="Arial Unicode MS" w:hAnsi="Arial Unicode MS" w:cs="Arial Unicode MS" w:eastAsia="Arial Unicode MS" w:hint="eastAsia"/>
          <w:b/>
          <w:color w:val="000000"/>
          <w:sz w:val="21"/>
          <w:lang w:val="zh-CN" w:eastAsia="zh-CN"/>
        </w:rPr>
        <w:t>代码基线：</w:t>
      </w:r>
      <w:r>
        <w:rPr>
          <w:rFonts w:ascii="Arial Unicode MS" w:hAnsi="Arial Unicode MS" w:cs="Arial Unicode MS" w:eastAsia="Arial Unicode MS" w:hint="eastAsia"/>
          <w:color w:val="000000"/>
          <w:sz w:val="21"/>
          <w:lang w:val="zh-CN" w:eastAsia="zh-CN"/>
        </w:rPr>
        <w:t>c88d351f62b6 · main</w:t>
      </w:r>
    </w:p>
    <w:p>
      <w:pPr>
        <w:spacing w:before="0" w:after="40" w:line="240" w:lineRule="auto"/>
      </w:pPr>
      <w:r>
        <w:rPr>
          <w:rFonts w:ascii="Arial Unicode MS" w:hAnsi="Arial Unicode MS" w:cs="Arial Unicode MS" w:eastAsia="Arial Unicode MS" w:hint="eastAsia"/>
          <w:b/>
          <w:color w:val="000000"/>
          <w:sz w:val="21"/>
          <w:lang w:val="zh-CN" w:eastAsia="zh-CN"/>
        </w:rPr>
        <w:t>日期：</w:t>
      </w:r>
      <w:r>
        <w:rPr>
          <w:rFonts w:ascii="Calibri" w:hAnsi="Calibri" w:cs="Calibri" w:eastAsia="Arial Unicode MS"/>
          <w:color w:val="000000"/>
          <w:sz w:val="21"/>
        </w:rPr>
        <w:t>2026-08-11</w:t>
      </w:r>
    </w:p>
    <w:p>
      <w:pPr>
        <w:spacing w:before="0" w:after="40" w:line="240" w:lineRule="auto"/>
      </w:pPr>
      <w:r>
        <w:rPr>
          <w:rFonts w:ascii="Arial Unicode MS" w:hAnsi="Arial Unicode MS" w:cs="Arial Unicode MS" w:eastAsia="Arial Unicode MS" w:hint="eastAsia"/>
          <w:b/>
          <w:color w:val="000000"/>
          <w:sz w:val="21"/>
          <w:lang w:val="zh-CN" w:eastAsia="zh-CN"/>
        </w:rPr>
        <w:t>范围：</w:t>
      </w:r>
      <w:r>
        <w:rPr>
          <w:rFonts w:ascii="Arial Unicode MS" w:hAnsi="Arial Unicode MS" w:cs="Arial Unicode MS" w:eastAsia="Arial Unicode MS" w:hint="eastAsia"/>
          <w:color w:val="000000"/>
          <w:sz w:val="21"/>
          <w:lang w:val="zh-CN" w:eastAsia="zh-CN"/>
        </w:rPr>
        <w:t>Harness 内核、生产主链、存储、安全、评估与学术证据</w:t>
      </w:r>
    </w:p>
    <w:p>
      <w:pPr>
        <w:spacing w:before="0" w:after="40" w:line="240" w:lineRule="auto"/>
      </w:pPr>
      <w:r>
        <w:rPr>
          <w:rFonts w:ascii="Arial Unicode MS" w:hAnsi="Arial Unicode MS" w:cs="Arial Unicode MS" w:eastAsia="Arial Unicode MS" w:hint="eastAsia"/>
          <w:b/>
          <w:color w:val="000000"/>
          <w:sz w:val="21"/>
          <w:lang w:val="zh-CN" w:eastAsia="zh-CN"/>
        </w:rPr>
        <w:t>状态：</w:t>
      </w:r>
      <w:r>
        <w:rPr>
          <w:rFonts w:ascii="Arial Unicode MS" w:hAnsi="Arial Unicode MS" w:cs="Arial Unicode MS" w:eastAsia="Arial Unicode MS" w:hint="eastAsia"/>
          <w:color w:val="000000"/>
          <w:sz w:val="21"/>
          <w:lang w:val="zh-CN" w:eastAsia="zh-CN"/>
        </w:rPr>
        <w:t>技术决策与 90 天升级规划输入</w:t>
      </w:r>
    </w:p>
    <w:p>
      <w:pPr>
        <w:spacing w:before="200" w:after="200"/>
        <w:pBdr>
          <w:bottom w:val="single" w:sz="12" w:space="2" w:color="2E74B5"/>
        </w:pBdr>
      </w:pPr>
    </w:p>
    <w:p>
      <w:pPr>
        <w:spacing w:before="0" w:after="200" w:line="264" w:lineRule="auto"/>
        <w:ind w:left="259" w:right="259"/>
        <w:shd w:fill="F4F6F9"/>
        <w:pBdr>
          <w:left w:val="single" w:sz="18" w:space="6" w:color="2E74B5"/>
        </w:pBdr>
      </w:pPr>
      <w:r>
        <w:rPr>
          <w:rFonts w:ascii="Arial Unicode MS" w:hAnsi="Arial Unicode MS" w:cs="Arial Unicode MS" w:eastAsia="Arial Unicode MS" w:hint="eastAsia"/>
          <w:b/>
          <w:color w:val="0B2545"/>
          <w:sz w:val="22"/>
          <w:lang w:val="zh-CN" w:eastAsia="zh-CN"/>
        </w:rPr>
        <w:t>审计结论：内核原语质量较好，但生产主链尚未兑现工具隔离、可恢复执行与 Gate 严格阻断。建议先闭环控制边界，再扩展 Agent 能力。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1. 执行摘要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1.1 一句话判断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OntoChat 已经具备一套方向正确、抽象质量较高的 Harness 内核原型，但生产 HTTP 主链只接入了其中一部分；当前真实形态是“</w:t>
      </w: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抽取子系统的 Harness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”，还不是架构文档所描述的“覆盖完整产品生命周期、可恢复、可审计、质量门严格阻断的生产 Harness”。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最值得保留的是：内核/领域分层、冻结 DAG、结构化输出、证据优先的 OIR、确定性下游、LLM effect 记录、规则 critic 与快速测试网。最需要马上补齐的是：</w:t>
      </w: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工具最小权限与真实隔离、durable run、Gate fail-closed、预算硬约束、租户隔离和端到端 EvalOps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1.2 五个核心结论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架构方向正确，但“实现、接线、验证”成熟度不对称。</w:t>
      </w:r>
      <w:r>
        <w:rPr>
          <w:rFonts w:ascii="Calibri" w:hAnsi="Calibri" w:cs="Calibri" w:eastAsia="Arial Unicode MS"/>
          <w:b w:val="0"/>
          <w:sz w:val="22"/>
        </w:rPr>
        <w:t xml:space="preserve">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Gate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、长期记忆、生产沙箱、Run/Event Store、多维预算等能力在代码中有抽象，却没有在 Server 主路径形成闭环。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最高风险来自工具执行面。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EXTRACT 节点当前能看到全局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code.exec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；生产默认沙箱实际是宿主机本地子进程，且工具调用未进入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Recorder.effect()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。上传材料中的间接提示注入因此可能从“错误输出”升级为“宿主权限内的代码执行”。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durable execution 目前是原语，不是产品保证。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LLM effect 和节点 checkpoint 已有基础，但 Server 固定复用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run_&lt;session_id&gt;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、关闭 resume，进程重启后直接把运行标记失败；工具副作用也不可重放、不可幂等去重。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质量门与预算目前偏“声明式”。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critic 最终未通过仍可返回结果；Scheduler 不执行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GateSpec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；wall-clock、tool-call 和节点级预算没有完整记账与阻断。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评估能力落后于功能能力。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530 项测试全部通过，证明模块基础扎实；但没有覆盖真实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/build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全链、进程崩溃恢复、提示注入、模型质量回归、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pass^k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、终态正确性与 collateral damage 的版本化评估集。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1.3 建议的技术决策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立即暂停把更多 Agent/抽象接入生产主链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，先关闭 P0 控制面断点。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用一个统一的 Run 状态机收口 HTTP、CLI、Recorder、Store、SSE 和 HITL；数据库 Run/Event 成为唯一事实源。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把工具调用、审批、Gate、artifact commit 都纳入同一条“可追踪、可重放、可阻断”的提交协议。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建立 EvalOps 后再做 AFlow/ACE 式自动优化；任何自动演化只离线生成候选，不直接改变生产策略。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修改现有架构文档的证据等级：同行评审、预印本、立场论文与工程博客必须分层；删除无法由原文支持的量化结论。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2. 审计方法与证据边界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本报告同时检查“设计意图”和“真实运行路径”，并把能力拆成三层：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已实现（Implemented）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：仓库中存在可运行代码或数据结构。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已接线（Wired）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：Server 的真实请求链会调用它，并影响状态或产物。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已验证（Verified）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：有自动测试、故障实验或运行指标证明其保证成立。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本次执行了以下验证：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.venv/bin/python -m pytest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</w:t>
      </w:r>
      <w:r>
        <w:rPr>
          <w:rFonts w:ascii="Calibri" w:hAnsi="Calibri" w:cs="Calibri" w:eastAsia="Arial Unicode MS"/>
          <w:b/>
          <w:sz w:val="22"/>
        </w:rPr>
        <w:t>530 passed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.venv/bin/ruff check src tests --statistics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</w:t>
      </w: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240 个静态检查问题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，其中 172 个可自动修复。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检查实际 FastAPI build 链、DAG/Loop/Scheduler、Recorder、Tools、Sandbox、Memory、Store、Critic/Gate、Budget、解析与检索实现。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检索并核验 2023–2026 年同行评审论文和最新预印本；最新结论以论文原页/正式 proceedings 为准。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限制：本次没有使用生产数据、真实模型凭据或生产网络，不构成完整渗透测试、容量测试或输出质量基准。风险概率无法由代码审计直接估计，但控制边界是否存在、是否接线可以确定。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3. 当前真实架构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3.1 As-is 运行链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12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-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cs="Arial Unicode MS" w:eastAsia="Arial Unicode MS" w:hint="eastAsia"/>
          <w:i/>
          <w:color w:val="667085"/>
          <w:sz w:val="18"/>
          <w:lang w:val="zh-CN" w:eastAsia="zh-CN"/>
        </w:rPr>
        <w:t>图 1 · 当前真实运行链与三个主要控制边界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真实链路的关键事实：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Server 在读取并解析材料后才调用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segment_corpus()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与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build_dag().freeze()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；冻结的是抽取拓扑，而不是“在任何不可信内容被读取之前冻结所有控制流”。证据：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server.py:662–751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onto/pipeline.py:100–139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生产 DAG 只有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EXTRACT.* → MERGE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。对齐、冲突、自动修复、澄清和模板生成由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finish()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在 Scheduler 之外同步执行。证据：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onto/pipeline.py:663–681, 728–743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server.py:754–810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HITL 的真实暂停由 HTTP Session 状态与事件实现，不是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Recorder.ask_human()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驱动的可恢复节点状态。证据：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server.py:789–809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七个内置 AgentSpec 中，主抽取链主要使用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extractor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，并按段形状路由到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rule_miner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或确定性问题收集；其他角色尚未形成完整多 Agent DAG。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3.2 模块边界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1872"/>
        <w:gridCol w:w="3650"/>
        <w:gridCol w:w="383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层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当前职责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评价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kernel/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DAG、Scheduler、AgentLoop、Recorder、Budget、Tools、Sandbox、Critic、Memory、Agent Bus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抽象边界清晰，适合复用；部分能力仍停留在框架层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onto/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解析、Evidence、OIR、对齐、冲突、澄清、模板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领域逻辑结构化程度高，确定性优先是正确选择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server.py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API、Session、编排、事件投影、对话动作、产物与部分 UI 逻辑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2,500+ 行集中模块，承担过多状态与协调责任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store/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Memory/SQLite/PostgreSQL Repo、Run/Event/Blob schema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数据模型已开始覆盖 durable run，但主链未完整使用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tests/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单元和组件测试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数量与速度较好；生产语义、故障与质量评估不足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3.3 能力成熟度矩阵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1684"/>
        <w:gridCol w:w="2527"/>
        <w:gridCol w:w="2995"/>
        <w:gridCol w:w="2154"/>
      </w:tblGrid>
      <w:tr>
        <w:trPr>
          <w:tblHeader w:val="true"/>
        </w:trP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能力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已实现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生产主链接线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验证状态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冻结 DAG / fan-out / barrier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是，仅抽取子图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单元测试较充分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六种 NodeMode / NodeHandler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部分模式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以组件测试为主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6"/>
              </w:rPr>
              <w:t>LLM effect replay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LLM 调用接入；resume 关闭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 xml:space="preserve">仅显式 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resume=True</w:t>
            </w: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 xml:space="preserve"> 的内核测试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Tool effect / 幂等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否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否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无生产保证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6"/>
              </w:rPr>
              <w:t>Critic Panel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规则 coverage/provenance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不阻断最终失败产物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6"/>
              </w:rPr>
              <w:t>Gate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202124"/>
                <w:sz w:val="16"/>
                <w:lang w:val="zh-CN" w:eastAsia="zh-CN"/>
              </w:rPr>
              <w:t>否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仅独立测试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多维预算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token/USD 部分接入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wall-clock/tool-call/节点硬上限未闭环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长期记忆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202124"/>
                <w:sz w:val="16"/>
                <w:lang w:val="zh-CN" w:eastAsia="zh-CN"/>
              </w:rPr>
              <w:t>否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测试存在，生产未构造 Store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沙箱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Local/Container/gVisor 等接口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默认仅 Local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无生产隔离验收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6"/>
              </w:rPr>
              <w:t>Session/Run/Event Store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是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Session 部分使用；Run/Event 未收口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重启直接失败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终态/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pass^k</w:t>
            </w: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 xml:space="preserve"> 评估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文档中有设计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202124"/>
                <w:sz w:val="16"/>
                <w:lang w:val="zh-CN" w:eastAsia="zh-CN"/>
              </w:rPr>
              <w:t>否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仅 3 个检索 golden query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OTel/指标/分布式追踪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文档中有设计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202124"/>
                <w:sz w:val="16"/>
                <w:lang w:val="zh-CN" w:eastAsia="zh-CN"/>
              </w:rPr>
              <w:t>否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无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4. 当前架构值得保留的部分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Kernel 与 Onto 领域边界清楚。</w:t>
      </w:r>
      <w:r>
        <w:rPr>
          <w:rFonts w:ascii="Calibri" w:hAnsi="Calibri" w:cs="Calibri" w:eastAsia="Arial Unicode MS"/>
          <w:b w:val="0"/>
          <w:sz w:val="22"/>
        </w:rPr>
        <w:t xml:space="preserve">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NodeHandler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让调度、记录和预算不依赖 OIR 细节，未来可扩展到其他结构化知识任务。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外层 DAG + 节点内有限 Loop 是合理折中。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依赖、并发和恢复边界显式，局部仍保留模型处理长尾问题的灵活性。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OIR 与 provenance 是一等对象。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下游不是直接消费自然语言，而是消费带出处的结构化对象，便于确定性对齐、冲突检测与模板编译。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确定性逻辑优先。</w:t>
      </w:r>
      <w:r>
        <w:rPr>
          <w:rFonts w:ascii="Calibri" w:hAnsi="Calibri" w:cs="Calibri" w:eastAsia="Arial Unicode MS"/>
          <w:b w:val="0"/>
          <w:sz w:val="22"/>
        </w:rPr>
        <w:t xml:space="preserve">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finish()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把可由规则完成的对齐、冲突、澄清排序和模板编译留在普通代码中，降低了模型不确定性与成本。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LLM effect 与内容寻址 checkpoint 已有良好原语。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请求指纹、BlobStore、节点输出恢复构成 durable execution 的正确起点。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上下文已有分层和预算意识。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System、Working、Evidence、Reflection/Long-term 的设计比无限追加完整历史更可控。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测试网运行快。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530 项测试数秒完成，为大规模收口重构提供了良好的反馈周期。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这些优点说明：不需要推翻重写 Harness 内核；需要的是把已有原语真正接入生产状态机，并减少“文档承诺先于运行时保证”的差距。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5. P0：上线前必须关闭的风险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5.1 P0-1 工具最小权限与沙箱边界失效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代码证据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ToolRegistry.register()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默认把工具加入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"*"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scope，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for_scope()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会把全局工具授给所有节点：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kernel/tools.py:197–224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builtin_registry()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注册内建工具时没有传入细粒度 scope，因此 EXTRACT 也可获得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code.exec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kernel/tools.py:287–364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Server 在抽取主链无条件创建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default_sandbox()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；其默认返回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LocalSubprocessSandbox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server.py:729–732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kernel/sandbox.py:359–365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本地沙箱只有临时 cwd、部分环境清理和资源限制，没有用户态内核、文件系统 namespace 或 microVM 隔离：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kernel/sandbox.py:203–265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工具调用只发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EFFECT_REQUESTED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后直接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tool.run()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，不进入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Recorder.effect()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，也不累计 tool-call 预算：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kernel/tools.py:241–273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失败模式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不可信材料可把指令伪装成业务内容，诱导模型调用已获授权的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code.exec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。即使无网络，本地子进程仍运行在服务账号权限边界内；这不是单纯的输出幻觉，而是潜在的宿主文件读取、资源耗尽或子进程逃逸面。静态提示注入过滤不能替代系统级能力控制。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升级动作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立即将内建工具改为显式 allowlist；EXTRACT 默认只给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evidence.search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与只读 profiler，除非节点策略明确开启，否则不暴露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code.exec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生产环境没有 gVisor/Kata/microVM 时，CodeAct </w:t>
      </w:r>
      <w:r>
        <w:rPr>
          <w:rFonts w:ascii="Calibri" w:hAnsi="Calibri" w:cs="Calibri" w:eastAsia="Arial Unicode MS"/>
          <w:b/>
          <w:sz w:val="22"/>
        </w:rPr>
        <w:t>fail closed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，不得静默回退本地子进程。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所有工具统一走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Recorder.effect()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，事件必须包含 requested/completed-or-failed、duration、output digest、policy/approval id、idempotency key。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ToolSpec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增加输出 schema、结果大小、数据分类、egress、可读/可写资源、调用次数和超时；参数与结果双向 JSON Schema 校验。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审批令牌绑定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tenant + session + run + tool + canonical args + resource scope + expiry + use_count + policy_version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，替代单一布尔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approved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MCP 首次接入、描述/schema/端点变化必须进入隔离状态并持久审批；同名工具不得静默覆盖。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验收门槛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生产无隔离运行时，CodeAct 启动失败率 100%，回落本地次数 0。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工具审计事件完整率 100%；重放时外部副作用重复次数 0。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AgentDojo/InjecAgent 风格注入集同时报告任务效用与 ASR；P0 工具越权 ASR 必须为 0。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SSRF、路径穿越、schema 混淆、MCP rug-pull 回归集 100% 被策略层拦截。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5.2 P0-2 Durable Run、恢复与幂等未闭环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代码证据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Server 每次 build 固定使用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run_&lt;session_id&gt;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server.py:675, 757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创建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Recorder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时未开启 resume：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server.py:228–241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；历史仅在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resume=True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时加载：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kernel/recorder.py:37–60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Store 已有独立 Run 分配接口，但生产编排未调用。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启动对账明确写着“没有任何 Run 能活过进程重启”，并把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parsing/extracting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直接标记为失败：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server.py:1291–1314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Session、SSE 订阅、任务句柄、活 OIR 和 EvidenceIndex 主要在进程内：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server.py:91–141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同一 effect key 的并发请求在检查历史后、完成写回前没有 single-flight claim；外部副作用成功到日志完成之间仍存在崩溃窗口：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kernel/recorder.py:166–203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失败模式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进程崩溃会导致重复模型费用、重复工具副作用、同会话事件序号混叠或只能全量重跑。多 worker 时，内存 Session 和 SSE 还会形成状态分叉。这里应承诺“可恢复 + 幂等/明确 at-least-once”，不能笼统承诺 exactly-once。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升级动作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所有 build/chat/action 先通过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Repo.next_run()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创建唯一 Run；Run 表成为唯一运行事实源。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采用显式状态机：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queued → running → suspended/cancelling → completed/cancelled/failed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，带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worker_id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、heartbeat、lease expiry、state version/CAS。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Recorder 改接数据库 kernel events 与 BlobStore，恢复时按 run id 自动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resume=True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；Session 仅作缓存。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effect 增加原子 claim：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prepared/running/completed/failed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；同 key single-flight。外部 provider 支持时传幂等键，不支持时使用 transactional outbox 或明确记录 at-least-once 风险。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SSE 以持久事件 cursor 重放；取消、暂停、人工答复都写同一状态机，不再由 HTTP 侧另造语义。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持久化失败不得吞掉后继续交付；Run 必须进入 degraded/failed 并告知用户。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验收门槛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在节点、LLM、工具调用前后随机 kill 的 1,000 次故障注入中，恢复成功率 ≥99.9%。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同一幂等键 100 路并发，外部副作用严格执行 1 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同一会话连续 build 100 次，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run_id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和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(run_id, seq)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零冲突。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4 worker 下同 session 100 路 build，仅 1 个获得租约，其余稳定返回 409。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恢复后最终 OIR 与无故障基线内容哈希一致。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5.3 P0-3 Critic、Gate 与预算没有形成阻断闭环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代码证据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NodeSpec.gate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已声明，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Gate.evaluate()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已实现，但 Scheduler/AgentLoop 不调用：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kernel/dag.py:65–97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kernel/critic.py:298–327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Scheduler 对任何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NodeResult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都直接写 WorkingSet、记录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NODE_COMPLETED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并放行：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kernel/scheduler.py:141–144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critic 轮数耗尽后即使 verdict 失败也会返回；最后一次 refine 之后没有再 judge：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kernel/loop.py:353–395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未知 critic 名被静默跳过；空 verdict 容易形成 vacuous pass。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NodeBudget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声明 token、iteration、wall-clock、tool-call；主链主要约束 iteration，LLM 只累计 token/USD，工具不记账。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失败模式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系统可能把未通过、未真正评审或预算已越界的结果标记为完成。这样“没过 Gate 不能出门”和“预算耗尽自动暂停”都只是设计意图，不是可依赖的运行保证。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升级动作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节点提交协议固定为：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produce → deterministic validators → evidence-backed critics → Gate → artifact/checkpoint commit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Gate 输出只允许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PASS / REVISE / HITL / ABORT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；非 PASS 不得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complete_node()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DAG freeze 时验证 critic/gate/tool/sandbox 引用；未知项 fail closed。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最后一次 refine 后必须复审；达到轮数上限仍失败时标记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quality_failed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使用 budget reservation/commit，覆盖 LLM、工具、wall-clock、并发和节点级上限；replay 区分历史逻辑用量与新增 provider cost。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ArtifactManifest 固化 review level、执行过的 validator/critic、跳过原因、模型/提示/策略版本与最终 verdict hash。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验收门槛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人工注入 100 个失败 Gate，下游启动次数必须为 0。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critic/gate 名拼写错误在 freeze 阶段 100% 拒绝。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每个 completed 节点都有与 output digest 绑定的最终 PASS verdict。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rules_only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产物在 API/UI/导出中 100% 标注“未经语义审核”，且不能进入正式交付状态。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关键缺失/错误引用的金标集召回率目标 ≥95%，并监控 judge drift。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5.4 P0-4 对象级授权、租户与数据治理缺失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代码证据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建模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session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没有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tenant_id/user_id/owner_id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store/schema.py:44–62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schema 注释明确当前建模数据为共享数据、无 owner 外键：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store/schema.py:206–210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原材料、OIR、journal、blob、聊天与配置分散在本地文件和数据库；密钥治理、保留和删除证明未形成统一边界。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升级动作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Session/Run/File/Event/Blob/Memory 全部增加 tenant/project/owner，Repo 查询默认强制 tenant scope；PostgreSQL 增加 RLS 作为第二道边界。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Blob 即使内容寻址，也必须按 tenant 引用授权；本地 workspace 按 tenant/session 隔离。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密钥迁到 Secret Manager/KMS；材料、日志、备份、外发模型流量按数据分类治理。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外发模型前执行 DLP/脱敏和供应商/地域策略；记录外发字段、字节数、目的模型与区域。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建立可证明的删除链：主库、Blob、检索索引、缓存与备份 tombstone。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验收门槛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双租户 IDOR 测试 100% 返回 403/404；所有 Repo 查询具备 tenant predicate。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每次模型外发都可回答“谁、哪个租户、哪些字段、多少字节、发往哪里”。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删除请求在 SLA 内覆盖全部存储层，并可生成审计证明。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6. P1：下一个版本应完成的升级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6.1 收口三套状态平面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当前同时存在进程内 Session、数据库 Session/Run/Event、workspace Journal/Blob。建议把数据库 Run/Event 设为权威状态，workspace 只存不可变大对象，内存只作缓存；所有投影带 cursor 和版本号。HTTP、CLI、后台 worker 必须调用同一 Orchestrator API，避免两套编排继续漂移。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6.2 建立生产可观测性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统一 trace 层级：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request → tenant/session → run → node → effect → provider/tool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。至少采集：排队时间、节点时延、重试、恢复、Gate 失败、tool policy decision、token、cache、USD、artifact digest、错误分类。当前 kernel event 只在 Scheduler 前后泵到 SSE，且没有 OTel/Prometheus/结构化日志闭环。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验收：100% Run 可由 run id 还原关键路径；P95/P99 时延、成本、恢复率、Gate 失败率与安全决策有 dashboard 和告警；数据库不可用时 readiness 必须失败。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6.3 建立 Harness EvalOps，而不只做单元测试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建议四层评估：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确定性契约层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：DAG、schema、Gate、状态转换、恢复、授权、幂等。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离线能力层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：抽取、引用、冲突、澄清价值、长文档、跨格式和行业长尾。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状态化工具层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：中间里程碑、终态、非目标变更、工具失败、schema 漂移、用户拒绝授权。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安全与线上层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：提示/工具/记忆/计划投毒，ASR 与 benign utility；人工接受、修改、撤销、无依据断言、成本与时延。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同一输入至少报告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pass^1/pass^3/pass^5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，而非只报告平均分；模型、prompt、tool schema、retrieval 或 DAG 变化都必须跑 paired regression。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6.4 上下文与长期记忆治理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生产主链未构造 LongTermStore，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ScopeSpec.recall_long_term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也未实际控制召回。建议建立 schema 化 Project Memory，将事实、用户决策、推断、经验分型；每条记忆带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event_time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valid_from/to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supersedes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、source artifact、confidence、tenant、policy 与撤销状态。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每次模型调用生成 ContextManifest：列出各层条目、来源、版本、trust label、截断、token 与哈希。长期记忆视为持久控制通道，必须通过 relevance + trust + scope gate，而不是只按向量相似度注入。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6.5 部署、依赖与供应链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默认无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DATABASE_URL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时尝试 SQLite，但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aiosqlite/SQLAlchemy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仅在 dev/postgres extra；安装基础包后可能静默回退内存。应把本地持久化依赖纳入正式 extra/default，并让降级显式可见。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Compose 只有 PostgreSQL，缺应用镜像、迁移任务、sandbox image 与 worker；仓库未发现 CI workflow。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依赖采用宽松下界、无项目锁文件与镜像 digest。应引入锁文件、SBOM、CVE/许可证扫描、签名和 provenance。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Session 状态含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stopped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，数据库约束不接受该值；类似 schema/state drift 应通过单一状态定义自动生成并在 CI 校验。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 xml:space="preserve">6.6 拆分 </w:t>
      </w:r>
      <w:r>
        <w:rPr>
          <w:rFonts w:ascii="Consolas" w:hAnsi="Consolas" w:cs="Consolas" w:eastAsia="Arial Unicode MS"/>
          <w:color w:val="0B2545"/>
          <w:sz w:val="25"/>
          <w:shd w:fill="EEF2F6"/>
        </w:rPr>
        <w:t>server.py</w:t>
      </w: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 xml:space="preserve"> 与统一编排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建议拆为：API transport、Session/Run service、Orchestrator、Artifact service、Conversation service、Event projection、Policy/Auth。Server 不再持有活 OIR/EvidenceIndex 作为权威数据；CLI 与 HTTP 通过同一 Orchestrator 调用 Harness。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7. P2：规模化与工程质量优化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EvidenceIndex 当前批量 add 时可能重复计算全库长度，应改为增量统计，保证十万级 chunk 构建近似线性。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同步解析应移到受限 worker，并行化多文件；上传采用流式写入，限制单文件/会话配额、MIME、解压比与解析时间。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Scheduler 不应为所有 ready 节点一次性创建 Task；使用有界队列，取消兄弟任务后等待回收。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共享模型 HTTP client/连接池；关闭临时 backend，避免 FD 与连接泄漏。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模型 capability catalog 需要持久探测结果、TTL 和失败证据，不能只按模型名称乐观推断。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自定义 schema 校验器需要覆盖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additionalProperties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、min/max、format 等；优先复用成熟 JSON Schema 实现。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将 240 个 Ruff 问题分批清零，补 mypy/pyright、coverage gate、PostgreSQL、multi-worker、kill/restart 与负载测试。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README 仍写“232 项测试”“FastAPI + SSE 未实现”，与 530 项测试和现有 Server 不一致；文档真值应由 CI 自动生成关键数字。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8. 目标架构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8.1 四平面模型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cs="Arial Unicode MS" w:eastAsia="Arial Unicode MS" w:hint="eastAsia"/>
          <w:i/>
          <w:color w:val="667085"/>
          <w:sz w:val="18"/>
          <w:lang w:val="zh-CN" w:eastAsia="zh-CN"/>
        </w:rPr>
        <w:t>图 2 · 建议的四平面目标架构</w:t>
      </w:r>
    </w:p>
    <w:p>
      <w:pPr>
        <w:widowControl/>
      </w:pPr>
      <w:r>
        <w:rPr>
          <w:rFonts w:ascii="Calibri" w:hAnsi="Calibri" w:cs="Calibri" w:eastAsia="Arial Unicode MS"/>
          <w:b/>
          <w:sz w:val="22"/>
        </w:rPr>
        <w:t>Control Plane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：版本化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PlanSpec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、AgentSpec、prompt、tool schema、policy、model routing；freeze 时完成引用、类型、权限和预算验证。</w:t>
      </w:r>
    </w:p>
    <w:p>
      <w:pPr>
        <w:widowControl/>
      </w:pPr>
      <w:r>
        <w:rPr>
          <w:rFonts w:ascii="Calibri" w:hAnsi="Calibri" w:cs="Calibri" w:eastAsia="Arial Unicode MS"/>
          <w:b/>
          <w:sz w:val="22"/>
        </w:rPr>
        <w:t>Execution Plane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：数据库租约驱动的 Scheduler；每个 Node/Effect 有显式状态机；LLM、工具、时钟、随机和人工输入均通过 effect adapter；Gate 决定提交、修订、人工或终止。</w:t>
      </w:r>
    </w:p>
    <w:p>
      <w:pPr>
        <w:widowControl/>
      </w:pPr>
      <w:r>
        <w:rPr>
          <w:rFonts w:ascii="Calibri" w:hAnsi="Calibri" w:cs="Calibri" w:eastAsia="Arial Unicode MS"/>
          <w:b/>
          <w:sz w:val="22"/>
        </w:rPr>
        <w:t>Data Plane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：不可变 Evidence/OIR/Artifact、内容寻址 Blob、可撤销 Project Memory；所有对象带 tenant、provenance、schema/version 与 trust label。</w:t>
      </w:r>
    </w:p>
    <w:p>
      <w:pPr>
        <w:widowControl/>
      </w:pPr>
      <w:r>
        <w:rPr>
          <w:rFonts w:ascii="Calibri" w:hAnsi="Calibri" w:cs="Calibri" w:eastAsia="Arial Unicode MS"/>
          <w:b/>
          <w:sz w:val="22"/>
        </w:rPr>
        <w:t>Evaluation Plane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：从持久 trace 构建终态、节点和安全评估；自动优化只能生成候选，经留出集、成本/安全约束和人工批准后提升为新版本。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8.2 统一 Run 状态机</w:t>
      </w:r>
    </w:p>
    <w:p>
      <w:pPr>
        <w:keepLines/>
        <w:spacing w:before="60" w:after="160" w:line="240" w:lineRule="auto"/>
        <w:ind w:left="173" w:right="173"/>
        <w:shd w:fill="F6F8FA"/>
        <w:pBdr>
          <w:left w:val="single" w:sz="10" w:space="5" w:color="CDD5DF"/>
        </w:pBdr>
      </w:pPr>
      <w:r>
        <w:rPr>
          <w:rFonts w:ascii="Consolas" w:hAnsi="Consolas" w:cs="Consolas" w:eastAsia="Arial Unicode MS"/>
          <w:color w:val="263238"/>
          <w:sz w:val="16"/>
        </w:rPr>
        <w:t>QUEUED → RUNNING → NODE_READY → EFFECT_PREPARED → EFFECT_RUNNING</w:t>
        <w:br/>
      </w:r>
      <w:r>
        <w:rPr>
          <w:rFonts w:ascii="Consolas" w:hAnsi="Consolas" w:cs="Consolas" w:eastAsia="Arial Unicode MS"/>
          <w:color w:val="263238"/>
          <w:sz w:val="16"/>
        </w:rPr>
        <w:t xml:space="preserve">                     ↑                              ↓</w:t>
        <w:br/>
      </w:r>
      <w:r>
        <w:rPr>
          <w:rFonts w:ascii="Consolas" w:hAnsi="Consolas" w:cs="Consolas" w:eastAsia="Arial Unicode MS"/>
          <w:color w:val="263238"/>
          <w:sz w:val="16"/>
        </w:rPr>
        <w:t xml:space="preserve">                     └──── RETRY / RESUME ← EFFECT_COMPLETED</w:t>
        <w:br/>
      </w:r>
      <w:r>
        <w:rPr>
          <w:rFonts w:ascii="Consolas" w:hAnsi="Consolas" w:cs="Consolas" w:eastAsia="Arial Unicode MS"/>
          <w:color w:val="263238"/>
          <w:sz w:val="16"/>
        </w:rPr>
        <w:br/>
      </w:r>
      <w:r>
        <w:rPr>
          <w:rFonts w:ascii="Consolas" w:hAnsi="Consolas" w:cs="Consolas" w:eastAsia="Arial Unicode MS"/>
          <w:color w:val="263238"/>
          <w:sz w:val="16"/>
        </w:rPr>
        <w:t>NODE_OUTPUT → VALIDATED → GATE_PASS → COMMITTED</w:t>
        <w:br/>
      </w:r>
      <w:r>
        <w:rPr>
          <w:rFonts w:ascii="Consolas" w:hAnsi="Consolas" w:cs="Consolas" w:eastAsia="Arial Unicode MS"/>
          <w:color w:val="263238"/>
          <w:sz w:val="16"/>
        </w:rPr>
        <w:t xml:space="preserve">                    ├→ REVISE → NODE_READY</w:t>
        <w:br/>
      </w:r>
      <w:r>
        <w:rPr>
          <w:rFonts w:ascii="Consolas" w:hAnsi="Consolas" w:cs="Consolas" w:eastAsia="Arial Unicode MS"/>
          <w:color w:val="263238"/>
          <w:sz w:val="16"/>
        </w:rPr>
        <w:t xml:space="preserve">                    ├→ HITL → SUSPENDED → RESUME</w:t>
        <w:br/>
      </w:r>
      <w:r>
        <w:rPr>
          <w:rFonts w:ascii="Consolas" w:hAnsi="Consolas" w:cs="Consolas" w:eastAsia="Arial Unicode MS"/>
          <w:color w:val="263238"/>
          <w:sz w:val="16"/>
        </w:rPr>
        <w:t xml:space="preserve">                    └→ ABORT / QUALITY_FAILED</w:t>
        <w:br/>
      </w:r>
      <w:r>
        <w:rPr>
          <w:rFonts w:ascii="Consolas" w:hAnsi="Consolas" w:cs="Consolas" w:eastAsia="Arial Unicode MS"/>
          <w:color w:val="263238"/>
          <w:sz w:val="16"/>
        </w:rPr>
        <w:br/>
      </w:r>
      <w:r>
        <w:rPr>
          <w:rFonts w:ascii="Consolas" w:hAnsi="Consolas" w:cs="Consolas" w:eastAsia="Arial Unicode MS"/>
          <w:color w:val="263238"/>
          <w:sz w:val="16"/>
        </w:rPr>
        <w:t>RUNNING → CANCELLING → CANCELLED</w:t>
        <w:br/>
      </w:r>
      <w:r>
        <w:rPr>
          <w:rFonts w:ascii="Consolas" w:hAnsi="Consolas" w:cs="Consolas" w:eastAsia="Arial Unicode MS"/>
          <w:color w:val="263238"/>
          <w:sz w:val="16"/>
        </w:rPr>
        <w:t>RUNNING → FAILED</w:t>
        <w:br/>
      </w:r>
      <w:r>
        <w:rPr>
          <w:rFonts w:ascii="Consolas" w:hAnsi="Consolas" w:cs="Consolas" w:eastAsia="Arial Unicode MS"/>
          <w:color w:val="263238"/>
          <w:sz w:val="16"/>
        </w:rPr>
        <w:t>all terminal states → immutable manifest + event cursor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8.3 必须固化的七类契约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1872"/>
        <w:gridCol w:w="3650"/>
        <w:gridCol w:w="383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契约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最少字段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作用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PlanSpec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version、nodes、deps、guards、tools、budget、gate、sandbox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冻结并验证控制流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RunState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run id、lease、state、attempt、cursor、parent run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恢复、并发与审计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EffectEnvelope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key、request digest、idempotency、policy、status、result digest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非确定性与副作用重放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ApprovalToken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actor、tool、canonical args、scope、expiry、use count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耐久且最小化授权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ContextManifest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layers、source、trust、version、truncation、tokens、hash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解释模型实际看到什么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ArtifactManifest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inputs、code/model/prompt、validators、verdict、review level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证明产物如何生成和为何可交付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EvalReport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dataset/version、state assertions、pass^k、cost、latency、ASR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版本晋升与回滚依据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9. 分阶段升级路线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阶段 0：0–2 周，立即止血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EXTRACT 工具改为显式 allowlist；默认撤掉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code.exec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生产 CodeAct 没有真实隔离时 fail closed。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工具调用接入 Recorder，先完成只读工具，再完成可写/外部工具幂等。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Scheduler 接入 Gate，未知 critic/gate/tool 在 freeze 时失败。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每次 build 创建唯一 run id；持久化失败不再静默。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修正架构文档中 TDP、CodeAct、τ-bench 等过度表述。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退出条件：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四个 P0 回归套件能在 CI 中阻断；生产主链不存在全局工具和宿主 CodeAct 回落。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阶段 1：3–6 周，Durable Execution MVP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Run/Event/Effect 表成为事实源，加入 lease、heartbeat、CAS、single-flight effect。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Recorder 支持生产 resume；SSE 使用持久 cursor；HITL/stop 进入统一状态机。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HTTP/CLI 统一 Orchestrator；拆出 Run Service 与 Artifact Service。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建立 kill/restart、并发 build、重复副作用和恢复哈希测试。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退出条件：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1,000 次故障注入恢复 ≥99.9%；4 worker 无状态分叉；同幂等键副作用严格一次。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阶段 2：7–12 周，Eval/Security/Telemetry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建立版本化 OntoChat golden corpus：跨格式、长文档、冲突、澄清、恶意材料。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引入终态断言、collateral damage、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pass^1/3/5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、ASR/utility、成本与时延。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增加 tenant/RLS、DLP、Secret/KMS、删除链与外发审计。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接入 OTel 与 dashboard；完成 Postgres、multi-worker、sandbox、上传隔离测试。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退出条件：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任一模型/prompt/tool/DAG 变更都能给出 paired regression 和可回滚版本；两租户 IDOR 集全绿。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阶段 3：3–6 个月，受治理的自优化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接入 Project Memory 与 ContextManifest，完成时间、替代、争议和撤销语义。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在离线评估上试点 MIPRO/AFlow/ACE：优化 prompt、DAG 或 playbook 候选。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使用风险/成本约束的 champion–challenger，上线必须人工批准并支持即时回滚。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在高并行度确有收益的节点试点 typed plan compiler；副作用分支默认串行。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退出条件：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自动优化在独立留出集上同时改善质量、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pass^k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或成本，且安全/租户/恢复指标不退化。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9.1 建议的 90 天负责人分工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1872"/>
        <w:gridCol w:w="3650"/>
        <w:gridCol w:w="383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工作流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主责角色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核心产物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Durable Run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平台/后端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Run 状态机、lease、effect claim、cursor SSE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Tool Security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安全/平台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capability policy、真实 sandbox、MCP admission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Quality Gate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Applied AI + 领域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validator/critic/gate 协议、ArtifactManifest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EvalOps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Applied AI + QA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golden corpus、state assertions、pass^k、ASR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Tenant/Data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后端 + 安全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tenant/RLS、DLP、KMS、删除证明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Observability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SRE/平台</w:t>
            </w:r>
          </w:p>
        </w:tc>
        <w:tc>
          <w:tcPr>
            <w:tcW w:type="dxa" w:w="38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trace schema、dashboard、SLO、告警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10. 学术技术依据与落地映射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10.1 证据等级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A 级：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同行评审论文/正式 proceedings，且结论可直接映射到本系统问题。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B 级：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高相关预印本，方法和实验可参考，但不得当作生产收益承诺。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C 级：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立场论文、综述在审或工程博客，只用于 taxonomy/设计启发。</w:t>
      </w: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10.2 重点论文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1684"/>
        <w:gridCol w:w="2527"/>
        <w:gridCol w:w="2995"/>
        <w:gridCol w:w="2154"/>
      </w:tblGrid>
      <w:tr>
        <w:trPr>
          <w:tblHeader w:val="true"/>
        </w:trP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论文与状态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关键发现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对 OntoChat 的直接支持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6"/>
                <w:lang w:val="zh-CN" w:eastAsia="zh-CN"/>
              </w:rPr>
              <w:t>证据边界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3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StateFlow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，COLM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显式状态驱动工作流把控制流与状态内推理解耦；特定环境中相对 ReAct 提升成功率并降成本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Run/Node 使用显式状态与 transition guard，不靠日志推断阶段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结果来自 SQL/ALFWorld，需在本体任务复验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4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An LLM Compiler for Parallel Function Calling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，ICML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将工具计划编译为依赖 DAG，可并行无依赖调用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引入 typed plan compiler；只并行只读或有幂等键分支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收益依赖真实可并行度，错误依赖图会放大失败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5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CodeAct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，ICML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可执行代码动作在其 benchmark 中最高约 +20% 成功率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保留 CodeAct 处理长尾数据变换，但置于强隔离与 schema 输出下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不支持“所有动作都应代码化”或“CodeAct 天然安全”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6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SWE-agent / ACI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，NeurIPS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Agent-Computer Interface 设计显著影响 Agent 行为与性能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将工具目录、反馈、错误、资源边界设计成 Agent 专用接口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软件工程任务结果不能直接外推到文档本体任务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7">
              <w:r>
                <w:rPr>
                  <w:rFonts w:ascii="Arial Unicode MS" w:hAnsi="Arial Unicode MS" w:eastAsia="Arial Unicode MS" w:hint="eastAsia"/>
                  <w:color w:val="2E74B5"/>
                  <w:u w:val="single"/>
                  <w:sz w:val="16"/>
                  <w:lang w:val="zh-CN" w:eastAsia="zh-CN"/>
                </w:rPr>
                <w:t>τ-bench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，ICLR 2025，A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 xml:space="preserve">用数据库终态和 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pass^k</w:t>
            </w: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 xml:space="preserve"> 评估工具 Agent；当时测试中成功率 &lt;50%、零售 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pass^8&lt;25%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 xml:space="preserve">OIR/Artifact 终态断言 + 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pass^1/3/5</w:t>
            </w: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；评估一致性而非单次最好结果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数字只适用于论文模型和航空/零售域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8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ToolSandbox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，NAACL Findings 2025，A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状态依赖、参数规范化、信息不足和中间里程碑是核心难点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加入用户拒绝、缺信息、schema 漂移、工具失败和里程碑测试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模拟工具与企业真实系统仍有差异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19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AppWorld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，ACL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以状态单测检查多种合法完成路径及 collateral damage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除目标终态外，检查未授权/非目标字段是否变化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多应用环境与本体产物需重新定义状态 oracle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0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AgentDojo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，NeurIPS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97 个任务、629 个安全案例；动态评估提示注入及效用/安全权衡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上传材料、检索、MCP 描述和工具结果统一标为不可信；CI 同报 utility/ASR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不是完整现实攻击面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1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DRIFT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，NeurIPS 2025，A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Secure Planner、动态偏差验证与 memory isolation 结合控制流/数据流约束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最小工具轨迹、参数 checklist、执行偏差验证、注入内容隔离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仍需针对本系统威胁模型与适应性攻击复验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2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Defeating Prompt Injections by Design / CaMeL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，2025 v2，B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显式控制/数据流与 capability；在 AgentDojo 最新版本报告 77% 任务具可证明安全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capability-tagged data、工具调用时强制信息流与资源策略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预印本；token/系统复杂度开销显著，不能只复制表面结构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3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ACE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，ICLR 2026，A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用 generation/reflection/curation 增量演进 playbook，避免 context collapse；报告 agent +10.6%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Project Memory 采用结构化增量更新、版本和回滚；离线候选晋升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结果依赖任务与反馈质量，错误经验也会被固化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4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LongMemEval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，ICLR 2025，A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长期记忆需处理跨会话、时间、更新与拒答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记忆加入时间、supersedes、来源；分开评估检索与正确使用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对话记忆不等于项目事实库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5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MIPRO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，EMNLP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可在多阶段 LM program 上联合优化指令与示例，部分任务最高 +13%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有 EvalOps 后，离线优化各节点 prompt/demo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不能无留出集自动改生产 prompt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6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AFlow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，ICLR 2025，A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将代码化工作流视为搜索空间，六数据集平均约 +5.7%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离线搜索 DAG 候选，带成本、安全与回滚约束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自动结构可解释性和稳定性不足，不应在线自改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7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CRITIC</w:t>
              </w:r>
            </w:hyperlink>
            <w:r>
              <w:rPr>
                <w:rFonts w:ascii="Calibri" w:hAnsi="Calibri" w:cs="Calibri" w:eastAsia="Arial Unicode MS"/>
                <w:b w:val="0"/>
                <w:color w:val="202124"/>
                <w:sz w:val="16"/>
              </w:rPr>
              <w:t xml:space="preserve"> + </w:t>
            </w:r>
            <w:hyperlink r:id="rId28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LLMs Cannot Self-Correct Reasoning Yet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，ICLR 2024，A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外部工具/证据反馈能帮助修正；无外部反馈的纯自省常无效或退化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Gate 以解析器、schema、证据定位、规则和可执行测试为主；“另一个 LLM 同意”不能独立放行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LLM judge 仍可作为有校准集的补充信号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29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Proxy State-Based Evaluation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，ACL Industry 2026，A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用结构化 proxy state 扩展终态评估，论文报告人类–LLM judge 一致率 &gt;90%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确定性 oracle 昂贵时，用受约束 proxy state 扩展评估，并保留人工校准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不应替代所有确定性断言；需监控 simulator/judge drift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30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AgentEval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，2026，B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DAG 节点级评估与错误传播归因；论文报告相较端到端评估更高故障召回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从 Run trace 生成节点指标、failure taxonomy 和 upstream attribution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新预印本，生产 pilot 结果需要独立复现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31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SafeHarness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，2026，B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输入过滤、因果验证、权限分离工具、回滚/降级贯穿 lifecycle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安全不做单点过滤，而是跨 Context→Decision→Action→State 协同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新预印本，只作架构参考</w:t>
            </w:r>
          </w:p>
        </w:tc>
      </w:tr>
      <w:tr>
        <w:tc>
          <w:tcPr>
            <w:tcW w:type="dxa" w:w="16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hyperlink r:id="rId32">
              <w:r>
                <w:rPr>
                  <w:rFonts w:ascii="Calibri" w:hAnsi="Calibri" w:eastAsia="Arial Unicode MS"/>
                  <w:color w:val="2E74B5"/>
                  <w:u w:val="single"/>
                  <w:sz w:val="16"/>
                </w:rPr>
                <w:t>AutoDojo</w:t>
              </w:r>
            </w:hyperlink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，2026，B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自适应攻击能突破对静态注入有效的过滤；某过滤静态 ASR 0%，自适应恢复到总体 28%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安全 CI 必须包含 defense-aware/adaptive attack，不能只跑固定字符串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6"/>
                <w:lang w:val="zh-CN" w:eastAsia="zh-CN"/>
              </w:rPr>
              <w:t>新预印本，数字依赖其模型和任务设置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26"/>
          <w:lang w:val="zh-CN" w:eastAsia="zh-CN"/>
        </w:rPr>
        <w:t>10.3 对现有架构文档的证据修正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onsolas" w:hAnsi="Consolas" w:cs="Consolas" w:eastAsia="Arial Unicode MS"/>
          <w:color w:val="0B2545"/>
          <w:sz w:val="21"/>
          <w:shd w:fill="EEF2F6"/>
        </w:rPr>
        <w:t>OntoCopilot-Backend-Architecture.md:59,187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把 </w:t>
      </w:r>
      <w:hyperlink r:id="rId33">
        <w:r>
          <w:rPr>
            <w:rFonts w:ascii="Calibri" w:hAnsi="Calibri" w:eastAsia="Arial Unicode MS"/>
            <w:color w:val="2E74B5"/>
            <w:u w:val="single"/>
            <w:sz w:val="22"/>
          </w:rPr>
          <w:t>From Agent Loops to Structured Graphs</w:t>
        </w:r>
      </w:hyperlink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写成“证明 token 最多降低 82%”。论文摘要明确说明它是 </w:t>
      </w:r>
      <w:r>
        <w:rPr>
          <w:rFonts w:ascii="Arial Unicode MS" w:hAnsi="Arial Unicode MS" w:cs="Arial Unicode MS" w:eastAsia="Arial Unicode MS" w:hint="eastAsia"/>
          <w:b/>
          <w:sz w:val="22"/>
          <w:lang w:val="zh-CN" w:eastAsia="zh-CN"/>
        </w:rPr>
        <w:t>position paper/design proposal，没有生产实现或实证结果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；该数字应删除。论文可支持“静态 DAG 提升可控性/可验证性”的设计动机，不能支持性能收益。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CodeAct 论文支持代码动作空间在特定 benchmark 的组合能力，不支持“数据处理一律 CodeAct”“碾压 JSON”“唯一现实路径”。高频稳定操作、强权限动作和简单 API 更适合 typed tool。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τ-bench 的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&lt;50%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与 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pass^8&lt;25%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 xml:space="preserve"> 必须限定为论文当时测试模型及航空/零售环境，不是所有 function-calling Agent 的普遍上限。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冻结 DAG 能减少内容劫持控制流的空间，但不能解决工具输出注入、参数污染、记忆投毒或已授权工具滥用；应与 capability、information-flow 和动态偏差验证共同表述。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Self-Refine/Reflexion 不能单独证明多轮自省会提高生产可靠性；必须同时引用“无外部反馈自纠错可能退化”的反向证据，并将确定性 validator 放在 Gate 前。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gVisor/Firecracker 的工程博客可用于选型，不应被描述为学术共识；最终隔离等级必须由本系统威胁模型和攻防验收决定。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建议所有 ADR 标注证据等级：A=同行评审且全文核验，B=预印本全文核验，C=摘要/博客/立场。核心安全与可靠性 ADR 至少需要 A，或多个独立 B + 内部实验。</w:t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11. 建议的 SLO 与版本晋升门槛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2527"/>
        <w:gridCol w:w="6833"/>
      </w:tblGrid>
      <w:tr>
        <w:trPr>
          <w:tblHeader w:val="true"/>
        </w:trP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维度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建议门槛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安全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工具越权 ASR=0；跨租户 IDOR=0；生产 CodeAct 本地回落=0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恢复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1,000 次故障注入恢复 ≥99.9%；恢复后 artifact hash 与基线一致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幂等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相同 effect/idempotency key 在并发与重放中副作用严格 1 次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质量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completed artifact 100% 有 final PASS verdict；关键引用错误召回 ≥95%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稳定性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 xml:space="preserve">报告 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pass^1/3/5</w:t>
            </w: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；生产版本不得在 pass^3 上相对基线显著退化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成本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并发下实际 provider USD 不超过硬上限 1%；恢复新增 provider cost=0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可观测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100% Run 可追溯到 node/effect/model/prompt/tool/policy/artifact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数据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100% 模型外发有 tenant、字段、字节、供应商、区域审计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工程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CI 强制 lint/type/unit/integration/Postgres/security/recovery；关键分支覆盖 ≥85%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12. 最终建议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OntoChat 不需要用更多“智能角色”证明 Harness Engineering；它已经有足够多的抽象。接下来最有价值的工作，是把抽象变成可以被测试和运维依赖的保证：</w:t>
      </w:r>
    </w:p>
    <w:p>
      <w:pPr>
        <w:spacing w:before="80" w:after="160"/>
        <w:ind w:left="259" w:right="173"/>
        <w:shd w:fill="F4F6F9"/>
        <w:pBdr>
          <w:left w:val="single" w:sz="18" w:space="6" w:color="2E74B5"/>
        </w:pBdr>
      </w:pPr>
      <w:r>
        <w:rPr>
          <w:rFonts w:ascii="Arial Unicode MS" w:hAnsi="Arial Unicode MS" w:cs="Arial Unicode MS" w:eastAsia="Arial Unicode MS" w:hint="eastAsia"/>
          <w:b/>
          <w:color w:val="0B2545"/>
          <w:sz w:val="22"/>
          <w:lang w:val="zh-CN" w:eastAsia="zh-CN"/>
        </w:rPr>
        <w:t>让每一次运行有唯一身份，让每一次非确定性动作可追踪，让每一次权限有边界，让每一个产物经过真实 Gate，让每一次架构优化都能由状态化评估证明。</w:t>
      </w:r>
    </w:p>
    <w:p>
      <w:pPr>
        <w:widowControl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按本报告的顺序实施，90 天内可以把系统从“有成熟设计语言的 Harness 原型”推进到“安全边界、恢复语义、质量与评估开始闭环的生产候选”。在此之前，不建议把“可恢复执行”“生产隔离”“Gate 严格阻断”“长期记忆闭环”写成已经兑现的产品能力。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附录 A：关键代码证据索引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</w:tblPr>
      <w:tblGrid>
        <w:gridCol w:w="2527"/>
        <w:gridCol w:w="6833"/>
      </w:tblGrid>
      <w:tr>
        <w:trPr>
          <w:tblHeader w:val="true"/>
        </w:trP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主题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/>
                <w:color w:val="0B2545"/>
                <w:sz w:val="17"/>
                <w:lang w:val="zh-CN" w:eastAsia="zh-CN"/>
              </w:rPr>
              <w:t>代码位置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NodeSpec / Scope / Budget / Gate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src/ontocopilot/kernel/dag.py:24–99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DAG expand/freeze/topology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src/ontocopilot/kernel/dag.py:115–224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Scheduler run/resume/commit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src/ontocopilot/kernel/scheduler.py:81–154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Node retry 与预算降级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src/ontocopilot/kernel/scheduler.py:157–198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AgentLoop 与 critic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src/ontocopilot/kernel/loop.py:205–395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Context assembly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src/ontocopilot/kernel/loop.py:398–415</w:t>
            </w: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 xml:space="preserve">; </w:t>
            </w: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kernel/memory/context.py:64–199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Recorder replay/checkpoint/effect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src/ontocopilot/kernel/recorder.py:34–204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Tool scope/call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src/ontocopilot/kernel/tools.py:183–273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Built-in tools / code.exec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src/ontocopilot/kernel/tools.py:287–364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alibri" w:hAnsi="Calibri" w:cs="Calibri" w:eastAsia="Arial Unicode MS"/>
                <w:b w:val="0"/>
                <w:color w:val="202124"/>
                <w:sz w:val="17"/>
              </w:rPr>
              <w:t>Local/production sandbox selection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src/ontocopilot/kernel/sandbox.py:203–365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实际 EXTRACT DAG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src/ontocopilot/onto/pipeline.py:663–681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确定性 finish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src/ontocopilot/onto/pipeline.py:728–743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Server build 主链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src/ontocopilot/server.py:662–810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固定 run id / Recorder 构造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src/ontocopilot/server.py:228–241, 675, 757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重启标失败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src/ontocopilot/server.py:1291–1314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Session schema / 无 tenant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src/ontocopilot/store/schema.py:44–62, 206–210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默认 SQLite 回退内存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src/ontocopilot/store/deps.py:80–106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Arial Unicode MS" w:hAnsi="Arial Unicode MS" w:cs="Arial Unicode MS" w:eastAsia="Arial Unicode MS" w:hint="eastAsia"/>
                <w:b w:val="0"/>
                <w:color w:val="202124"/>
                <w:sz w:val="17"/>
                <w:lang w:val="zh-CN" w:eastAsia="zh-CN"/>
              </w:rPr>
              <w:t>测试/依赖配置</w:t>
            </w:r>
          </w:p>
        </w:tc>
        <w:tc>
          <w:tcPr>
            <w:tcW w:type="dxa" w:w="68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rFonts w:ascii="Consolas" w:hAnsi="Consolas" w:cs="Consolas" w:eastAsia="Arial Unicode MS"/>
                <w:color w:val="0B2545"/>
                <w:sz w:val="17"/>
                <w:shd w:fill="EEF2F6"/>
              </w:rPr>
              <w:t>pyproject.toml:6–50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Unicode MS" w:hAnsi="Arial Unicode MS" w:cs="Arial Unicode MS" w:eastAsia="Arial Unicode MS" w:hint="eastAsia"/>
          <w:b/>
          <w:color w:val="2E74B5"/>
          <w:sz w:val="32"/>
          <w:lang w:val="zh-CN" w:eastAsia="zh-CN"/>
        </w:rPr>
        <w:t>附录 B：验证结果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单元/组件测试：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530 passed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Ruff（</w:t>
      </w:r>
      <w:r>
        <w:rPr>
          <w:rFonts w:ascii="Consolas" w:hAnsi="Consolas" w:cs="Consolas" w:eastAsia="Arial Unicode MS"/>
          <w:color w:val="0B2545"/>
          <w:sz w:val="21"/>
          <w:shd w:fill="EEF2F6"/>
        </w:rPr>
        <w:t>src tests</w:t>
      </w: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）：240 findings；172 可自动修复。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检索 golden：3 个查询，不能代表端到端本体质量。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未发现 CI workflow、生产 Dockerfile、应用/迁移 worker 编排、版本化离线 eval dataset 或 pass^k runner。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cs="Arial Unicode MS" w:eastAsia="Arial Unicode MS" w:hint="eastAsia"/>
          <w:b w:val="0"/>
          <w:sz w:val="22"/>
          <w:lang w:val="zh-CN" w:eastAsia="zh-CN"/>
        </w:rPr>
        <w:t>README 关键状态与当前代码存在漂移，应由 CI 自动更新或生成。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  <w:pBdr>
        <w:top w:val="single" w:sz="4" w:space="3" w:color="CDD5DF"/>
      </w:pBdr>
    </w:pPr>
    <w:r>
      <w:rPr>
        <w:rFonts w:ascii="Arial Unicode MS" w:hAnsi="Arial Unicode MS" w:cs="Arial Unicode MS" w:eastAsia="Arial Unicode MS" w:hint="eastAsia"/>
        <w:color w:val="667085"/>
        <w:sz w:val="17"/>
        <w:lang w:val="zh-CN" w:eastAsia="zh-CN"/>
      </w:rPr>
      <w:t xml:space="preserve">Internal technical assessment  ·  </w:t>
    </w:r>
    <w:r>
      <w:rPr>
        <w:rFonts w:ascii="Calibri" w:hAnsi="Calibri" w:cs="Calibri" w:eastAsia="Arial Unicode MS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  <w:pBdr>
        <w:bottom w:val="single" w:sz="4" w:space="3" w:color="CDD5DF"/>
      </w:pBdr>
    </w:pPr>
    <w:r>
      <w:rPr>
        <w:rFonts w:ascii="Arial Unicode MS" w:hAnsi="Arial Unicode MS" w:cs="Arial Unicode MS" w:eastAsia="Arial Unicode MS" w:hint="eastAsia"/>
        <w:b/>
        <w:color w:val="667085"/>
        <w:sz w:val="17"/>
        <w:lang w:val="zh-CN" w:eastAsia="zh-CN"/>
      </w:rPr>
      <w:t>ONTOCHAT · HARNESS ENGINEERING</w:t>
    </w:r>
    <w:r>
      <w:rPr>
        <w:rFonts w:ascii="Arial Unicode MS" w:hAnsi="Arial Unicode MS" w:cs="Arial Unicode MS" w:eastAsia="Arial Unicode MS" w:hint="eastAsia"/>
        <w:color w:val="667085"/>
        <w:sz w:val="17"/>
        <w:lang w:val="zh-CN" w:eastAsia="zh-CN"/>
      </w:rPr>
      <w:tab/>
      <w:t>ARCHITECTURE REVIEW · 2026-08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rxiv.org/abs/2403.11322" TargetMode="External"/><Relationship Id="rId14" Type="http://schemas.openxmlformats.org/officeDocument/2006/relationships/hyperlink" Target="https://proceedings.mlr.press/v235/kim24y.html" TargetMode="External"/><Relationship Id="rId15" Type="http://schemas.openxmlformats.org/officeDocument/2006/relationships/hyperlink" Target="https://proceedings.mlr.press/v235/wang24h.html" TargetMode="External"/><Relationship Id="rId16" Type="http://schemas.openxmlformats.org/officeDocument/2006/relationships/hyperlink" Target="https://proceedings.neurips.cc/paper_files/paper/2024/hash/5a7c947568c1b1328ccc5230172e1e7c-Abstract-Conference.html" TargetMode="External"/><Relationship Id="rId17" Type="http://schemas.openxmlformats.org/officeDocument/2006/relationships/hyperlink" Target="https://openreview.net/pdf?id=roNSXZpUDN" TargetMode="External"/><Relationship Id="rId18" Type="http://schemas.openxmlformats.org/officeDocument/2006/relationships/hyperlink" Target="https://aclanthology.org/2025.findings-naacl.65/" TargetMode="External"/><Relationship Id="rId19" Type="http://schemas.openxmlformats.org/officeDocument/2006/relationships/hyperlink" Target="https://aclanthology.org/2024.acl-long.850/" TargetMode="External"/><Relationship Id="rId20" Type="http://schemas.openxmlformats.org/officeDocument/2006/relationships/hyperlink" Target="https://proceedings.neurips.cc/paper_files/paper/2024/hash/97091a5177d8dc64b1da8bf3e1f6fb54-Abstract-Datasets_and_Benchmarks_Track.html" TargetMode="External"/><Relationship Id="rId21" Type="http://schemas.openxmlformats.org/officeDocument/2006/relationships/hyperlink" Target="https://proceedings.neurips.cc/paper_files/paper/2025/hash/77f3b26c7907aa27b207df9b9d43f29a-Abstract-Conference.html" TargetMode="External"/><Relationship Id="rId22" Type="http://schemas.openxmlformats.org/officeDocument/2006/relationships/hyperlink" Target="https://arxiv.org/abs/2503.18813" TargetMode="External"/><Relationship Id="rId23" Type="http://schemas.openxmlformats.org/officeDocument/2006/relationships/hyperlink" Target="https://iclr.cc/virtual/2026/poster/10008343" TargetMode="External"/><Relationship Id="rId24" Type="http://schemas.openxmlformats.org/officeDocument/2006/relationships/hyperlink" Target="https://proceedings.iclr.cc/paper_files/paper/2025/hash/d813d324dbf0598bbdc9c8e79740ed01-Abstract-Conference.html" TargetMode="External"/><Relationship Id="rId25" Type="http://schemas.openxmlformats.org/officeDocument/2006/relationships/hyperlink" Target="https://aclanthology.org/2024.emnlp-main.525/" TargetMode="External"/><Relationship Id="rId26" Type="http://schemas.openxmlformats.org/officeDocument/2006/relationships/hyperlink" Target="https://proceedings.iclr.cc/paper_files/paper/2025/hash/5492ecbce4439401798dcd2c90be94cd-Abstract-Conference.html" TargetMode="External"/><Relationship Id="rId27" Type="http://schemas.openxmlformats.org/officeDocument/2006/relationships/hyperlink" Target="https://proceedings.iclr.cc/paper_files/paper/2024/hash/fef126561bbf9d4467dbb8d27334b8fe-Abstract-Conference.html" TargetMode="External"/><Relationship Id="rId28" Type="http://schemas.openxmlformats.org/officeDocument/2006/relationships/hyperlink" Target="https://proceedings.iclr.cc/paper_files/paper/2024/hash/8b4add8b0aa8749d80a34ca5d941c355-Abstract-Conference.html" TargetMode="External"/><Relationship Id="rId29" Type="http://schemas.openxmlformats.org/officeDocument/2006/relationships/hyperlink" Target="https://aclanthology.org/2026.acl-industry.87/" TargetMode="External"/><Relationship Id="rId30" Type="http://schemas.openxmlformats.org/officeDocument/2006/relationships/hyperlink" Target="https://arxiv.org/abs/2604.23581" TargetMode="External"/><Relationship Id="rId31" Type="http://schemas.openxmlformats.org/officeDocument/2006/relationships/hyperlink" Target="https://arxiv.org/abs/2604.13630" TargetMode="External"/><Relationship Id="rId32" Type="http://schemas.openxmlformats.org/officeDocument/2006/relationships/hyperlink" Target="https://arxiv.org/abs/2606.15057" TargetMode="External"/><Relationship Id="rId33" Type="http://schemas.openxmlformats.org/officeDocument/2006/relationships/hyperlink" Target="https://arxiv.org/abs/2604.11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OntoChat Harness Engineering 架构深度审计与升级建议</dc:title>
  <dc:subject>Harness architecture, security, durable execution, evaluation and research review</dc:subject>
  <dc:creator>Codex</dc:creator>
  <cp:keywords>OntoChat, Harness Engineering, architecture, security, evaluation</cp:keywords>
  <dc:description>Preset: standard_business_brief; header pattern: memo_masthead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