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391" w:rsidRDefault="001F222C">
      <w:r>
        <w:rPr>
          <w:rFonts w:ascii="微软雅黑" w:eastAsia="微软雅黑" w:hAnsi="微软雅黑" w:hint="eastAsia"/>
          <w:color w:val="333333"/>
          <w:shd w:val="clear" w:color="auto" w:fill="FFFFFF"/>
        </w:rPr>
        <w:t>表证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表证是指六淫疫疠邪气经皮毛、口鼻侵入时所产生的征候。多见于外感病的初期，一般起病急，病程短。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表证有两个明显的特点。一是外感时邪，表证是由邪气入侵人体所引起。二是邪病轻。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表证的病位在皮毛肌腠，病轻易治。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【临床表现】恶寒、发热、头身疼痛，舌苔薄白，脉浮，兼有鼻塞、流涕、咳嗽、喷嚏、咽喉痒痛等证。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【理候分析】由于六淫邪气客于肌表，阻遏卫气的正常宣发，郁而发热。卫气受遏，失去温养肌表的功能。肌表得不到正常的温煦，故见恶寒。邪气郁滞经络，使气血流行不畅，致头身疼痛。肺主皮毛，鼻为肺窍，邪气从皮毛、口鼻而入肺，肺系皆受邪气，肺气失宣，故鼻塞、流涕、咳嗽。喷嚏、咽喉痒痛诸证常常并见。邪气在表，未伤及里，故舌苔可无变化，仍以薄白为主。正气奋起抗邪，脉气鼓动于外，故脉浮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二、里证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里证是疾病深在于里（脏腑、气血、骨髓）的一类证候。它与表征相对而言。多见于外感病的中、后期或内伤疾病。里证的成因，大致有三种情况：一是表邪内传入里，侵犯脏腑所致；二是外邪直接侵犯脏腑而成；三是七情刺激，饮食不节，劳逸过度等因素，损伤脏腑，引起功能失调，气血逆乱而致病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里证的范围甚广，除了表证以外，其它疾病都可以说是里证。里证的特点也可归纳为二点。一是病位深在。二是里证的病情一般较重。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【临床表现】里证病因复杂，病位广泛，症状繁多，常以或寒或热，或虚或实的形式出现，故详细内容见各章辩证。现仅举几类常见症脉分析如下：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壮热恶热或微热潮热，烦躁神昏，口渴引饮，或畏寒肢冷，倦卧神疲，口淡多涎。大便秘结，小便短赤或大便溏泄，小便清长，</w:t>
      </w:r>
      <w:bookmarkStart w:id="0" w:name="_GoBack"/>
      <w:bookmarkEnd w:id="0"/>
    </w:p>
    <w:sectPr w:rsidR="00DB4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ABA"/>
    <w:rsid w:val="000E7ABA"/>
    <w:rsid w:val="001F222C"/>
    <w:rsid w:val="00DB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6B617-C04D-470E-9793-987378810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571</Characters>
  <Application>Microsoft Office Word</Application>
  <DocSecurity>0</DocSecurity>
  <Lines>4</Lines>
  <Paragraphs>1</Paragraphs>
  <ScaleCrop>false</ScaleCrop>
  <Company>Home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2022-07-28T15:54:00Z</dcterms:created>
  <dcterms:modified xsi:type="dcterms:W3CDTF">2022-07-28T15:54:00Z</dcterms:modified>
</cp:coreProperties>
</file>