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0000" w:rsidRDefault="00135149">
      <w:pPr>
        <w:pStyle w:val="Title"/>
        <w:widowControl/>
      </w:pPr>
      <w:r>
        <w:t xml:space="preserve">Studying outbreak, successes and failures of the "Arab Spring" with news media and Twitter </w:t>
      </w:r>
    </w:p>
    <w:p w:rsidR="00000000" w:rsidRDefault="00135149">
      <w:pPr>
        <w:pStyle w:val="author"/>
        <w:widowControl/>
        <w:ind w:firstLine="300"/>
      </w:pPr>
      <w:r>
        <w:t>Kenneth Joseph, Matthew Benigni, Wei Wei, Kathleen M. Carley, Fellow, IEEE, and Mia Bloom</w:t>
      </w:r>
      <w:r w:rsidRPr="00135149">
        <w:rPr>
          <w:rStyle w:val="FootnoteReference"/>
        </w:rPr>
        <w:footnoteReference w:customMarkFollows="1" w:id="1"/>
        <w:t>1</w:t>
      </w:r>
      <w:r w:rsidRPr="00135149">
        <w:rPr>
          <w:rStyle w:val="FootnoteReference"/>
        </w:rPr>
        <w:footnoteReference w:customMarkFollows="1" w:id="2"/>
        <w:t>2</w:t>
      </w:r>
    </w:p>
    <w:p w:rsidR="00000000" w:rsidRDefault="00135149">
      <w:pPr>
        <w:pStyle w:val="author"/>
        <w:widowControl/>
        <w:ind w:firstLine="300"/>
      </w:pPr>
      <w:r>
        <w:fldChar w:fldCharType="begin"/>
      </w:r>
      <w:r>
        <w:instrText>date</w:instrText>
      </w:r>
      <w:r>
        <w:fldChar w:fldCharType="separate"/>
      </w:r>
      <w:r>
        <w:t>5/22/15</w:t>
      </w:r>
      <w:r>
        <w:fldChar w:fldCharType="end"/>
      </w:r>
    </w:p>
    <w:p w:rsidR="00000000" w:rsidRDefault="00135149">
      <w:pPr>
        <w:pStyle w:val="abstracttitle"/>
        <w:widowControl/>
        <w:ind w:firstLine="300"/>
      </w:pPr>
      <w:r>
        <w:t>Abstract</w:t>
      </w:r>
    </w:p>
    <w:p w:rsidR="00000000" w:rsidRDefault="00135149">
      <w:pPr>
        <w:ind w:left="1024" w:right="1024" w:firstLine="300"/>
      </w:pPr>
      <w:r>
        <w:t>The abstract</w:t>
      </w:r>
    </w:p>
    <w:p w:rsidR="00000000" w:rsidRDefault="00135149">
      <w:pPr>
        <w:pStyle w:val="Heading2"/>
        <w:widowControl/>
        <w:spacing w:before="360"/>
      </w:pPr>
      <w:r>
        <w:t>1  Introduction</w:t>
      </w:r>
    </w:p>
    <w:p w:rsidR="00000000" w:rsidRDefault="00135149">
      <w:pPr>
        <w:spacing w:before="60"/>
      </w:pPr>
      <w:r>
        <w:t>On December 17th, 2010, Mohame</w:t>
      </w:r>
      <w:r>
        <w:t>d Bouazizi immolated himself in Sidi Bouzid, Tunisia in response to harassment from both a local policewoman and local municipality officers. Though Bouazizi was not the first to engage in this form of protest, for some reason his case resounded with other</w:t>
      </w:r>
      <w:r>
        <w:t xml:space="preserve"> Tunisians, who took to the streets in protest of constant harassment and victimization by a corrupt government. Although early protests were relatively small and were met with violence from government forces, social media sites like Twitter, Facebook and </w:t>
      </w:r>
      <w:r>
        <w:t>YouTube were used to record these events and display them to the broader public. These events are widely considered to be the beginning of what has come to be known, for better or worse (Gelvin, 2015), as the Arab Spring.</w:t>
      </w:r>
    </w:p>
    <w:p w:rsidR="00000000" w:rsidRDefault="00135149">
      <w:pPr>
        <w:ind w:firstLine="300"/>
      </w:pPr>
      <w:r>
        <w:t xml:space="preserve">There is little doubt that social </w:t>
      </w:r>
      <w:r>
        <w:t xml:space="preserve">media, and new media (Baym, 2010) more generally, played an important role in Arab Spring. However, it is almost common knowledge at this point that popular emphasis on social media as </w:t>
      </w:r>
      <w:r>
        <w:rPr>
          <w:i/>
          <w:iCs/>
        </w:rPr>
        <w:t>the</w:t>
      </w:r>
      <w:r>
        <w:t xml:space="preserve"> cause of the revolutions is overblown (Bruns et al., 2013; Comunell</w:t>
      </w:r>
      <w:r>
        <w:t>o and Anzera, 2012; Goldstone, 2013). Recent research has thus instead focused on how social media may have aided certain aspects of the revolutions in important ways for different people (Gallé et al., 2013; Lotan et al., 2011; Starbird and Palen, 2012; T</w:t>
      </w:r>
      <w:r>
        <w:t>ufekci and Wilson, 2012), and in how social processes that were carried out via new media are reflective of those that occurred “offline” (Comunello and Anzera, 2012). Similarly, recent work has suggested that data from newspaper articles written during th</w:t>
      </w:r>
      <w:r>
        <w:t>e time of the Arab Spring also may be of use in better understanding these processes (REMOVED FOR BLIND REVIEW). Thus, social media and the coverage of news media should be seen as both pieces and reflections of a complex system of causal structures that w</w:t>
      </w:r>
      <w:r>
        <w:t xml:space="preserve">ere at play. </w:t>
      </w:r>
    </w:p>
    <w:p w:rsidR="00000000" w:rsidRDefault="00135149">
      <w:pPr>
        <w:ind w:firstLine="300"/>
      </w:pPr>
      <w:r>
        <w:t>To date, however, prior work has largely considered how the news media or Twitter are useful in understanding the social processes at play during particular events across a small set of nations (e.g. Borge-Holthoefer et al., 2014; Lotan et al</w:t>
      </w:r>
      <w:r>
        <w:t xml:space="preserve">., 2011) or a series of events in a particular nation, most often Egypt (e.g. Tufekci and Wilson, 2012). Further, few studies have considered news and Twitter data side-by-side, leaving questions as to the similarities and differences in the ways in which </w:t>
      </w:r>
      <w:r>
        <w:t xml:space="preserve">these media responded to long and short term social processes during the Arab Spring. </w:t>
      </w:r>
    </w:p>
    <w:p w:rsidR="00000000" w:rsidRDefault="00135149">
      <w:pPr>
        <w:ind w:firstLine="300"/>
      </w:pPr>
      <w:r>
        <w:t xml:space="preserve">In the present work, we use a corpora of around 70M tweets and around 700K newspaper articles to provide an initial overview of the change in topical focus over time in </w:t>
      </w:r>
      <w:r>
        <w:t>sixteen nations relevant to the Arab Spring in both news and Twitter. We take a breadth-over-depth approach, attempting to reconcile patterns in Twitter usage and news media coverage over a wide range of countries and time periods. Additionally, we utilize</w:t>
      </w:r>
      <w:r>
        <w:t xml:space="preserve"> the same methodology for both datasets, allowing us to compare results across media. Specifically, we here focus on the following two research questions: </w:t>
      </w:r>
    </w:p>
    <w:p w:rsidR="00000000" w:rsidRDefault="00135149">
      <w:pPr>
        <w:pStyle w:val="List"/>
        <w:spacing w:before="50"/>
        <w:ind w:left="600" w:hanging="300"/>
      </w:pPr>
      <w:r>
        <w:t>•</w:t>
      </w:r>
      <w:r>
        <w:tab/>
      </w:r>
      <w:r>
        <w:rPr>
          <w:b/>
          <w:bCs/>
        </w:rPr>
        <w:t>RQ1:</w:t>
      </w:r>
      <w:r>
        <w:t xml:space="preserve"> How did the topical focii of our news and Twitter data differ over time and across different </w:t>
      </w:r>
      <w:r>
        <w:t xml:space="preserve">nations and categories?  </w:t>
      </w:r>
    </w:p>
    <w:p w:rsidR="00000000" w:rsidRDefault="00135149">
      <w:pPr>
        <w:pStyle w:val="List"/>
        <w:spacing w:before="50"/>
        <w:ind w:left="600" w:hanging="300"/>
      </w:pPr>
      <w:r>
        <w:t>•</w:t>
      </w:r>
      <w:r>
        <w:tab/>
      </w:r>
      <w:r>
        <w:rPr>
          <w:b/>
          <w:bCs/>
        </w:rPr>
        <w:t>RQ2:</w:t>
      </w:r>
      <w:r>
        <w:t xml:space="preserve"> Did large changes in focus on different topics reflect on-the-ground processes?  </w:t>
      </w:r>
    </w:p>
    <w:p w:rsidR="00000000" w:rsidRDefault="00135149">
      <w:pPr>
        <w:spacing w:before="60"/>
      </w:pPr>
      <w:r>
        <w:t xml:space="preserve">In addition to these research questions, we also provide a case study that explores how changes in the topical foci of news and Twitter users may be useful in understanding how topical discussions clustered around particular countries in interesting ways, </w:t>
      </w:r>
      <w:r>
        <w:t>especially with respect to discussions of protests.</w:t>
      </w:r>
    </w:p>
    <w:p w:rsidR="00000000" w:rsidRDefault="00135149">
      <w:pPr>
        <w:ind w:firstLine="300"/>
      </w:pPr>
      <w:r>
        <w:lastRenderedPageBreak/>
        <w:t>In order to perform our analysis, we begin by developing a set of human-curated topical themes of interest based on prior literature. For each theme, we then determine a set of terms that, when mentioned,</w:t>
      </w:r>
      <w:r>
        <w:t xml:space="preserve"> are relevant to these themes. We then search for these terms across all of our Twitter and newspaper data. Where we find a term used in a particular tweet or news article, we determine the time at which the content was produced and the particular nation(s</w:t>
      </w:r>
      <w:r>
        <w:t>) in the Arab World that the content is relevant to. We thus are left with a set of counts, over time, of the discussion of our different themes in different nations in the Arab world.</w:t>
      </w:r>
    </w:p>
    <w:p w:rsidR="00000000" w:rsidRDefault="00135149">
      <w:pPr>
        <w:ind w:firstLine="300"/>
      </w:pPr>
      <w:r>
        <w:t>Naïvely, this count data, or rates directly calculated from it, could b</w:t>
      </w:r>
      <w:r>
        <w:t>e used to address our research questions. As detailed in recent work by Eisenstein et al. (2014), however, the direct utilization of count data, or rate data based on these counts, is a methodologically unsound decision. As Eisenstein et al. (2014) discuss</w:t>
      </w:r>
      <w:r>
        <w:t xml:space="preserve"> for Twitter, term counts may be biased by unknown irregularities in the way Twitter provides tweets through its API (Morstatter et al., 2013) or via unique properties of the keyword or spatial queries researchers construct to obtain data from the API (REM</w:t>
      </w:r>
      <w:r>
        <w:t>OVED FOR BLIND REVIEW). Similarly, superfluous coverage by news media on particular nations may lead to artificial increases in counts or, if focused on themes not of interest in the present work, superfluous decreases in rates. In the present work, we thu</w:t>
      </w:r>
      <w:r>
        <w:t>s adapt a slightly modified version of the statistical model developed and employed by Eisenstein et al. (2014). This model controls for spatial and temporal patterns in the rate at which data is obtained, thereby removing many of the important biases asso</w:t>
      </w:r>
      <w:r>
        <w:t>ciated with term count data. While a plethora of issues still must be considered when analyzing, in particular, social media data (Tufekci, 2014), Eisenstein et al.’s (2014) model allows us to move beyond these statistical irregularities in the data and th</w:t>
      </w:r>
      <w:r>
        <w:t>us gives us more freedom to draw inferences about the relationship between rates of change in thematic content and actual events occurring during the Arab Spring.</w:t>
      </w:r>
    </w:p>
    <w:p w:rsidR="00000000" w:rsidRDefault="00135149">
      <w:pPr>
        <w:ind w:firstLine="300"/>
      </w:pPr>
      <w:r>
        <w:t>After explaining this model in more detail how it was adapted for the present work, we consid</w:t>
      </w:r>
      <w:r>
        <w:t>er analyses that address our two research questions, and then a discussion which describes results from the case study. With respect to RQ1, we find that Twitter and news media were much more correlated on certain topics and in certain countries than other</w:t>
      </w:r>
      <w:r>
        <w:t>s. More specifically, topics most relevant to social change and countries in which massive social change occurred showed high levels of correlation between the two media, while others showed significantly less cohesion in topical focus across the two media</w:t>
      </w:r>
      <w:r>
        <w:t>. With respect to RQ2, we find that outliers in activation levels of categories in our data matched quite well with important time periods during the Arab Spring, providing further evidence that news media and Twitter data are important tools for the study</w:t>
      </w:r>
      <w:r>
        <w:t xml:space="preserve"> of social change. Finally, with respect to our case study, we find evidence that countries clustered in thematic discussions along dimensions of social change, and also evidence that protest discussions roughly conform to expectations put forth in the lit</w:t>
      </w:r>
      <w:r>
        <w:t>erature on news media, Twitter and protests during the Arab Spring.</w:t>
      </w:r>
    </w:p>
    <w:p w:rsidR="00000000" w:rsidRDefault="00135149">
      <w:pPr>
        <w:pStyle w:val="Heading2"/>
        <w:widowControl/>
      </w:pPr>
      <w:r>
        <w:t>2  Related work</w:t>
      </w:r>
    </w:p>
    <w:p w:rsidR="00000000" w:rsidRDefault="00135149">
      <w:pPr>
        <w:pStyle w:val="Heading3"/>
        <w:widowControl/>
        <w:spacing w:before="180"/>
      </w:pPr>
      <w:r>
        <w:t>2.1  Overview of the Arab Spring</w:t>
      </w:r>
    </w:p>
    <w:p w:rsidR="00000000" w:rsidRDefault="00135149">
      <w:pPr>
        <w:spacing w:before="60"/>
      </w:pPr>
      <w:r>
        <w:t>A host of historical factors led to the conditions in 2011 that made many nations in the Arab world ripe for protest (Gelvin, 2015). One lo</w:t>
      </w:r>
      <w:r>
        <w:t xml:space="preserve">ng-standing issue was the increasing extent of economic problems caused by ineffective, corrupt and state-run economies. These issues led to high levels of unemployment and inflation (Dewey et al., 2012) as well as to both food shortages and huge hikes in </w:t>
      </w:r>
      <w:r>
        <w:t>food prices, all of which contributed to high levels of civil unrest (Comunello and Anzera, 2012; Goldstone, 2011). The effect of high unemployment rates was particularly a problem because it heavily affected well-educated youth populations, individuals wh</w:t>
      </w:r>
      <w:r>
        <w:t>o had often been promised that their education efforts would be rewarded with jobs (Dewey et al., 2012; Gelvin, 2015). This, combined with a “youth bulge” in which a disproportionate percentage of the population was between the ages of 15-29 in many of the</w:t>
      </w:r>
      <w:r>
        <w:t xml:space="preserve"> MENA region countries, provided a fodder of civil unrest that required only a spark to ignite and a gust of wind to spread throughout the region. This spark came, as noted above, in the form of Mohamed Bouazizi. While Bouazizi may have provided the spark,</w:t>
      </w:r>
      <w:r>
        <w:t xml:space="preserve"> it is generally agreed upon that social media, or more aptly, the existence of communication infrastructures that supported all forms of new media (Tufekci and Wilson, 2012; Wolfsfeld et al., 2013), served as the wind to spread the flame to Egypt, to Liby</w:t>
      </w:r>
      <w:r>
        <w:t>a and on to several other nations in the Arab world. In addition to work focusing on why the revolutions occurred, several scholars have also developed rationals for why some revolutions succeeded (e.g. in Egypt, Libya and Tunisia) where others failed (e.g</w:t>
      </w:r>
      <w:r>
        <w:t xml:space="preserve">. in Bahrain, Saudi Arabia) and still others are unresolved (e.g. in Syria). Goldstone (2013) suggests that chief amongst predictors of success was the structure of the ruling regime. Goldstone defines a </w:t>
      </w:r>
      <w:r>
        <w:rPr>
          <w:i/>
          <w:iCs/>
        </w:rPr>
        <w:t>personalist</w:t>
      </w:r>
      <w:r>
        <w:t xml:space="preserve"> regime as one in which a single individu</w:t>
      </w:r>
      <w:r>
        <w:t xml:space="preserve">al </w:t>
      </w:r>
      <w:r>
        <w:t>–</w:t>
      </w:r>
      <w:r>
        <w:t xml:space="preserve"> who may have begun as an elected leader, or head of a military or even party regime </w:t>
      </w:r>
      <w:r>
        <w:t>–</w:t>
      </w:r>
      <w:r>
        <w:t xml:space="preserve"> takes total or nearly total control of the national government. He then provides qualitative evidence that “the single best key to where regimes in MENA have been ov</w:t>
      </w:r>
      <w:r>
        <w:t>erturned or faced massive rebellions is where personalist regimes have arisen” (pg. 14). Goldstone’s (2013) work argues that personalist regimes were the most susceptible because their power was tied to their ability to provide the necessary economic and p</w:t>
      </w:r>
      <w:r>
        <w:t xml:space="preserve">olitical incentives to their constituency, particularly in nations that depended on oil production. </w:t>
      </w:r>
    </w:p>
    <w:p w:rsidR="00000000" w:rsidRDefault="00135149">
      <w:pPr>
        <w:ind w:firstLine="300"/>
      </w:pPr>
      <w:r>
        <w:t>The status of economic conditions thus played a role not only in the fomenting of revolution but also in different levels of success, as economic struggles</w:t>
      </w:r>
      <w:r>
        <w:t xml:space="preserve"> in countries like Tunisia prevented personalist regimes from being about to “buy their way out” of the protests. Perhaps the most vital faction of the population where personalist regimes needed to retain their power over was the military Battera (2014); </w:t>
      </w:r>
      <w:r>
        <w:t>Comunello and Anzera (2012). Bellin (2012) argues that the relationship between revolutionary success can be boiled down to one specific asset of the relationship between the ruling regime and the military - whether or not the regime was able to convince t</w:t>
      </w:r>
      <w:r>
        <w:t>he military to shoot at the protestors. In countries where the military made the decision not to use violent force, protesters were able to flood the streets without fear of the full wrath of the state. This lack of impunity led to stronger protests that e</w:t>
      </w:r>
      <w:r>
        <w:t>ventually led to the downfall of the Tunisian and Egyptian regimes. In contrast, in Saudi Arabia, for example, where the military opted to side with the regime and use force to quell protests, regimes managed to maintain power.</w:t>
      </w:r>
    </w:p>
    <w:p w:rsidR="00000000" w:rsidRDefault="00135149">
      <w:pPr>
        <w:ind w:firstLine="300"/>
      </w:pPr>
      <w:r>
        <w:t>In making the decision of wh</w:t>
      </w:r>
      <w:r>
        <w:t xml:space="preserve">ether or not to fire on protestors, one important factor was the extent to which previously disparate social groups formed a cross-class coalition in their protests and revolutionary efforts Goldstone (2011). A unified coalition of protestors made it more </w:t>
      </w:r>
      <w:r>
        <w:t>difficult for the military to justify the use of force in their response to the protest for two reasons. First, the combination of various social groups lessened the military’s ability to claim that violent actions were a response to a particular out-group</w:t>
      </w:r>
      <w:r>
        <w:t xml:space="preserve"> in the interest of protecting the “nation”. Second, the sheer size of such a coalition would relegate military action to being viewed as “illegitimate slaughter” Bellin (2012). </w:t>
      </w:r>
    </w:p>
    <w:p w:rsidR="00000000" w:rsidRDefault="00135149">
      <w:pPr>
        <w:ind w:firstLine="300"/>
      </w:pPr>
      <w:r>
        <w:t>The development of these unified coalitions across various social groups also</w:t>
      </w:r>
      <w:r>
        <w:t xml:space="preserve"> provided an opportunity for the news media to characterize protestors under a national identity, rather than as protests via one specific subgroup. As we discuss shortly, the portrayals of the revolutions by news media thus had an important impact on revo</w:t>
      </w:r>
      <w:r>
        <w:t>lutionary outcomes in that their coverage ultimately influenced a final factor in revolutionary success, which was the extent and type of involvement in the revolutions in the various nations from international powers Comunello and Anzera (2012); Goldstone</w:t>
      </w:r>
      <w:r>
        <w:t xml:space="preserve"> (2013). This applies both to the actions of the West during the revolutions as well as the actions taken by Arab nations themselves. </w:t>
      </w:r>
    </w:p>
    <w:p w:rsidR="00000000" w:rsidRDefault="00135149">
      <w:pPr>
        <w:ind w:firstLine="300"/>
      </w:pPr>
      <w:r>
        <w:t>Social media had much the same effect, increasing both the level of information spread and the extent to which individual</w:t>
      </w:r>
      <w:r>
        <w:t>s felt compelled to participate in protests (Bellin, 2012; Tufekci and Wilson, 2012; Wolfsfeld et al., 2013). Similarly, new social media may have provided a forum for national identities to emerge (Cottle, 2011). More generally, however, there were import</w:t>
      </w:r>
      <w:r>
        <w:t>ant similarities between news media and social media not only in that they served similar purposes, but that they existed within a symbiotic relationship throughout the Arab Spring Cottle (2011). As we will see, the intertwinement of news media content and</w:t>
      </w:r>
      <w:r>
        <w:t xml:space="preserve"> content from social media was significant, but existed more heavily within discussions related to particular themes and particular countries.</w:t>
      </w:r>
    </w:p>
    <w:p w:rsidR="00000000" w:rsidRDefault="00135149">
      <w:pPr>
        <w:pStyle w:val="Heading3"/>
        <w:widowControl/>
        <w:spacing w:before="120"/>
      </w:pPr>
      <w:r>
        <w:t>2.2  Using new media to study the Arab Spring</w:t>
      </w:r>
    </w:p>
    <w:p w:rsidR="00000000" w:rsidRDefault="00135149">
      <w:pPr>
        <w:spacing w:before="60"/>
      </w:pPr>
      <w:r>
        <w:t>Having given our stance on the question of whether or not social me</w:t>
      </w:r>
      <w:r>
        <w:t>dia played a role in the revolution, we now turn to how data from social media has been used to better understand the processes inherent to the revolution as a whole. In particular, we focus on Twitter, as this is the data available to us in the present st</w:t>
      </w:r>
      <w:r>
        <w:t>udy. The earliest work we are aware of to look at the relationship between new media and the Arab Spring was that of Lotan et al. (2011). The authors stress the strong interplay between Twitter and news media, and showed that the relationships between main</w:t>
      </w:r>
      <w:r>
        <w:t>stream media outlets, activists, journalists and bloggers differed in datasets collected from Tunisia and Egypt. Lotan et al. (2011) considered data that used the hashtags #egypt or #libya, finding that Egypt and Libya displayed differing amounts of tweets</w:t>
      </w:r>
      <w:r>
        <w:t xml:space="preserve"> in the two major languages of interest, Arabic and English. Egypt having significantly more tweets in Arabic than English, and Libya the other way around. Later work by Bruns et al. (2013) observed that the English-speaking world lost interest in the even</w:t>
      </w:r>
      <w:r>
        <w:t>ts relevant to the Arab Spring much earlier than those tweeting in Arabic. As we focus largely on English-language keywords, such language effects must be kept in mind.</w:t>
      </w:r>
    </w:p>
    <w:p w:rsidR="00000000" w:rsidRDefault="00135149">
      <w:pPr>
        <w:ind w:firstLine="300"/>
      </w:pPr>
      <w:r>
        <w:t>Perhaps most relevant to the present work, however, are the efforts of Borge-Holthoefer</w:t>
      </w:r>
      <w:r>
        <w:t xml:space="preserve"> et al. (2014). These authors use Twitter data to test the extent to which individuals switched between Secularist and Islamist and pro and anti-military “camps” in Egypt during the Arab Spring. While the authors focus on Arabic tweets, their efforts show </w:t>
      </w:r>
      <w:r>
        <w:t>that Twitter data provides a unique lens through which important and interesting social processes relevant to the revolutions can be studied. We extend their efforts to new questions, new data and new methods in the present work.</w:t>
      </w:r>
    </w:p>
    <w:p w:rsidR="00000000" w:rsidRDefault="00135149">
      <w:pPr>
        <w:pStyle w:val="Heading3"/>
        <w:widowControl/>
        <w:spacing w:before="120"/>
      </w:pPr>
      <w:r>
        <w:t xml:space="preserve">2.3  The role of the news </w:t>
      </w:r>
      <w:r>
        <w:t>media</w:t>
      </w:r>
    </w:p>
    <w:p w:rsidR="00000000" w:rsidRDefault="00135149">
      <w:pPr>
        <w:spacing w:before="60"/>
      </w:pPr>
      <w:r>
        <w:t>As argued by Hussain and Howard (2013), international news media organizations were important in the Arab Spring in that they brought world-wide attention to the events in the region, helping to “stave off overtly violent reactions from security forc</w:t>
      </w:r>
      <w:r>
        <w:t>es”. Cottle (2011) argues that this was particularly important in “alerting world opinion to repressive and potentially prosecutable acts of inhumanity”. We would thus expect that the degree of coverage for particular topics, especially those relating to v</w:t>
      </w:r>
      <w:r>
        <w:t xml:space="preserve">iolence and revolution, should have interesting relationships with the success and/or failure of uprisings across the Arab world. Other work by (REMOVED FOR BLIND REVIEW) has considered quantitative approaches to using news media data to better understand </w:t>
      </w:r>
      <w:r>
        <w:t xml:space="preserve">the Arab Spring. Specifically, the authors use news media to instantiate a dynamic network agent-based model and use model output to predict successful revolutions. While their use of newspaper data chiefly incorporates off-the-shelf statistical tools, it </w:t>
      </w:r>
      <w:r>
        <w:t>is an important indicator that news media data can be used in large quantities to provide accurate models of underlying social processes.</w:t>
      </w:r>
    </w:p>
    <w:p w:rsidR="00000000" w:rsidRDefault="00135149">
      <w:pPr>
        <w:pStyle w:val="Heading2"/>
        <w:widowControl/>
      </w:pPr>
      <w:r>
        <w:t>3  Data</w:t>
      </w:r>
    </w:p>
    <w:p w:rsidR="00000000" w:rsidRDefault="00135149">
      <w:pPr>
        <w:pStyle w:val="Table"/>
        <w:spacing w:before="300"/>
      </w:pPr>
    </w:p>
    <w:p w:rsidR="00000000" w:rsidRPr="00135149" w:rsidRDefault="00135149">
      <w:pPr>
        <w:pStyle w:val="centerpar"/>
        <w:rPr>
          <w:b/>
        </w:rPr>
      </w:pPr>
      <w:r w:rsidRPr="00135149">
        <w:rPr>
          <w:b/>
        </w:rPr>
        <w:t>PLEASE LOOK AT PAPER FOR TABLE 1</w:t>
      </w:r>
    </w:p>
    <w:p w:rsidR="00000000" w:rsidRDefault="00135149">
      <w:pPr>
        <w:pStyle w:val="Caption"/>
      </w:pPr>
      <w:r>
        <w:t xml:space="preserve">Table </w:t>
      </w:r>
      <w:bookmarkStart w:id="0" w:name="BMtab_countries"/>
      <w:r>
        <w:t>1</w:t>
      </w:r>
      <w:bookmarkEnd w:id="0"/>
      <w:r>
        <w:t>: The thirteen coun</w:t>
      </w:r>
      <w:r>
        <w:t>tries studied in the present work, along with a (very) brief description of important events within the nation during the Arab Spring</w:t>
      </w:r>
      <w:r>
        <w:fldChar w:fldCharType="begin"/>
      </w:r>
      <w:r>
        <w:instrText xml:space="preserve">TC "1 The thirteen countries studied in the present work, along with a (very) brief description of important events within </w:instrText>
      </w:r>
      <w:r>
        <w:instrText>the nation during the Arab Spring" \f t</w:instrText>
      </w:r>
      <w:r>
        <w:fldChar w:fldCharType="end"/>
      </w:r>
    </w:p>
    <w:p w:rsidR="00000000" w:rsidRDefault="00135149">
      <w:pPr>
        <w:spacing w:before="240"/>
        <w:ind w:firstLine="300"/>
      </w:pPr>
      <w:r>
        <w:t>The present work focuses on discussions of human-curated topical categories in large corpora of news and Twitter data. Data collection, and thus analysis, was focused on thirteen countries in the Arab World, plus I</w:t>
      </w:r>
      <w:r>
        <w:t>ran. The countries of interest, and that provided enough data of interest to the present work, are listed in Table </w:t>
      </w:r>
      <w:r>
        <w:fldChar w:fldCharType="begin"/>
      </w:r>
      <w:r>
        <w:instrText xml:space="preserve">REF BMtab_countries \* MERGEFORMAT </w:instrText>
      </w:r>
      <w:r>
        <w:fldChar w:fldCharType="separate"/>
      </w:r>
      <w:r>
        <w:t>I</w:t>
      </w:r>
      <w:r>
        <w:fldChar w:fldCharType="end"/>
      </w:r>
      <w:r>
        <w:t>, along with a brief description of how the Arab Spring affected that particular nation and what is oc</w:t>
      </w:r>
      <w:r>
        <w:t>curring in the nation as of May, 2015 . Below, we describe the Twitter and news datasets utilized. For more information on the Twitter data, we refer the reader to (REMOVED FOR BLIND REVIEW) . For more information on the news data, we refer the reader to (</w:t>
      </w:r>
      <w:r>
        <w:t>REMOVED FOR BLIND REVIEW). Note that we use a subset of the Twitter data described in previous work here, and an expanded news dataset collected in the same fashion as the data used in previous work.</w:t>
      </w:r>
    </w:p>
    <w:p w:rsidR="00000000" w:rsidRDefault="00135149">
      <w:pPr>
        <w:pStyle w:val="Heading3"/>
        <w:widowControl/>
        <w:spacing w:before="120"/>
      </w:pPr>
      <w:r>
        <w:t>3.1  Twitter data</w:t>
      </w:r>
    </w:p>
    <w:p w:rsidR="00000000" w:rsidRDefault="00135149">
      <w:pPr>
        <w:spacing w:before="60"/>
      </w:pPr>
      <w:r>
        <w:t>The present work utilizes a corpora of approximately 70M tweets collected between March, 2011 and December, 2012. The data was collected from a pair of sources of Twitter data. The first utilized a variety of approaches, including geospatial bounding boxes</w:t>
      </w:r>
      <w:r>
        <w:t xml:space="preserve">, keyword searches and searches for specific Twitter users, to capture data that data collectors deemed relevant to the Arab Spring. As the data was obtained from an outside source, an exact listing of terms and spatial regions from which this set of data </w:t>
      </w:r>
      <w:r>
        <w:t>was collected is unavailable to us. However, most of the collection is known to have focused on events relevant to Egypt, Libya, Syria, Tunisia and Yemen. The second source of data is obtained from a 10% sample of all Twitter data made available to members</w:t>
      </w:r>
      <w:r>
        <w:t xml:space="preserve"> of our university. From this sample, we extract all tweets that were geo-tagged from a location inside the nations of interest. Any geo-tagged tweet from a particular country is assumed to be relevant to that country. In addition, any tweet that uses a co</w:t>
      </w:r>
      <w:r>
        <w:t>untry’s name, in Arabic or in English, or a tweet that uses the name of any of the country’s five most populous cities in English or in Arabic, is assumed to be relevant to that country. Note, then, that the same tweet may be considered relevant to multipl</w:t>
      </w:r>
      <w:r>
        <w:t xml:space="preserve">e countries. </w:t>
      </w:r>
    </w:p>
    <w:p w:rsidR="00000000" w:rsidRDefault="00135149">
      <w:pPr>
        <w:pStyle w:val="Heading3"/>
        <w:widowControl/>
        <w:spacing w:before="120"/>
      </w:pPr>
      <w:r>
        <w:t>3.2  News data</w:t>
      </w:r>
    </w:p>
    <w:p w:rsidR="00000000" w:rsidRDefault="00135149">
      <w:pPr>
        <w:spacing w:before="60"/>
      </w:pPr>
      <w:r>
        <w:t>The present work utilizes a collection of approximately 700K newspaper articles collected during the same time period as the Twitter data. All newspaper articles were extracted from the LexisNexis archive of major, English-spea</w:t>
      </w:r>
      <w:r>
        <w:t>king news agencies. We collected data that LexisNexis’ proprietary indexing algorithms labelled as being relevant to one of the thirteen nations of interest. Text analysis was conducted only on the body of the text for each article.</w:t>
      </w:r>
    </w:p>
    <w:p w:rsidR="00000000" w:rsidRDefault="00135149">
      <w:pPr>
        <w:pStyle w:val="Heading2"/>
        <w:widowControl/>
      </w:pPr>
      <w:r>
        <w:t>4  Methodology</w:t>
      </w:r>
    </w:p>
    <w:p w:rsidR="00000000" w:rsidRDefault="00135149">
      <w:pPr>
        <w:spacing w:before="60"/>
      </w:pPr>
      <w:r>
        <w:t>There ar</w:t>
      </w:r>
      <w:r>
        <w:t>e two major pieces to the methodology utilized in this paper. We first cover the manner in which we determined the themes, or categories, of interest to us and how we selected sets of terms used as a proxy for the discussion of each of these categories. We</w:t>
      </w:r>
      <w:r>
        <w:t xml:space="preserve"> then describe the methodology we utilize to determine the extent to which each category was being discussed in different countries over time. </w:t>
      </w:r>
    </w:p>
    <w:p w:rsidR="00000000" w:rsidRDefault="00135149">
      <w:pPr>
        <w:pStyle w:val="Heading3"/>
        <w:widowControl/>
        <w:spacing w:before="120"/>
      </w:pPr>
      <w:r>
        <w:t>4.1  Categories</w:t>
      </w:r>
    </w:p>
    <w:p w:rsidR="00000000" w:rsidRDefault="00135149">
      <w:pPr>
        <w:spacing w:before="60"/>
      </w:pPr>
      <w:r>
        <w:t>As the data we use here only covers periods after the first revolts in both Tunisia and Egypt, t</w:t>
      </w:r>
      <w:r>
        <w:t xml:space="preserve">he categories we considered in our analysis were chiefly focused on identifying discussions relevant to the spread of protests and the extent to which revolutions in succeeded. After discussion amongst co-authors, three of which are experts on the region, </w:t>
      </w:r>
      <w:r>
        <w:t>we first settled on twenty categories that we were interested in better understanding. Following a decision on this set of categories of interest, our next task was to determine a set of terms</w:t>
      </w:r>
      <w:r w:rsidRPr="00135149">
        <w:rPr>
          <w:rStyle w:val="FootnoteReference"/>
        </w:rPr>
        <w:footnoteReference w:id="3"/>
      </w:r>
      <w:r>
        <w:t xml:space="preserve"> that, if mentioned in a tweet or news article, the authors agreed pointed to a discussion pertinent to that topic. This list, drawing from dictionaries developed over several years of previous study o</w:t>
      </w:r>
      <w:r>
        <w:t>n the region, was refined by the authors until all agreed on the set of terms relevant to each category. Finally, we searched through every tweet and news article in our dataset for these terms. Due to the relatively data-hungry nature of the statistical m</w:t>
      </w:r>
      <w:r>
        <w:t>odel described in the following section, we eventually chose to ignore any category that was found in fewer than 5,000 news articles or 5,000 tweets. This left us with a final set of eleven categories that we considered in our analysis.</w:t>
      </w:r>
    </w:p>
    <w:p w:rsidR="00000000" w:rsidRDefault="00135149">
      <w:pPr>
        <w:pStyle w:val="Table"/>
        <w:spacing w:before="240"/>
      </w:pPr>
      <w:r>
        <w:t xml:space="preserve"> </w:t>
      </w:r>
    </w:p>
    <w:p w:rsidR="00135149" w:rsidRPr="00135149" w:rsidRDefault="00135149" w:rsidP="00135149">
      <w:pPr>
        <w:pStyle w:val="centerpar"/>
        <w:rPr>
          <w:b/>
        </w:rPr>
      </w:pPr>
      <w:r>
        <w:rPr>
          <w:b/>
        </w:rPr>
        <w:t>PLEASE LOOK AT PAPER FOR TABLE 2</w:t>
      </w:r>
    </w:p>
    <w:p w:rsidR="00000000" w:rsidRDefault="00135149">
      <w:pPr>
        <w:pStyle w:val="Caption"/>
      </w:pPr>
      <w:r>
        <w:t xml:space="preserve">Table </w:t>
      </w:r>
      <w:bookmarkStart w:id="1" w:name="BMtab_categories"/>
      <w:r>
        <w:t>2</w:t>
      </w:r>
      <w:bookmarkEnd w:id="1"/>
      <w:r>
        <w:t>: Categories Used</w:t>
      </w:r>
      <w:r>
        <w:fldChar w:fldCharType="begin"/>
      </w:r>
      <w:r>
        <w:instrText>TC "2 Categories Used" \f t</w:instrText>
      </w:r>
      <w:r>
        <w:fldChar w:fldCharType="end"/>
      </w:r>
    </w:p>
    <w:p w:rsidR="00000000" w:rsidRDefault="00135149">
      <w:pPr>
        <w:spacing w:before="240"/>
        <w:ind w:firstLine="300"/>
      </w:pPr>
      <w:r>
        <w:t>Table </w:t>
      </w:r>
      <w:r>
        <w:fldChar w:fldCharType="begin"/>
      </w:r>
      <w:r>
        <w:instrText xml:space="preserve">REF BMtab_categories \* MERGEFORMAT </w:instrText>
      </w:r>
      <w:r>
        <w:fldChar w:fldCharType="separate"/>
      </w:r>
      <w:r>
        <w:t>II</w:t>
      </w:r>
      <w:r>
        <w:fldChar w:fldCharType="end"/>
      </w:r>
      <w:r>
        <w:t xml:space="preserve"> presents the set of categories used in the present work, along with a description of w</w:t>
      </w:r>
      <w:r>
        <w:t>hy they were chosen, the number of terms that map to the category and a set of search terms representative of the category. We first desired a set of general indicators for social processes involved in revolution, in particular indicators for varying level</w:t>
      </w:r>
      <w:r>
        <w:t>s of unrest (protest, violence, and war) and indicators for processes of change (adaptation). In addition, we included a terrorist organization theme, as the existence of terrorist organizations in a nation-state is known to be a general indicator of insta</w:t>
      </w:r>
      <w:r>
        <w:t xml:space="preserve">bility. This is because highly unstable countries are potential places where terrorist organizations can gain a foothold. </w:t>
      </w:r>
    </w:p>
    <w:p w:rsidR="00000000" w:rsidRDefault="00135149">
      <w:pPr>
        <w:ind w:firstLine="300"/>
      </w:pPr>
      <w:r>
        <w:t>We also included several concepts related the idea presented by Goldstone and others (e.g. Cottle, 2011) Goldstone states that “virtu</w:t>
      </w:r>
      <w:r>
        <w:t xml:space="preserve">ally all successful revolutions were forged by cross-class coalitions...pitting society as whole against the regime” ( Goldstone, 2011, pg. 457). Finally, we use a set of three “noise categories” to better understand the existence of spurious correlations </w:t>
      </w:r>
      <w:r>
        <w:t>that the methodology we utilize here may induce. These noise categories were constructed by taking the top 25 most frequently used nouns and adjectives, as provided by Wikipedia</w:t>
      </w:r>
      <w:r w:rsidRPr="00135149">
        <w:rPr>
          <w:rStyle w:val="FootnoteReference"/>
        </w:rPr>
        <w:footnoteReference w:id="4"/>
      </w:r>
      <w:r>
        <w:t xml:space="preserve"> and randomly spli</w:t>
      </w:r>
      <w:r>
        <w:t>tting them into three categories. Of these 50 terms, we removed five nouns (man, woman, child, life, government) and one verb (young) that were relevant to categories of interest, leaving us with 44 terms split between the three noise categories.</w:t>
      </w:r>
    </w:p>
    <w:p w:rsidR="00000000" w:rsidRDefault="00135149">
      <w:pPr>
        <w:ind w:firstLine="300"/>
      </w:pPr>
      <w:r>
        <w:t>With resp</w:t>
      </w:r>
      <w:r>
        <w:t>ect to the number of terms used, it is clear that there is large variation across categories. This imbalance is only to be expected- while certain categories, in particular Terrorist Organizations and Ethnic identities, can contain a virtually limitless nu</w:t>
      </w:r>
      <w:r>
        <w:t>mber of terms, many of the other categories (e.g. national identity) are restricted to a very small number of possible terms. There are two reasons why one should not expect these differences to affect our analyses. First, it is important to realize that t</w:t>
      </w:r>
      <w:r>
        <w:t>he vast majority of terms in these two categories were found in only a few, if any, tweets and news articles. Second, as we show in the next sections, categories are analyzed independently and only compared based on rates of change.</w:t>
      </w:r>
    </w:p>
    <w:p w:rsidR="00000000" w:rsidRDefault="00135149">
      <w:pPr>
        <w:pStyle w:val="Heading3"/>
        <w:widowControl/>
        <w:spacing w:before="120"/>
      </w:pPr>
      <w:bookmarkStart w:id="2" w:name="BMeq_mle_eta_0"/>
      <w:r>
        <w:t>4.2</w:t>
      </w:r>
      <w:bookmarkEnd w:id="2"/>
      <w:r>
        <w:t xml:space="preserve">  Statistical Approach</w:t>
      </w:r>
    </w:p>
    <w:p w:rsidR="00000000" w:rsidRDefault="00135149">
      <w:pPr>
        <w:spacing w:before="60"/>
      </w:pPr>
      <w:r>
        <w:t>The statistical model we utilize is drawn from the work of Eisenstein et al. (2014). Eisenstein and his colleagues were interested in understanding the extent to which new words diffused on Twitter across metro areas in the U</w:t>
      </w:r>
      <w:r>
        <w:t xml:space="preserve">nited States. To capture the extent to which words in one metro area </w:t>
      </w:r>
      <w:r>
        <w:fldChar w:fldCharType="begin"/>
      </w:r>
      <w:r>
        <w:instrText xml:space="preserve"> EQ </w:instrText>
      </w:r>
      <w:r>
        <w:rPr>
          <w:i/>
          <w:iCs/>
        </w:rPr>
        <w:instrText>r</w:instrText>
      </w:r>
      <w:r>
        <w:instrText>\s\do5(</w:instrText>
      </w:r>
      <w:r>
        <w:rPr>
          <w:sz w:val="16"/>
          <w:szCs w:val="16"/>
        </w:rPr>
        <w:instrText>1</w:instrText>
      </w:r>
      <w:r>
        <w:instrText>)</w:instrText>
      </w:r>
      <w:r>
        <w:fldChar w:fldCharType="end"/>
      </w:r>
      <w:r>
        <w:t xml:space="preserve"> spread to a different area </w:t>
      </w:r>
      <w:r>
        <w:fldChar w:fldCharType="begin"/>
      </w:r>
      <w:r>
        <w:instrText xml:space="preserve"> EQ </w:instrText>
      </w:r>
      <w:r>
        <w:rPr>
          <w:i/>
          <w:iCs/>
        </w:rPr>
        <w:instrText>r</w:instrText>
      </w:r>
      <w:r>
        <w:instrText>\s\do5(</w:instrText>
      </w:r>
      <w:r>
        <w:rPr>
          <w:sz w:val="16"/>
          <w:szCs w:val="16"/>
        </w:rPr>
        <w:instrText>2</w:instrText>
      </w:r>
      <w:r>
        <w:instrText>)</w:instrText>
      </w:r>
      <w:r>
        <w:fldChar w:fldCharType="end"/>
      </w:r>
      <w:r>
        <w:t>, they formulated an autoregressive model that captured the extent to which the level of “activation” for the words in their da</w:t>
      </w:r>
      <w:r>
        <w:t xml:space="preserve">taset at time </w:t>
      </w:r>
      <w:r>
        <w:rPr>
          <w:i/>
          <w:iCs/>
        </w:rPr>
        <w:t>t</w:t>
      </w:r>
      <w:r>
        <w:t>−</w:t>
      </w:r>
      <w:r>
        <w:t xml:space="preserve">1 in metro area </w:t>
      </w:r>
      <w:r>
        <w:fldChar w:fldCharType="begin"/>
      </w:r>
      <w:r>
        <w:instrText xml:space="preserve"> EQ </w:instrText>
      </w:r>
      <w:r>
        <w:rPr>
          <w:i/>
          <w:iCs/>
        </w:rPr>
        <w:instrText>r</w:instrText>
      </w:r>
      <w:r>
        <w:instrText>\s\do5(</w:instrText>
      </w:r>
      <w:r>
        <w:rPr>
          <w:sz w:val="16"/>
          <w:szCs w:val="16"/>
        </w:rPr>
        <w:instrText>1</w:instrText>
      </w:r>
      <w:r>
        <w:instrText>)</w:instrText>
      </w:r>
      <w:r>
        <w:fldChar w:fldCharType="end"/>
      </w:r>
      <w:r>
        <w:t xml:space="preserve"> predicted the level in </w:t>
      </w:r>
      <w:r>
        <w:fldChar w:fldCharType="begin"/>
      </w:r>
      <w:r>
        <w:instrText xml:space="preserve"> EQ </w:instrText>
      </w:r>
      <w:r>
        <w:rPr>
          <w:i/>
          <w:iCs/>
        </w:rPr>
        <w:instrText>r</w:instrText>
      </w:r>
      <w:r>
        <w:instrText>\s\do5(</w:instrText>
      </w:r>
      <w:r>
        <w:rPr>
          <w:sz w:val="16"/>
          <w:szCs w:val="16"/>
        </w:rPr>
        <w:instrText>2</w:instrText>
      </w:r>
      <w:r>
        <w:instrText>)</w:instrText>
      </w:r>
      <w:r>
        <w:fldChar w:fldCharType="end"/>
      </w:r>
      <w:r>
        <w:t xml:space="preserve"> at time </w:t>
      </w:r>
      <w:r>
        <w:rPr>
          <w:i/>
          <w:iCs/>
        </w:rPr>
        <w:t>t</w:t>
      </w:r>
      <w:r>
        <w:t>. As noted above, a naïve use of count data, or proportions based on count data, would provide a biased analysis. Briefly, this bias can be broken into two ge</w:t>
      </w:r>
      <w:r>
        <w:t xml:space="preserve">neral, exogenous factors that influence fluctuations in both counts and proportions beyond the desired influence relationship. First, as Eisenstein et al. (2014) notes, sampling rates in the data may differ </w:t>
      </w:r>
      <w:r>
        <w:rPr>
          <w:i/>
          <w:iCs/>
        </w:rPr>
        <w:t>over time</w:t>
      </w:r>
      <w:r>
        <w:t xml:space="preserve"> due to fluctuations in the rate at whic</w:t>
      </w:r>
      <w:r>
        <w:t xml:space="preserve">h Twitter’s API provided data over time. These temporal patterns may also lead to random spikes in the data, spikes which may require smoothing. Second, there also exists an exogenous </w:t>
      </w:r>
      <w:r>
        <w:rPr>
          <w:i/>
          <w:iCs/>
        </w:rPr>
        <w:t>spatial</w:t>
      </w:r>
      <w:r>
        <w:t xml:space="preserve"> factor on count data that one does not actually wish to model, p</w:t>
      </w:r>
      <w:r>
        <w:t xml:space="preserve">articularly in that particular countries (metro areas) have much larger populations than others </w:t>
      </w:r>
      <w:r w:rsidRPr="00135149">
        <w:rPr>
          <w:rStyle w:val="FootnoteReference"/>
        </w:rPr>
        <w:footnoteReference w:id="5"/>
      </w:r>
      <w:r>
        <w:t>.</w:t>
      </w:r>
    </w:p>
    <w:p w:rsidR="00000000" w:rsidRDefault="00135149">
      <w:pPr>
        <w:ind w:firstLine="300"/>
      </w:pPr>
      <w:r>
        <w:t>Our interest in the present work is not to understand diffusion, but rather to</w:t>
      </w:r>
      <w:r>
        <w:t xml:space="preserve"> capture the extent to which different categories we are interested in were being discussed in different countries at different times. Thus, large portions of the work performed by Eisenstein et al. (2014) still apply, in particular the way in which they p</w:t>
      </w:r>
      <w:r>
        <w:t>artial out temporal and spatial biases in their data. While the autoregressive portion of their model is not used here to estimate a diffusion network, we find that it still allows for a desirable smoothing of estimates over time. As we will discuss, it al</w:t>
      </w:r>
      <w:r>
        <w:t xml:space="preserve">so makes it easy to remove temporal autocorrelation from the final estimates. </w:t>
      </w:r>
    </w:p>
    <w:p w:rsidR="00000000" w:rsidRDefault="00135149">
      <w:pPr>
        <w:pStyle w:val="Table"/>
        <w:spacing w:before="240"/>
      </w:pPr>
      <w:r>
        <w:t xml:space="preserve"> </w:t>
      </w:r>
    </w:p>
    <w:p w:rsidR="00135149" w:rsidRPr="00135149" w:rsidRDefault="00135149" w:rsidP="00135149">
      <w:pPr>
        <w:pStyle w:val="centerpar"/>
        <w:rPr>
          <w:b/>
        </w:rPr>
      </w:pPr>
      <w:r>
        <w:rPr>
          <w:b/>
        </w:rPr>
        <w:t>PLEASE LOOK AT PAPER FOR TABLE 3</w:t>
      </w:r>
    </w:p>
    <w:p w:rsidR="00000000" w:rsidRDefault="00135149">
      <w:pPr>
        <w:pStyle w:val="Caption"/>
      </w:pPr>
      <w:r>
        <w:t xml:space="preserve">Table </w:t>
      </w:r>
      <w:bookmarkStart w:id="3" w:name="BMtab_vars"/>
      <w:r>
        <w:t>3</w:t>
      </w:r>
      <w:bookmarkEnd w:id="3"/>
      <w:r>
        <w:t>: table</w:t>
      </w:r>
      <w:r>
        <w:fldChar w:fldCharType="begin"/>
      </w:r>
      <w:r>
        <w:instrText>TC "3 table" \f t</w:instrText>
      </w:r>
      <w:r>
        <w:fldChar w:fldCharType="end"/>
      </w:r>
    </w:p>
    <w:p w:rsidR="00000000" w:rsidRDefault="00135149">
      <w:pPr>
        <w:spacing w:before="240"/>
        <w:ind w:firstLine="300"/>
      </w:pPr>
      <w:r>
        <w:t>Table </w:t>
      </w:r>
      <w:r>
        <w:fldChar w:fldCharType="begin"/>
      </w:r>
      <w:r>
        <w:instrText xml:space="preserve">REF BMtab_vars \* MERGEFORMAT </w:instrText>
      </w:r>
      <w:r>
        <w:fldChar w:fldCharType="separate"/>
      </w:r>
      <w:r>
        <w:t>III</w:t>
      </w:r>
      <w:r>
        <w:fldChar w:fldCharType="end"/>
      </w:r>
      <w:r>
        <w:t xml:space="preserve"> presents an overview of t</w:t>
      </w:r>
      <w:r>
        <w:t xml:space="preserve">he variables used in our description of the statistical model. Note that each model variable is differentiated by media via the subscript </w:t>
      </w:r>
      <w:r>
        <w:rPr>
          <w:i/>
          <w:iCs/>
        </w:rPr>
        <w:t>m</w:t>
      </w:r>
      <w:r>
        <w:t>. In all cases, results for the two media are estimated independently. Thus, to ease notation in this section, we wil</w:t>
      </w:r>
      <w:r>
        <w:t xml:space="preserve">l focus on Twitter, and consequently drop the </w:t>
      </w:r>
      <w:r>
        <w:rPr>
          <w:i/>
          <w:iCs/>
        </w:rPr>
        <w:t>m</w:t>
      </w:r>
      <w:r>
        <w:t xml:space="preserve"> subscript in our discussion. Note that the analog to a Twitter user in our discussion is a single newspaper article. All data is first aggregated by month and by country. From this aggregated data, we extract two primary values. First, the variable </w:t>
      </w:r>
      <w:r>
        <w:fldChar w:fldCharType="begin"/>
      </w:r>
      <w:r>
        <w:instrText xml:space="preserve"> EQ </w:instrText>
      </w:r>
      <w:r>
        <w:rPr>
          <w:i/>
          <w:iCs/>
        </w:rPr>
        <w:instrText>c</w:instrText>
      </w:r>
      <w:r>
        <w:instrText>\</w:instrText>
      </w:r>
      <w:r>
        <w:instrText>s\do5(</w:instrText>
      </w:r>
      <w:r>
        <w:rPr>
          <w:i/>
          <w:iCs/>
          <w:sz w:val="16"/>
          <w:szCs w:val="16"/>
        </w:rPr>
        <w:instrText>w</w:instrText>
      </w:r>
      <w:r>
        <w:rPr>
          <w:sz w:val="16"/>
          <w:szCs w:val="16"/>
        </w:rPr>
        <w:instrText>\,</w:instrText>
      </w:r>
      <w:r>
        <w:rPr>
          <w:i/>
          <w:iCs/>
          <w:sz w:val="16"/>
          <w:szCs w:val="16"/>
        </w:rPr>
        <w:instrText>r</w:instrText>
      </w:r>
      <w:r>
        <w:rPr>
          <w:sz w:val="16"/>
          <w:szCs w:val="16"/>
        </w:rPr>
        <w:instrText>\,</w:instrText>
      </w:r>
      <w:r>
        <w:rPr>
          <w:i/>
          <w:iCs/>
          <w:sz w:val="16"/>
          <w:szCs w:val="16"/>
        </w:rPr>
        <w:instrText>t</w:instrText>
      </w:r>
      <w:r>
        <w:instrText>)</w:instrText>
      </w:r>
      <w:r>
        <w:fldChar w:fldCharType="end"/>
      </w:r>
      <w:r>
        <w:t xml:space="preserve"> gives the number of Twitter users (newspaper articles) who used a term in category </w:t>
      </w:r>
      <w:r>
        <w:rPr>
          <w:i/>
          <w:iCs/>
        </w:rPr>
        <w:t>w</w:t>
      </w:r>
      <w:r>
        <w:t xml:space="preserve"> in at least one of their tweets related to the country </w:t>
      </w:r>
      <w:r>
        <w:rPr>
          <w:i/>
          <w:iCs/>
        </w:rPr>
        <w:t>r</w:t>
      </w:r>
      <w:r>
        <w:t xml:space="preserve"> during month </w:t>
      </w:r>
      <w:r>
        <w:rPr>
          <w:i/>
          <w:iCs/>
        </w:rPr>
        <w:t>t</w:t>
      </w:r>
      <w:r>
        <w:t xml:space="preserve">. Second, </w:t>
      </w:r>
      <w:r>
        <w:fldChar w:fldCharType="begin"/>
      </w:r>
      <w:r>
        <w:instrText xml:space="preserve"> EQ </w:instrText>
      </w:r>
      <w:r>
        <w:rPr>
          <w:i/>
          <w:iCs/>
        </w:rPr>
        <w:instrText>s</w:instrText>
      </w:r>
      <w:r>
        <w:instrText>\s\do5(</w:instrText>
      </w:r>
      <w:r>
        <w:rPr>
          <w:i/>
          <w:iCs/>
          <w:sz w:val="16"/>
          <w:szCs w:val="16"/>
        </w:rPr>
        <w:instrText>r</w:instrText>
      </w:r>
      <w:r>
        <w:rPr>
          <w:sz w:val="16"/>
          <w:szCs w:val="16"/>
        </w:rPr>
        <w:instrText>\,</w:instrText>
      </w:r>
      <w:r>
        <w:rPr>
          <w:i/>
          <w:iCs/>
          <w:sz w:val="16"/>
          <w:szCs w:val="16"/>
        </w:rPr>
        <w:instrText>t</w:instrText>
      </w:r>
      <w:r>
        <w:instrText>)</w:instrText>
      </w:r>
      <w:r>
        <w:fldChar w:fldCharType="end"/>
      </w:r>
      <w:r>
        <w:t xml:space="preserve"> represents the total number of users who sent one or </w:t>
      </w:r>
      <w:r>
        <w:t xml:space="preserve">more tweets about </w:t>
      </w:r>
      <w:r>
        <w:rPr>
          <w:i/>
          <w:iCs/>
        </w:rPr>
        <w:t>anything</w:t>
      </w:r>
      <w:r>
        <w:t xml:space="preserve"> in country </w:t>
      </w:r>
      <w:r>
        <w:rPr>
          <w:i/>
          <w:iCs/>
        </w:rPr>
        <w:t>r</w:t>
      </w:r>
      <w:r>
        <w:t xml:space="preserve"> during month </w:t>
      </w:r>
      <w:r>
        <w:rPr>
          <w:i/>
          <w:iCs/>
        </w:rPr>
        <w:t>t</w:t>
      </w:r>
      <w:r>
        <w:t xml:space="preserve">. Thus, it is straightforward to represent </w:t>
      </w:r>
      <w:r>
        <w:fldChar w:fldCharType="begin"/>
      </w:r>
      <w:r>
        <w:instrText xml:space="preserve"> EQ </w:instrText>
      </w:r>
      <w:r>
        <w:rPr>
          <w:i/>
          <w:iCs/>
        </w:rPr>
        <w:instrText>c</w:instrText>
      </w:r>
      <w:r>
        <w:instrText>\s\do5(</w:instrText>
      </w:r>
      <w:r>
        <w:rPr>
          <w:i/>
          <w:iCs/>
          <w:sz w:val="16"/>
          <w:szCs w:val="16"/>
        </w:rPr>
        <w:instrText>w</w:instrText>
      </w:r>
      <w:r>
        <w:rPr>
          <w:sz w:val="16"/>
          <w:szCs w:val="16"/>
        </w:rPr>
        <w:instrText>\,</w:instrText>
      </w:r>
      <w:r>
        <w:rPr>
          <w:i/>
          <w:iCs/>
          <w:sz w:val="16"/>
          <w:szCs w:val="16"/>
        </w:rPr>
        <w:instrText>r</w:instrText>
      </w:r>
      <w:r>
        <w:rPr>
          <w:sz w:val="16"/>
          <w:szCs w:val="16"/>
        </w:rPr>
        <w:instrText>\,</w:instrText>
      </w:r>
      <w:r>
        <w:rPr>
          <w:i/>
          <w:iCs/>
          <w:sz w:val="16"/>
          <w:szCs w:val="16"/>
        </w:rPr>
        <w:instrText>t</w:instrText>
      </w:r>
      <w:r>
        <w:instrText>)</w:instrText>
      </w:r>
      <w:r>
        <w:fldChar w:fldCharType="end"/>
      </w:r>
      <w:r>
        <w:t xml:space="preserve"> as being distributed binomially, </w:t>
      </w:r>
      <w:r>
        <w:fldChar w:fldCharType="begin"/>
      </w:r>
      <w:r>
        <w:instrText xml:space="preserve"> EQ </w:instrText>
      </w:r>
      <w:r>
        <w:rPr>
          <w:i/>
          <w:iCs/>
        </w:rPr>
        <w:instrText>c</w:instrText>
      </w:r>
      <w:r>
        <w:instrText>\s\do5(</w:instrText>
      </w:r>
      <w:r>
        <w:rPr>
          <w:i/>
          <w:iCs/>
          <w:sz w:val="16"/>
          <w:szCs w:val="16"/>
        </w:rPr>
        <w:instrText>w</w:instrText>
      </w:r>
      <w:r>
        <w:rPr>
          <w:sz w:val="16"/>
          <w:szCs w:val="16"/>
        </w:rPr>
        <w:instrText>\,</w:instrText>
      </w:r>
      <w:r>
        <w:rPr>
          <w:i/>
          <w:iCs/>
          <w:sz w:val="16"/>
          <w:szCs w:val="16"/>
        </w:rPr>
        <w:instrText>r</w:instrText>
      </w:r>
      <w:r>
        <w:rPr>
          <w:sz w:val="16"/>
          <w:szCs w:val="16"/>
        </w:rPr>
        <w:instrText>\,</w:instrText>
      </w:r>
      <w:r>
        <w:rPr>
          <w:i/>
          <w:iCs/>
          <w:sz w:val="16"/>
          <w:szCs w:val="16"/>
        </w:rPr>
        <w:instrText>t</w:instrText>
      </w:r>
      <w:r>
        <w:instrText>)</w:instrText>
      </w:r>
      <w:r>
        <w:rPr>
          <w:rFonts w:ascii="Monaco" w:hAnsi="Monaco" w:cs="Monaco"/>
        </w:rPr>
        <w:instrText>∼</w:instrText>
      </w:r>
      <w:r>
        <w:rPr>
          <w:i/>
          <w:iCs/>
        </w:rPr>
        <w:instrText>Bin</w:instrText>
      </w:r>
      <w:r>
        <w:instrText>(</w:instrText>
      </w:r>
      <w:r>
        <w:rPr>
          <w:i/>
          <w:iCs/>
        </w:rPr>
        <w:instrText>s</w:instrText>
      </w:r>
      <w:r>
        <w:instrText>\s\do5(</w:instrText>
      </w:r>
      <w:r>
        <w:rPr>
          <w:i/>
          <w:iCs/>
          <w:sz w:val="16"/>
          <w:szCs w:val="16"/>
        </w:rPr>
        <w:instrText>r</w:instrText>
      </w:r>
      <w:r>
        <w:rPr>
          <w:sz w:val="16"/>
          <w:szCs w:val="16"/>
        </w:rPr>
        <w:instrText>\,</w:instrText>
      </w:r>
      <w:r>
        <w:rPr>
          <w:i/>
          <w:iCs/>
          <w:sz w:val="16"/>
          <w:szCs w:val="16"/>
        </w:rPr>
        <w:instrText>t</w:instrText>
      </w:r>
      <w:r>
        <w:instrText>)\,</w:instrText>
      </w:r>
      <w:r>
        <w:rPr>
          <w:i/>
          <w:iCs/>
        </w:rPr>
        <w:instrText>p</w:instrText>
      </w:r>
      <w:r>
        <w:instrText>)</w:instrText>
      </w:r>
      <w:r>
        <w:fldChar w:fldCharType="end"/>
      </w:r>
      <w:r>
        <w:t>.</w:t>
      </w:r>
    </w:p>
    <w:p w:rsidR="00000000" w:rsidRDefault="00135149">
      <w:pPr>
        <w:ind w:firstLine="300"/>
      </w:pPr>
      <w:r>
        <w:t xml:space="preserve">It is obvious to see that the MLE for </w:t>
      </w:r>
      <w:r>
        <w:rPr>
          <w:i/>
          <w:iCs/>
        </w:rPr>
        <w:t>p</w:t>
      </w:r>
      <w:r>
        <w:t xml:space="preserve">, </w:t>
      </w:r>
      <w:r>
        <w:fldChar w:fldCharType="begin"/>
      </w:r>
      <w:r>
        <w:instrText xml:space="preserve"> EQ </w:instrText>
      </w:r>
      <w:r>
        <w:instrText>̂</w:instrText>
      </w:r>
      <w:r>
        <w:rPr>
          <w:i/>
          <w:iCs/>
        </w:rPr>
        <w:instrText>p</w:instrText>
      </w:r>
      <w:r>
        <w:instrText>= \F(</w:instrText>
      </w:r>
      <w:r>
        <w:rPr>
          <w:i/>
          <w:iCs/>
        </w:rPr>
        <w:instrText>c</w:instrText>
      </w:r>
      <w:r>
        <w:instrText>\s\d</w:instrText>
      </w:r>
      <w:r>
        <w:instrText>o5(</w:instrText>
      </w:r>
      <w:r>
        <w:rPr>
          <w:i/>
          <w:iCs/>
          <w:sz w:val="16"/>
          <w:szCs w:val="16"/>
        </w:rPr>
        <w:instrText>w</w:instrText>
      </w:r>
      <w:r>
        <w:rPr>
          <w:sz w:val="16"/>
          <w:szCs w:val="16"/>
        </w:rPr>
        <w:instrText>\,</w:instrText>
      </w:r>
      <w:r>
        <w:rPr>
          <w:i/>
          <w:iCs/>
          <w:sz w:val="16"/>
          <w:szCs w:val="16"/>
        </w:rPr>
        <w:instrText>r</w:instrText>
      </w:r>
      <w:r>
        <w:rPr>
          <w:sz w:val="16"/>
          <w:szCs w:val="16"/>
        </w:rPr>
        <w:instrText>\,</w:instrText>
      </w:r>
      <w:r>
        <w:rPr>
          <w:i/>
          <w:iCs/>
          <w:sz w:val="16"/>
          <w:szCs w:val="16"/>
        </w:rPr>
        <w:instrText>t</w:instrText>
      </w:r>
      <w:r>
        <w:instrText>),</w:instrText>
      </w:r>
      <w:r>
        <w:rPr>
          <w:i/>
          <w:iCs/>
        </w:rPr>
        <w:instrText>s</w:instrText>
      </w:r>
      <w:r>
        <w:instrText>\s\do5(</w:instrText>
      </w:r>
      <w:r>
        <w:rPr>
          <w:i/>
          <w:iCs/>
          <w:sz w:val="16"/>
          <w:szCs w:val="16"/>
        </w:rPr>
        <w:instrText>r</w:instrText>
      </w:r>
      <w:r>
        <w:rPr>
          <w:sz w:val="16"/>
          <w:szCs w:val="16"/>
        </w:rPr>
        <w:instrText>\,</w:instrText>
      </w:r>
      <w:r>
        <w:rPr>
          <w:i/>
          <w:iCs/>
          <w:sz w:val="16"/>
          <w:szCs w:val="16"/>
        </w:rPr>
        <w:instrText>t</w:instrText>
      </w:r>
      <w:r>
        <w:instrText>))</w:instrText>
      </w:r>
      <w:r>
        <w:fldChar w:fldCharType="end"/>
      </w:r>
      <w:r>
        <w:t xml:space="preserve"> in the naive model. To address the biases above, Eisenstein et al. (2014) introduce a logistic model for the </w:t>
      </w:r>
      <w:r>
        <w:rPr>
          <w:i/>
          <w:iCs/>
        </w:rPr>
        <w:t>p</w:t>
      </w:r>
      <w:r>
        <w:t xml:space="preserve"> parameter that allows an additive structure that incorporates parameters to estimate these biases, along with the “t</w:t>
      </w:r>
      <w:r>
        <w:t xml:space="preserve">rue” indicator of the popularity of category </w:t>
      </w:r>
      <w:r>
        <w:rPr>
          <w:i/>
          <w:iCs/>
        </w:rPr>
        <w:t>w</w:t>
      </w:r>
      <w:r>
        <w:t xml:space="preserve"> in country </w:t>
      </w:r>
      <w:r>
        <w:rPr>
          <w:i/>
          <w:iCs/>
        </w:rPr>
        <w:t>r</w:t>
      </w:r>
      <w:r>
        <w:t xml:space="preserve"> at time </w:t>
      </w:r>
      <w:r>
        <w:rPr>
          <w:i/>
          <w:iCs/>
        </w:rPr>
        <w:t>t</w:t>
      </w:r>
      <w:r>
        <w:t>. Equation </w:t>
      </w:r>
      <w:r>
        <w:fldChar w:fldCharType="begin"/>
      </w:r>
      <w:r>
        <w:instrText xml:space="preserve">REF BMeq_c_eq \* MERGEFORMAT </w:instrText>
      </w:r>
      <w:r>
        <w:fldChar w:fldCharType="separate"/>
      </w:r>
      <w:r>
        <w:t>1</w:t>
      </w:r>
      <w:r>
        <w:fldChar w:fldCharType="end"/>
      </w:r>
      <w:r>
        <w:t xml:space="preserve"> defines their basic model, where the logistic function </w:t>
      </w:r>
      <w:r>
        <w:rPr>
          <w:i/>
          <w:iCs/>
        </w:rPr>
        <w:t>Logistic</w:t>
      </w:r>
      <w:r>
        <w:t>(</w:t>
      </w:r>
      <w:r>
        <w:rPr>
          <w:i/>
          <w:iCs/>
        </w:rPr>
        <w:t>x</w:t>
      </w:r>
      <w:r>
        <w:t xml:space="preserve">) is </w:t>
      </w:r>
      <w:r>
        <w:fldChar w:fldCharType="begin"/>
      </w:r>
      <w:r>
        <w:instrText xml:space="preserve"> EQ  \F(1,1+</w:instrText>
      </w:r>
      <w:r>
        <w:rPr>
          <w:sz w:val="24"/>
          <w:szCs w:val="24"/>
        </w:rPr>
        <w:instrText>exp</w:instrText>
      </w:r>
      <w:r>
        <w:instrText>(</w:instrText>
      </w:r>
      <w:r>
        <w:rPr>
          <w:i/>
          <w:iCs/>
        </w:rPr>
        <w:instrText>x</w:instrText>
      </w:r>
      <w:r>
        <w:instrText>))</w:instrText>
      </w:r>
      <w:r>
        <w:fldChar w:fldCharType="end"/>
      </w:r>
      <w:r>
        <w:t xml:space="preserve">. </w:t>
      </w:r>
    </w:p>
    <w:p w:rsidR="00000000" w:rsidRDefault="00135149">
      <w:pPr>
        <w:pStyle w:val="equationNum"/>
        <w:tabs>
          <w:tab w:val="center" w:pos="3450"/>
          <w:tab w:val="right" w:pos="6900"/>
        </w:tabs>
      </w:pPr>
      <w:r>
        <w:tab/>
      </w:r>
      <w:r>
        <w:fldChar w:fldCharType="begin"/>
      </w:r>
      <w:r>
        <w:instrText xml:space="preserve"> EQ </w:instrText>
      </w:r>
      <w:r>
        <w:rPr>
          <w:i/>
          <w:iCs/>
        </w:rPr>
        <w:instrText>c</w:instrText>
      </w:r>
      <w:r>
        <w:instrText>\s\do5(</w:instrText>
      </w:r>
      <w:r>
        <w:rPr>
          <w:i/>
          <w:iCs/>
          <w:sz w:val="16"/>
          <w:szCs w:val="16"/>
        </w:rPr>
        <w:instrText>w</w:instrText>
      </w:r>
      <w:r>
        <w:rPr>
          <w:sz w:val="16"/>
          <w:szCs w:val="16"/>
        </w:rPr>
        <w:instrText>\,</w:instrText>
      </w:r>
      <w:r>
        <w:rPr>
          <w:i/>
          <w:iCs/>
          <w:sz w:val="16"/>
          <w:szCs w:val="16"/>
        </w:rPr>
        <w:instrText>r</w:instrText>
      </w:r>
      <w:r>
        <w:rPr>
          <w:sz w:val="16"/>
          <w:szCs w:val="16"/>
        </w:rPr>
        <w:instrText>\,</w:instrText>
      </w:r>
      <w:r>
        <w:rPr>
          <w:i/>
          <w:iCs/>
          <w:sz w:val="16"/>
          <w:szCs w:val="16"/>
        </w:rPr>
        <w:instrText>t</w:instrText>
      </w:r>
      <w:r>
        <w:instrText>)</w:instrText>
      </w:r>
      <w:r>
        <w:rPr>
          <w:rFonts w:ascii="Monaco" w:hAnsi="Monaco" w:cs="Monaco"/>
        </w:rPr>
        <w:instrText>∼</w:instrText>
      </w:r>
      <w:r>
        <w:rPr>
          <w:i/>
          <w:iCs/>
        </w:rPr>
        <w:instrText>Binomial</w:instrText>
      </w:r>
      <w:r>
        <w:instrText>(</w:instrText>
      </w:r>
      <w:r>
        <w:rPr>
          <w:i/>
          <w:iCs/>
        </w:rPr>
        <w:instrText>s</w:instrText>
      </w:r>
      <w:r>
        <w:instrText>\s\do5(</w:instrText>
      </w:r>
      <w:r>
        <w:rPr>
          <w:i/>
          <w:iCs/>
          <w:sz w:val="16"/>
          <w:szCs w:val="16"/>
        </w:rPr>
        <w:instrText>r</w:instrText>
      </w:r>
      <w:r>
        <w:rPr>
          <w:sz w:val="16"/>
          <w:szCs w:val="16"/>
        </w:rPr>
        <w:instrText>\,</w:instrText>
      </w:r>
      <w:r>
        <w:rPr>
          <w:i/>
          <w:iCs/>
          <w:sz w:val="16"/>
          <w:szCs w:val="16"/>
        </w:rPr>
        <w:instrText>t</w:instrText>
      </w:r>
      <w:r>
        <w:instrText>)\,</w:instrText>
      </w:r>
      <w:r>
        <w:rPr>
          <w:i/>
          <w:iCs/>
        </w:rPr>
        <w:instrText>Lo</w:instrText>
      </w:r>
      <w:r>
        <w:rPr>
          <w:i/>
          <w:iCs/>
        </w:rPr>
        <w:instrText>gistic</w:instrText>
      </w:r>
      <w:r>
        <w:instrText>(</w:instrText>
      </w:r>
      <w:r>
        <w:instrText>η</w:instrText>
      </w:r>
      <w:r>
        <w:instrText>\s\do5(</w:instrText>
      </w:r>
      <w:r>
        <w:rPr>
          <w:i/>
          <w:iCs/>
          <w:sz w:val="16"/>
          <w:szCs w:val="16"/>
        </w:rPr>
        <w:instrText>w</w:instrText>
      </w:r>
      <w:r>
        <w:rPr>
          <w:sz w:val="16"/>
          <w:szCs w:val="16"/>
        </w:rPr>
        <w:instrText>\,</w:instrText>
      </w:r>
      <w:r>
        <w:rPr>
          <w:i/>
          <w:iCs/>
          <w:sz w:val="16"/>
          <w:szCs w:val="16"/>
        </w:rPr>
        <w:instrText>r</w:instrText>
      </w:r>
      <w:r>
        <w:rPr>
          <w:sz w:val="16"/>
          <w:szCs w:val="16"/>
        </w:rPr>
        <w:instrText>\,</w:instrText>
      </w:r>
      <w:r>
        <w:rPr>
          <w:i/>
          <w:iCs/>
          <w:sz w:val="16"/>
          <w:szCs w:val="16"/>
        </w:rPr>
        <w:instrText>t</w:instrText>
      </w:r>
      <w:r>
        <w:instrText>)+</w:instrText>
      </w:r>
      <w:r>
        <w:rPr>
          <w:i/>
          <w:iCs/>
        </w:rPr>
        <w:instrText>v</w:instrText>
      </w:r>
      <w:r>
        <w:instrText>\s\do5(</w:instrText>
      </w:r>
      <w:r>
        <w:rPr>
          <w:i/>
          <w:iCs/>
          <w:sz w:val="16"/>
          <w:szCs w:val="16"/>
        </w:rPr>
        <w:instrText>w</w:instrText>
      </w:r>
      <w:r>
        <w:rPr>
          <w:sz w:val="16"/>
          <w:szCs w:val="16"/>
        </w:rPr>
        <w:instrText>\,</w:instrText>
      </w:r>
      <w:r>
        <w:rPr>
          <w:i/>
          <w:iCs/>
          <w:sz w:val="16"/>
          <w:szCs w:val="16"/>
        </w:rPr>
        <w:instrText>t</w:instrText>
      </w:r>
      <w:r>
        <w:instrText>)+</w:instrText>
      </w:r>
      <w:r>
        <w:instrText>μ</w:instrText>
      </w:r>
      <w:r>
        <w:instrText>\s\do5(</w:instrText>
      </w:r>
      <w:r>
        <w:rPr>
          <w:i/>
          <w:iCs/>
          <w:sz w:val="16"/>
          <w:szCs w:val="16"/>
        </w:rPr>
        <w:instrText>r</w:instrText>
      </w:r>
      <w:r>
        <w:rPr>
          <w:sz w:val="16"/>
          <w:szCs w:val="16"/>
        </w:rPr>
        <w:instrText>\,</w:instrText>
      </w:r>
      <w:r>
        <w:rPr>
          <w:i/>
          <w:iCs/>
          <w:sz w:val="16"/>
          <w:szCs w:val="16"/>
        </w:rPr>
        <w:instrText>t</w:instrText>
      </w:r>
      <w:r>
        <w:instrText>)))</w:instrText>
      </w:r>
      <w:r>
        <w:fldChar w:fldCharType="end"/>
      </w:r>
      <w:r>
        <w:tab/>
        <w:t>(</w:t>
      </w:r>
      <w:bookmarkStart w:id="4" w:name="BMeq_c_eq"/>
      <w:r>
        <w:t>1</w:t>
      </w:r>
      <w:bookmarkEnd w:id="4"/>
      <w:r>
        <w:t>)</w:t>
      </w:r>
    </w:p>
    <w:p w:rsidR="00000000" w:rsidRDefault="00135149">
      <w:r>
        <w:t>In Equation </w:t>
      </w:r>
      <w:r>
        <w:fldChar w:fldCharType="begin"/>
      </w:r>
      <w:r>
        <w:instrText xml:space="preserve">REF BMeq_c_eq \* MERGEFORMAT </w:instrText>
      </w:r>
      <w:r>
        <w:fldChar w:fldCharType="separate"/>
      </w:r>
      <w:r>
        <w:t>1</w:t>
      </w:r>
      <w:r>
        <w:fldChar w:fldCharType="end"/>
      </w:r>
      <w:r>
        <w:t xml:space="preserve">, the three parameters in the logistic function affect the log-odds of an increase in </w:t>
      </w:r>
      <w:r>
        <w:fldChar w:fldCharType="begin"/>
      </w:r>
      <w:r>
        <w:instrText xml:space="preserve"> EQ </w:instrText>
      </w:r>
      <w:r>
        <w:rPr>
          <w:i/>
          <w:iCs/>
        </w:rPr>
        <w:instrText>c</w:instrText>
      </w:r>
      <w:r>
        <w:instrText>\s\do5(</w:instrText>
      </w:r>
      <w:r>
        <w:rPr>
          <w:i/>
          <w:iCs/>
          <w:sz w:val="16"/>
          <w:szCs w:val="16"/>
        </w:rPr>
        <w:instrText>w</w:instrText>
      </w:r>
      <w:r>
        <w:rPr>
          <w:sz w:val="16"/>
          <w:szCs w:val="16"/>
        </w:rPr>
        <w:instrText>\,</w:instrText>
      </w:r>
      <w:r>
        <w:rPr>
          <w:i/>
          <w:iCs/>
          <w:sz w:val="16"/>
          <w:szCs w:val="16"/>
        </w:rPr>
        <w:instrText>r</w:instrText>
      </w:r>
      <w:r>
        <w:rPr>
          <w:sz w:val="16"/>
          <w:szCs w:val="16"/>
        </w:rPr>
        <w:instrText>\,</w:instrText>
      </w:r>
      <w:r>
        <w:rPr>
          <w:i/>
          <w:iCs/>
          <w:sz w:val="16"/>
          <w:szCs w:val="16"/>
        </w:rPr>
        <w:instrText>t</w:instrText>
      </w:r>
      <w:r>
        <w:instrText>)</w:instrText>
      </w:r>
      <w:r>
        <w:fldChar w:fldCharType="end"/>
      </w:r>
      <w:r>
        <w:t>. An increase in a parame</w:t>
      </w:r>
      <w:r>
        <w:t>ter represents an increase in these log-odds, and thus the higher the value of each parameter, the more likely a user is to use the term. Eisenstein et al. (2014) use the term “activation” to describe these increases, presumably in the context of the logis</w:t>
      </w:r>
      <w:r>
        <w:t>tic model frequently used in cognitive activation theory (Anderson et al., 1997). We follow this terminology here. In Equation </w:t>
      </w:r>
      <w:r>
        <w:fldChar w:fldCharType="begin"/>
      </w:r>
      <w:r>
        <w:instrText xml:space="preserve">REF BMeq_c_eq \* MERGEFORMAT </w:instrText>
      </w:r>
      <w:r>
        <w:fldChar w:fldCharType="separate"/>
      </w:r>
      <w:r>
        <w:t>1</w:t>
      </w:r>
      <w:r>
        <w:fldChar w:fldCharType="end"/>
      </w:r>
      <w:r>
        <w:t xml:space="preserve">, the parameter </w:t>
      </w:r>
      <w:r>
        <w:fldChar w:fldCharType="begin"/>
      </w:r>
      <w:r>
        <w:instrText xml:space="preserve"> EQ </w:instrText>
      </w:r>
      <w:r>
        <w:rPr>
          <w:i/>
          <w:iCs/>
        </w:rPr>
        <w:instrText>v</w:instrText>
      </w:r>
      <w:r>
        <w:instrText>\s\do5(</w:instrText>
      </w:r>
      <w:r>
        <w:rPr>
          <w:i/>
          <w:iCs/>
          <w:sz w:val="16"/>
          <w:szCs w:val="16"/>
        </w:rPr>
        <w:instrText>w</w:instrText>
      </w:r>
      <w:r>
        <w:rPr>
          <w:sz w:val="16"/>
          <w:szCs w:val="16"/>
        </w:rPr>
        <w:instrText>\,</w:instrText>
      </w:r>
      <w:r>
        <w:rPr>
          <w:i/>
          <w:iCs/>
          <w:sz w:val="16"/>
          <w:szCs w:val="16"/>
        </w:rPr>
        <w:instrText>t</w:instrText>
      </w:r>
      <w:r>
        <w:instrText>)</w:instrText>
      </w:r>
      <w:r>
        <w:fldChar w:fldCharType="end"/>
      </w:r>
      <w:r>
        <w:t xml:space="preserve"> is the overall activation of category </w:t>
      </w:r>
      <w:r>
        <w:rPr>
          <w:i/>
          <w:iCs/>
        </w:rPr>
        <w:t>w</w:t>
      </w:r>
      <w:r>
        <w:t xml:space="preserve"> at month </w:t>
      </w:r>
      <w:r>
        <w:rPr>
          <w:i/>
          <w:iCs/>
        </w:rPr>
        <w:t>t</w:t>
      </w:r>
      <w:r>
        <w:t xml:space="preserve">, and </w:t>
      </w:r>
      <w:r>
        <w:fldChar w:fldCharType="begin"/>
      </w:r>
      <w:r>
        <w:instrText xml:space="preserve"> EQ </w:instrText>
      </w:r>
      <w:r>
        <w:instrText>μ</w:instrText>
      </w:r>
      <w:r>
        <w:instrText>\s\do5(</w:instrText>
      </w:r>
      <w:r>
        <w:rPr>
          <w:i/>
          <w:iCs/>
          <w:sz w:val="16"/>
          <w:szCs w:val="16"/>
        </w:rPr>
        <w:instrText>r</w:instrText>
      </w:r>
      <w:r>
        <w:rPr>
          <w:sz w:val="16"/>
          <w:szCs w:val="16"/>
        </w:rPr>
        <w:instrText>\,</w:instrText>
      </w:r>
      <w:r>
        <w:rPr>
          <w:i/>
          <w:iCs/>
          <w:sz w:val="16"/>
          <w:szCs w:val="16"/>
        </w:rPr>
        <w:instrText>t</w:instrText>
      </w:r>
      <w:r>
        <w:instrText>)</w:instrText>
      </w:r>
      <w:r>
        <w:fldChar w:fldCharType="end"/>
      </w:r>
      <w:r>
        <w:t xml:space="preserve"> is the activation of the country </w:t>
      </w:r>
      <w:r>
        <w:rPr>
          <w:i/>
          <w:iCs/>
        </w:rPr>
        <w:t>r</w:t>
      </w:r>
      <w:r>
        <w:t xml:space="preserve"> at time </w:t>
      </w:r>
      <w:r>
        <w:rPr>
          <w:i/>
          <w:iCs/>
        </w:rPr>
        <w:t>t</w:t>
      </w:r>
      <w:r>
        <w:t xml:space="preserve">. These terms control for temporal and spatial biases, respectively. The parameter of interest to our analysis is thus </w:t>
      </w:r>
      <w:r>
        <w:fldChar w:fldCharType="begin"/>
      </w:r>
      <w:r>
        <w:instrText xml:space="preserve"> EQ </w:instrText>
      </w:r>
      <w:r>
        <w:instrText>η</w:instrText>
      </w:r>
      <w:r>
        <w:instrText>\s\do5(</w:instrText>
      </w:r>
      <w:r>
        <w:rPr>
          <w:i/>
          <w:iCs/>
          <w:sz w:val="16"/>
          <w:szCs w:val="16"/>
        </w:rPr>
        <w:instrText>w</w:instrText>
      </w:r>
      <w:r>
        <w:rPr>
          <w:sz w:val="16"/>
          <w:szCs w:val="16"/>
        </w:rPr>
        <w:instrText>\,</w:instrText>
      </w:r>
      <w:r>
        <w:rPr>
          <w:i/>
          <w:iCs/>
          <w:sz w:val="16"/>
          <w:szCs w:val="16"/>
        </w:rPr>
        <w:instrText>r</w:instrText>
      </w:r>
      <w:r>
        <w:rPr>
          <w:sz w:val="16"/>
          <w:szCs w:val="16"/>
        </w:rPr>
        <w:instrText>\,</w:instrText>
      </w:r>
      <w:r>
        <w:rPr>
          <w:i/>
          <w:iCs/>
          <w:sz w:val="16"/>
          <w:szCs w:val="16"/>
        </w:rPr>
        <w:instrText>t</w:instrText>
      </w:r>
      <w:r>
        <w:instrText>)</w:instrText>
      </w:r>
      <w:r>
        <w:fldChar w:fldCharType="end"/>
      </w:r>
      <w:r>
        <w:t xml:space="preserve">, which represented the “unbiased” activation for word </w:t>
      </w:r>
      <w:r>
        <w:rPr>
          <w:i/>
          <w:iCs/>
        </w:rPr>
        <w:t>w</w:t>
      </w:r>
      <w:r>
        <w:t xml:space="preserve"> at time </w:t>
      </w:r>
      <w:r>
        <w:rPr>
          <w:i/>
          <w:iCs/>
        </w:rPr>
        <w:t>t</w:t>
      </w:r>
      <w:r>
        <w:t xml:space="preserve"> in region </w:t>
      </w:r>
      <w:r>
        <w:rPr>
          <w:i/>
          <w:iCs/>
        </w:rPr>
        <w:t>r</w:t>
      </w:r>
      <w:r>
        <w:t xml:space="preserve">. </w:t>
      </w:r>
    </w:p>
    <w:p w:rsidR="00000000" w:rsidRDefault="00135149">
      <w:pPr>
        <w:ind w:firstLine="300"/>
      </w:pPr>
      <w:r>
        <w:t xml:space="preserve">As noted above, we also would like to smooth our estimates of word activations over time to better understand longer term trends in the data. As </w:t>
      </w:r>
      <w:r>
        <w:fldChar w:fldCharType="begin"/>
      </w:r>
      <w:r>
        <w:instrText xml:space="preserve"> EQ </w:instrText>
      </w:r>
      <w:r>
        <w:instrText>η</w:instrText>
      </w:r>
      <w:r>
        <w:instrText>\s\do5(</w:instrText>
      </w:r>
      <w:r>
        <w:rPr>
          <w:i/>
          <w:iCs/>
          <w:sz w:val="16"/>
          <w:szCs w:val="16"/>
        </w:rPr>
        <w:instrText>w</w:instrText>
      </w:r>
      <w:r>
        <w:rPr>
          <w:sz w:val="16"/>
          <w:szCs w:val="16"/>
        </w:rPr>
        <w:instrText>\,</w:instrText>
      </w:r>
      <w:r>
        <w:rPr>
          <w:i/>
          <w:iCs/>
          <w:sz w:val="16"/>
          <w:szCs w:val="16"/>
        </w:rPr>
        <w:instrText>r</w:instrText>
      </w:r>
      <w:r>
        <w:rPr>
          <w:sz w:val="16"/>
          <w:szCs w:val="16"/>
        </w:rPr>
        <w:instrText>\,</w:instrText>
      </w:r>
      <w:r>
        <w:rPr>
          <w:i/>
          <w:iCs/>
          <w:sz w:val="16"/>
          <w:szCs w:val="16"/>
        </w:rPr>
        <w:instrText>t</w:instrText>
      </w:r>
      <w:r>
        <w:instrText>)</w:instrText>
      </w:r>
      <w:r>
        <w:fldChar w:fldCharType="end"/>
      </w:r>
      <w:r>
        <w:t xml:space="preserve"> is our parameter of interest, the smoothing is enacted as an a</w:t>
      </w:r>
      <w:r>
        <w:t xml:space="preserve">utoregressive model on </w:t>
      </w:r>
      <w:r>
        <w:t>η</w:t>
      </w:r>
      <w:r>
        <w:t>, as described in Equation </w:t>
      </w:r>
      <w:r>
        <w:fldChar w:fldCharType="begin"/>
      </w:r>
      <w:r>
        <w:instrText xml:space="preserve">REF BMeq_eta_eq \* MERGEFORMAT </w:instrText>
      </w:r>
      <w:r>
        <w:fldChar w:fldCharType="separate"/>
      </w:r>
      <w:r>
        <w:t>2</w:t>
      </w:r>
      <w:r>
        <w:fldChar w:fldCharType="end"/>
      </w:r>
      <w:r>
        <w:t xml:space="preserve">. Here, the parameter </w:t>
      </w:r>
      <w:r>
        <w:fldChar w:fldCharType="begin"/>
      </w:r>
      <w:r>
        <w:instrText xml:space="preserve"> EQ </w:instrText>
      </w:r>
      <w:r>
        <w:rPr>
          <w:i/>
          <w:iCs/>
        </w:rPr>
        <w:instrText>A</w:instrText>
      </w:r>
      <w:r>
        <w:instrText>\s\do5(</w:instrText>
      </w:r>
      <w:r>
        <w:rPr>
          <w:i/>
          <w:iCs/>
          <w:sz w:val="16"/>
          <w:szCs w:val="16"/>
        </w:rPr>
        <w:instrText>w</w:instrText>
      </w:r>
      <w:r>
        <w:rPr>
          <w:sz w:val="16"/>
          <w:szCs w:val="16"/>
        </w:rPr>
        <w:instrText>\,</w:instrText>
      </w:r>
      <w:r>
        <w:rPr>
          <w:i/>
          <w:iCs/>
          <w:sz w:val="16"/>
          <w:szCs w:val="16"/>
        </w:rPr>
        <w:instrText>r</w:instrText>
      </w:r>
      <w:r>
        <w:instrText>)</w:instrText>
      </w:r>
      <w:r>
        <w:fldChar w:fldCharType="end"/>
      </w:r>
      <w:r>
        <w:t xml:space="preserve"> is the lagged influence variable, estimated for each category </w:t>
      </w:r>
      <w:r>
        <w:rPr>
          <w:i/>
          <w:iCs/>
        </w:rPr>
        <w:t>w</w:t>
      </w:r>
      <w:r>
        <w:t xml:space="preserve"> and each country </w:t>
      </w:r>
      <w:r>
        <w:rPr>
          <w:i/>
          <w:iCs/>
        </w:rPr>
        <w:t>r</w:t>
      </w:r>
      <w:r>
        <w:t xml:space="preserve">. </w:t>
      </w:r>
    </w:p>
    <w:p w:rsidR="00000000" w:rsidRDefault="00135149">
      <w:pPr>
        <w:pStyle w:val="equationNum"/>
        <w:tabs>
          <w:tab w:val="center" w:pos="3450"/>
          <w:tab w:val="right" w:pos="6900"/>
        </w:tabs>
      </w:pPr>
      <w:r>
        <w:tab/>
      </w:r>
      <w:r>
        <w:fldChar w:fldCharType="begin"/>
      </w:r>
      <w:r>
        <w:instrText xml:space="preserve"> EQ </w:instrText>
      </w:r>
      <w:r>
        <w:instrText>η</w:instrText>
      </w:r>
      <w:r>
        <w:instrText>\s\do5(</w:instrText>
      </w:r>
      <w:r>
        <w:rPr>
          <w:i/>
          <w:iCs/>
          <w:sz w:val="16"/>
          <w:szCs w:val="16"/>
        </w:rPr>
        <w:instrText>w</w:instrText>
      </w:r>
      <w:r>
        <w:rPr>
          <w:sz w:val="16"/>
          <w:szCs w:val="16"/>
        </w:rPr>
        <w:instrText>\,</w:instrText>
      </w:r>
      <w:r>
        <w:rPr>
          <w:i/>
          <w:iCs/>
          <w:sz w:val="16"/>
          <w:szCs w:val="16"/>
        </w:rPr>
        <w:instrText>r</w:instrText>
      </w:r>
      <w:r>
        <w:rPr>
          <w:sz w:val="16"/>
          <w:szCs w:val="16"/>
        </w:rPr>
        <w:instrText>\,</w:instrText>
      </w:r>
      <w:r>
        <w:rPr>
          <w:i/>
          <w:iCs/>
          <w:sz w:val="16"/>
          <w:szCs w:val="16"/>
        </w:rPr>
        <w:instrText>t</w:instrText>
      </w:r>
      <w:r>
        <w:instrText>)</w:instrText>
      </w:r>
      <w:r>
        <w:rPr>
          <w:rFonts w:ascii="Monaco" w:hAnsi="Monaco" w:cs="Monaco"/>
        </w:rPr>
        <w:instrText>∼</w:instrText>
      </w:r>
      <w:r>
        <w:rPr>
          <w:i/>
          <w:iCs/>
        </w:rPr>
        <w:instrText>N</w:instrText>
      </w:r>
      <w:r>
        <w:instrText>(</w:instrText>
      </w:r>
      <w:r>
        <w:rPr>
          <w:i/>
          <w:iCs/>
        </w:rPr>
        <w:instrText>A</w:instrText>
      </w:r>
      <w:r>
        <w:instrText>\s\do5(</w:instrText>
      </w:r>
      <w:r>
        <w:rPr>
          <w:i/>
          <w:iCs/>
          <w:sz w:val="16"/>
          <w:szCs w:val="16"/>
        </w:rPr>
        <w:instrText>w</w:instrText>
      </w:r>
      <w:r>
        <w:rPr>
          <w:sz w:val="16"/>
          <w:szCs w:val="16"/>
        </w:rPr>
        <w:instrText>\,</w:instrText>
      </w:r>
      <w:r>
        <w:rPr>
          <w:i/>
          <w:iCs/>
          <w:sz w:val="16"/>
          <w:szCs w:val="16"/>
        </w:rPr>
        <w:instrText>r</w:instrText>
      </w:r>
      <w:r>
        <w:instrText>)*</w:instrText>
      </w:r>
      <w:r>
        <w:instrText>η</w:instrText>
      </w:r>
      <w:r>
        <w:instrText>\s\d</w:instrText>
      </w:r>
      <w:r>
        <w:instrText>o5(</w:instrText>
      </w:r>
      <w:r>
        <w:rPr>
          <w:i/>
          <w:iCs/>
          <w:sz w:val="16"/>
          <w:szCs w:val="16"/>
        </w:rPr>
        <w:instrText>w</w:instrText>
      </w:r>
      <w:r>
        <w:rPr>
          <w:sz w:val="16"/>
          <w:szCs w:val="16"/>
        </w:rPr>
        <w:instrText>\,</w:instrText>
      </w:r>
      <w:r>
        <w:rPr>
          <w:i/>
          <w:iCs/>
          <w:sz w:val="16"/>
          <w:szCs w:val="16"/>
        </w:rPr>
        <w:instrText>r</w:instrText>
      </w:r>
      <w:r>
        <w:rPr>
          <w:sz w:val="16"/>
          <w:szCs w:val="16"/>
        </w:rPr>
        <w:instrText>'\,</w:instrText>
      </w:r>
      <w:r>
        <w:rPr>
          <w:i/>
          <w:iCs/>
          <w:sz w:val="16"/>
          <w:szCs w:val="16"/>
        </w:rPr>
        <w:instrText>t</w:instrText>
      </w:r>
      <w:r>
        <w:rPr>
          <w:sz w:val="16"/>
          <w:szCs w:val="16"/>
        </w:rPr>
        <w:instrText>−</w:instrText>
      </w:r>
      <w:r>
        <w:rPr>
          <w:sz w:val="16"/>
          <w:szCs w:val="16"/>
        </w:rPr>
        <w:instrText>1</w:instrText>
      </w:r>
      <w:r>
        <w:instrText>)\,</w:instrText>
      </w:r>
      <w:r>
        <w:instrText>σ</w:instrText>
      </w:r>
      <w:r>
        <w:instrText>\s\up(</w:instrText>
      </w:r>
      <w:r>
        <w:rPr>
          <w:sz w:val="16"/>
          <w:szCs w:val="16"/>
        </w:rPr>
        <w:instrText>2,</w:instrText>
      </w:r>
      <w:r>
        <w:rPr>
          <w:i/>
          <w:iCs/>
          <w:sz w:val="16"/>
          <w:szCs w:val="16"/>
        </w:rPr>
        <w:instrText>w</w:instrText>
      </w:r>
      <w:r>
        <w:rPr>
          <w:sz w:val="16"/>
          <w:szCs w:val="16"/>
        </w:rPr>
        <w:instrText>\,</w:instrText>
      </w:r>
      <w:r>
        <w:rPr>
          <w:i/>
          <w:iCs/>
          <w:sz w:val="16"/>
          <w:szCs w:val="16"/>
        </w:rPr>
        <w:instrText>r</w:instrText>
      </w:r>
      <w:r>
        <w:instrText>))</w:instrText>
      </w:r>
      <w:r>
        <w:fldChar w:fldCharType="end"/>
      </w:r>
      <w:r>
        <w:tab/>
        <w:t>(</w:t>
      </w:r>
      <w:bookmarkStart w:id="5" w:name="BMeq_eta_eq"/>
      <w:r>
        <w:t>2</w:t>
      </w:r>
      <w:bookmarkEnd w:id="5"/>
      <w:r>
        <w:t>)</w:t>
      </w:r>
    </w:p>
    <w:p w:rsidR="00000000" w:rsidRDefault="00135149">
      <w:pPr>
        <w:ind w:firstLine="300"/>
      </w:pPr>
      <w:r>
        <w:t xml:space="preserve">The full autoregressive model can be specified as a Markov model with an </w:t>
      </w:r>
      <w:r>
        <w:rPr>
          <w:i/>
          <w:iCs/>
        </w:rPr>
        <w:t>observation model</w:t>
      </w:r>
      <w:r>
        <w:t xml:space="preserve"> (on </w:t>
      </w:r>
      <w:r>
        <w:rPr>
          <w:i/>
          <w:iCs/>
        </w:rPr>
        <w:t>c</w:t>
      </w:r>
      <w:r>
        <w:t xml:space="preserve">) and a </w:t>
      </w:r>
      <w:r>
        <w:rPr>
          <w:i/>
          <w:iCs/>
        </w:rPr>
        <w:t>dynamics</w:t>
      </w:r>
      <w:r>
        <w:t xml:space="preserve"> model on </w:t>
      </w:r>
      <w:r>
        <w:t>η</w:t>
      </w:r>
      <w:r>
        <w:t xml:space="preserve">. Overall, the model we thus wish to estimate is: </w:t>
      </w:r>
    </w:p>
    <w:p w:rsidR="00000000" w:rsidRDefault="00135149">
      <w:pPr>
        <w:pStyle w:val="equationNum"/>
        <w:tabs>
          <w:tab w:val="center" w:pos="3450"/>
          <w:tab w:val="right" w:pos="6900"/>
        </w:tabs>
      </w:pPr>
      <w:r>
        <w:tab/>
      </w:r>
      <w:r>
        <w:fldChar w:fldCharType="begin"/>
      </w:r>
      <w:r>
        <w:instrText xml:space="preserve"> EQ </w:instrText>
      </w:r>
      <w:r>
        <w:rPr>
          <w:i/>
          <w:iCs/>
        </w:rPr>
        <w:instrText>P</w:instrText>
      </w:r>
      <w:r>
        <w:instrText>(</w:instrText>
      </w:r>
      <w:r>
        <w:instrText>η</w:instrText>
      </w:r>
      <w:r>
        <w:instrText>\,</w:instrText>
      </w:r>
      <w:r>
        <w:rPr>
          <w:i/>
          <w:iCs/>
        </w:rPr>
        <w:instrText>c</w:instrText>
      </w:r>
      <w:r>
        <w:instrText>|</w:instrText>
      </w:r>
      <w:r>
        <w:rPr>
          <w:i/>
          <w:iCs/>
        </w:rPr>
        <w:instrText>s</w:instrText>
      </w:r>
      <w:r>
        <w:instrText>;</w:instrText>
      </w:r>
      <w:r>
        <w:rPr>
          <w:i/>
          <w:iCs/>
        </w:rPr>
        <w:instrText>A</w:instrText>
      </w:r>
      <w:r>
        <w:instrText>\,</w:instrText>
      </w:r>
      <w:r>
        <w:instrText>σ</w:instrText>
      </w:r>
      <w:r>
        <w:instrText>\s\u</w:instrText>
      </w:r>
      <w:r>
        <w:instrText>p5(</w:instrText>
      </w:r>
      <w:r>
        <w:rPr>
          <w:sz w:val="16"/>
          <w:szCs w:val="16"/>
        </w:rPr>
        <w:instrText>2</w:instrText>
      </w:r>
      <w:r>
        <w:instrText>)\,</w:instrText>
      </w:r>
      <w:r>
        <w:instrText>μ</w:instrText>
      </w:r>
      <w:r>
        <w:instrText>\,</w:instrText>
      </w:r>
      <w:r>
        <w:rPr>
          <w:i/>
          <w:iCs/>
        </w:rPr>
        <w:instrText>v</w:instrText>
      </w:r>
      <w:r>
        <w:instrText>)=</w:instrText>
      </w:r>
      <w:r>
        <w:rPr>
          <w:i/>
          <w:iCs/>
        </w:rPr>
        <w:instrText>P</w:instrText>
      </w:r>
      <w:r>
        <w:instrText>(</w:instrText>
      </w:r>
      <w:r>
        <w:rPr>
          <w:i/>
          <w:iCs/>
        </w:rPr>
        <w:instrText>c</w:instrText>
      </w:r>
      <w:r>
        <w:instrText>|</w:instrText>
      </w:r>
      <w:r>
        <w:instrText>η</w:instrText>
      </w:r>
      <w:r>
        <w:instrText>\,</w:instrText>
      </w:r>
      <w:r>
        <w:rPr>
          <w:i/>
          <w:iCs/>
        </w:rPr>
        <w:instrText>s</w:instrText>
      </w:r>
      <w:r>
        <w:instrText>;</w:instrText>
      </w:r>
      <w:r>
        <w:instrText>μ</w:instrText>
      </w:r>
      <w:r>
        <w:instrText>\,</w:instrText>
      </w:r>
      <w:r>
        <w:rPr>
          <w:i/>
          <w:iCs/>
        </w:rPr>
        <w:instrText>v</w:instrText>
      </w:r>
      <w:r>
        <w:instrText>)</w:instrText>
      </w:r>
      <w:r>
        <w:rPr>
          <w:i/>
          <w:iCs/>
        </w:rPr>
        <w:instrText>P</w:instrText>
      </w:r>
      <w:r>
        <w:instrText>(</w:instrText>
      </w:r>
      <w:r>
        <w:instrText>η</w:instrText>
      </w:r>
      <w:r>
        <w:instrText>;</w:instrText>
      </w:r>
      <w:r>
        <w:rPr>
          <w:i/>
          <w:iCs/>
        </w:rPr>
        <w:instrText>A</w:instrText>
      </w:r>
      <w:r>
        <w:instrText>)</w:instrText>
      </w:r>
      <w:r>
        <w:fldChar w:fldCharType="end"/>
      </w:r>
      <w:r>
        <w:tab/>
        <w:t>(3)</w:t>
      </w:r>
    </w:p>
    <w:p w:rsidR="00000000" w:rsidRDefault="00135149">
      <w:pPr>
        <w:ind w:firstLine="300"/>
      </w:pPr>
      <w:r>
        <w:t xml:space="preserve">In order to do so, we adopt the same estimation process as was used by Eisenstein et al. (2014). We first consider the estimation of </w:t>
      </w:r>
      <w:r>
        <w:fldChar w:fldCharType="begin"/>
      </w:r>
      <w:r>
        <w:instrText xml:space="preserve"> EQ </w:instrText>
      </w:r>
      <w:r>
        <w:rPr>
          <w:i/>
          <w:iCs/>
        </w:rPr>
        <w:instrText>v</w:instrText>
      </w:r>
      <w:r>
        <w:instrText>\s\do5(</w:instrText>
      </w:r>
      <w:r>
        <w:rPr>
          <w:i/>
          <w:iCs/>
          <w:sz w:val="16"/>
          <w:szCs w:val="16"/>
        </w:rPr>
        <w:instrText>w</w:instrText>
      </w:r>
      <w:r>
        <w:rPr>
          <w:sz w:val="16"/>
          <w:szCs w:val="16"/>
        </w:rPr>
        <w:instrText>\,</w:instrText>
      </w:r>
      <w:r>
        <w:rPr>
          <w:i/>
          <w:iCs/>
          <w:sz w:val="16"/>
          <w:szCs w:val="16"/>
        </w:rPr>
        <w:instrText>t</w:instrText>
      </w:r>
      <w:r>
        <w:instrText>)</w:instrText>
      </w:r>
      <w:r>
        <w:fldChar w:fldCharType="end"/>
      </w:r>
      <w:r>
        <w:t xml:space="preserve"> and </w:t>
      </w:r>
      <w:r>
        <w:fldChar w:fldCharType="begin"/>
      </w:r>
      <w:r>
        <w:instrText xml:space="preserve"> EQ </w:instrText>
      </w:r>
      <w:r>
        <w:instrText>μ</w:instrText>
      </w:r>
      <w:r>
        <w:instrText>\s\do5(</w:instrText>
      </w:r>
      <w:r>
        <w:rPr>
          <w:i/>
          <w:iCs/>
          <w:sz w:val="16"/>
          <w:szCs w:val="16"/>
        </w:rPr>
        <w:instrText>r</w:instrText>
      </w:r>
      <w:r>
        <w:rPr>
          <w:sz w:val="16"/>
          <w:szCs w:val="16"/>
        </w:rPr>
        <w:instrText>\,</w:instrText>
      </w:r>
      <w:r>
        <w:rPr>
          <w:i/>
          <w:iCs/>
          <w:sz w:val="16"/>
          <w:szCs w:val="16"/>
        </w:rPr>
        <w:instrText>t</w:instrText>
      </w:r>
      <w:r>
        <w:instrText>)</w:instrText>
      </w:r>
      <w:r>
        <w:fldChar w:fldCharType="end"/>
      </w:r>
      <w:r>
        <w:t xml:space="preserve"> at each time </w:t>
      </w:r>
      <w:r>
        <w:rPr>
          <w:i/>
          <w:iCs/>
        </w:rPr>
        <w:t>t</w:t>
      </w:r>
      <w:r>
        <w:t xml:space="preserve"> assuming </w:t>
      </w:r>
      <w:r>
        <w:t>η</w:t>
      </w:r>
      <w:r>
        <w:t xml:space="preserve"> is 0. To do so, we utilize a stepwise procedure. We first obtain a simplified </w:t>
      </w:r>
      <w:r>
        <w:fldChar w:fldCharType="begin"/>
      </w:r>
      <w:r>
        <w:instrText xml:space="preserve"> EQ </w:instrText>
      </w:r>
      <w:r>
        <w:instrText>̄</w:instrText>
      </w:r>
      <w:r>
        <w:rPr>
          <w:i/>
          <w:iCs/>
        </w:rPr>
        <w:instrText>v</w:instrText>
      </w:r>
      <w:r>
        <w:instrText>\s\do5(</w:instrText>
      </w:r>
      <w:r>
        <w:rPr>
          <w:i/>
          <w:iCs/>
          <w:sz w:val="16"/>
          <w:szCs w:val="16"/>
        </w:rPr>
        <w:instrText>w</w:instrText>
      </w:r>
      <w:r>
        <w:instrText>)</w:instrText>
      </w:r>
      <w:r>
        <w:fldChar w:fldCharType="end"/>
      </w:r>
      <w:r>
        <w:t xml:space="preserve"> as the inverse logistic function (</w:t>
      </w:r>
      <w:r>
        <w:fldChar w:fldCharType="begin"/>
      </w:r>
      <w:r>
        <w:instrText xml:space="preserve"> EQ </w:instrText>
      </w:r>
      <w:r>
        <w:rPr>
          <w:sz w:val="24"/>
          <w:szCs w:val="24"/>
        </w:rPr>
        <w:instrText>log</w:instrText>
      </w:r>
      <w:r>
        <w:instrText>( \F(</w:instrText>
      </w:r>
      <w:r>
        <w:rPr>
          <w:i/>
          <w:iCs/>
        </w:rPr>
        <w:instrText>x</w:instrText>
      </w:r>
      <w:r>
        <w:instrText>,1</w:instrText>
      </w:r>
      <w:r>
        <w:instrText>−</w:instrText>
      </w:r>
      <w:r>
        <w:rPr>
          <w:i/>
          <w:iCs/>
        </w:rPr>
        <w:instrText>x</w:instrText>
      </w:r>
      <w:r>
        <w:instrText>))</w:instrText>
      </w:r>
      <w:r>
        <w:fldChar w:fldCharType="end"/>
      </w:r>
      <w:r>
        <w:t xml:space="preserve">) of the total proportion of users that utilized word </w:t>
      </w:r>
      <w:r>
        <w:rPr>
          <w:i/>
          <w:iCs/>
        </w:rPr>
        <w:t>w</w:t>
      </w:r>
      <w:r>
        <w:t xml:space="preserve"> across all time steps, </w:t>
      </w:r>
      <w:r>
        <w:rPr>
          <w:i/>
          <w:iCs/>
        </w:rPr>
        <w:t>t</w:t>
      </w:r>
      <w:r>
        <w:t>. Using this value, we n</w:t>
      </w:r>
      <w:r>
        <w:t xml:space="preserve">ow would like to compute the maximum likelihood estimate of each </w:t>
      </w:r>
      <w:r>
        <w:fldChar w:fldCharType="begin"/>
      </w:r>
      <w:r>
        <w:instrText xml:space="preserve"> EQ </w:instrText>
      </w:r>
      <w:r>
        <w:instrText>μ</w:instrText>
      </w:r>
      <w:r>
        <w:instrText>\s\do5(</w:instrText>
      </w:r>
      <w:r>
        <w:rPr>
          <w:i/>
          <w:iCs/>
          <w:sz w:val="16"/>
          <w:szCs w:val="16"/>
        </w:rPr>
        <w:instrText>r</w:instrText>
      </w:r>
      <w:r>
        <w:rPr>
          <w:sz w:val="16"/>
          <w:szCs w:val="16"/>
        </w:rPr>
        <w:instrText>\,</w:instrText>
      </w:r>
      <w:r>
        <w:rPr>
          <w:i/>
          <w:iCs/>
          <w:sz w:val="16"/>
          <w:szCs w:val="16"/>
        </w:rPr>
        <w:instrText>t</w:instrText>
      </w:r>
      <w:r>
        <w:instrText>)</w:instrText>
      </w:r>
      <w:r>
        <w:fldChar w:fldCharType="end"/>
      </w:r>
      <w:r>
        <w:t xml:space="preserve"> using </w:t>
      </w:r>
      <w:r>
        <w:fldChar w:fldCharType="begin"/>
      </w:r>
      <w:r>
        <w:instrText xml:space="preserve"> EQ </w:instrText>
      </w:r>
      <w:r>
        <w:instrText>̄</w:instrText>
      </w:r>
      <w:r>
        <w:rPr>
          <w:i/>
          <w:iCs/>
        </w:rPr>
        <w:instrText>v</w:instrText>
      </w:r>
      <w:r>
        <w:instrText>\s\do5(</w:instrText>
      </w:r>
      <w:r>
        <w:rPr>
          <w:i/>
          <w:iCs/>
          <w:sz w:val="16"/>
          <w:szCs w:val="16"/>
        </w:rPr>
        <w:instrText>w</w:instrText>
      </w:r>
      <w:r>
        <w:instrText>)</w:instrText>
      </w:r>
      <w:r>
        <w:fldChar w:fldCharType="end"/>
      </w:r>
      <w:r>
        <w:t xml:space="preserve"> as the value for each </w:t>
      </w:r>
      <w:r>
        <w:fldChar w:fldCharType="begin"/>
      </w:r>
      <w:r>
        <w:instrText xml:space="preserve"> EQ </w:instrText>
      </w:r>
      <w:r>
        <w:rPr>
          <w:i/>
          <w:iCs/>
        </w:rPr>
        <w:instrText>v</w:instrText>
      </w:r>
      <w:r>
        <w:instrText>\s\do5(</w:instrText>
      </w:r>
      <w:r>
        <w:rPr>
          <w:i/>
          <w:iCs/>
          <w:sz w:val="16"/>
          <w:szCs w:val="16"/>
        </w:rPr>
        <w:instrText>w</w:instrText>
      </w:r>
      <w:r>
        <w:rPr>
          <w:sz w:val="16"/>
          <w:szCs w:val="16"/>
        </w:rPr>
        <w:instrText>\,</w:instrText>
      </w:r>
      <w:r>
        <w:rPr>
          <w:i/>
          <w:iCs/>
          <w:sz w:val="16"/>
          <w:szCs w:val="16"/>
        </w:rPr>
        <w:instrText>t</w:instrText>
      </w:r>
      <w:r>
        <w:instrText>)</w:instrText>
      </w:r>
      <w:r>
        <w:fldChar w:fldCharType="end"/>
      </w:r>
      <w:r>
        <w:t xml:space="preserve"> (and again, setting all </w:t>
      </w:r>
      <w:r>
        <w:t>η</w:t>
      </w:r>
      <w:r>
        <w:t xml:space="preserve">=0). Below we derive the MLE for a particular </w:t>
      </w:r>
      <w:r>
        <w:t>μ</w:t>
      </w:r>
      <w:r>
        <w:t xml:space="preserve"> at an implicit region </w:t>
      </w:r>
      <w:r>
        <w:rPr>
          <w:i/>
          <w:iCs/>
        </w:rPr>
        <w:t>r</w:t>
      </w:r>
      <w:r>
        <w:t xml:space="preserve"> at a sin</w:t>
      </w:r>
      <w:r>
        <w:t xml:space="preserve">gle time point </w:t>
      </w:r>
      <w:r>
        <w:rPr>
          <w:i/>
          <w:iCs/>
        </w:rPr>
        <w:t>t</w:t>
      </w:r>
      <w:r>
        <w:t xml:space="preserve"> (where the </w:t>
      </w:r>
      <w:r>
        <w:rPr>
          <w:i/>
          <w:iCs/>
        </w:rPr>
        <w:t>t</w:t>
      </w:r>
      <w:r>
        <w:t xml:space="preserve"> and </w:t>
      </w:r>
      <w:r>
        <w:rPr>
          <w:i/>
          <w:iCs/>
        </w:rPr>
        <w:t>r</w:t>
      </w:r>
      <w:r>
        <w:t xml:space="preserve"> subscripts are thus implicit). This derivation is absent (presumably due to space) from Eisenstein et al. (2014), and thus we find it useful to outline here. We first derive the form for the MLE: </w:t>
      </w:r>
    </w:p>
    <w:p w:rsidR="00135149" w:rsidRPr="00135149" w:rsidRDefault="00135149" w:rsidP="00135149">
      <w:pPr>
        <w:pStyle w:val="centerpar"/>
        <w:rPr>
          <w:b/>
        </w:rPr>
      </w:pPr>
      <w:r>
        <w:tab/>
      </w:r>
      <w:r>
        <w:rPr>
          <w:b/>
        </w:rPr>
        <w:t xml:space="preserve">PLEASE LOOK AT PAPER </w:t>
      </w:r>
      <w:r>
        <w:rPr>
          <w:b/>
        </w:rPr>
        <w:t>FOR EQUATION 4</w:t>
      </w:r>
    </w:p>
    <w:p w:rsidR="00000000" w:rsidRDefault="00135149" w:rsidP="00135149">
      <w:pPr>
        <w:pStyle w:val="equationAlignNum"/>
        <w:tabs>
          <w:tab w:val="right" w:pos="3105"/>
          <w:tab w:val="left" w:pos="3450"/>
          <w:tab w:val="right" w:pos="6900"/>
        </w:tabs>
      </w:pPr>
      <w:r>
        <w:tab/>
      </w:r>
      <w:r>
        <w:tab/>
      </w:r>
      <w:r>
        <w:tab/>
        <w:t>(4)</w:t>
      </w:r>
    </w:p>
    <w:p w:rsidR="00000000" w:rsidRDefault="00135149">
      <w:pPr>
        <w:ind w:firstLine="300"/>
      </w:pPr>
      <w:r>
        <w:t>As there is no straightforward closed-form solution to this expression, we compute the derivative of the above expression and use it for a gradient descent approach to maximizing the function above. The gradient can b</w:t>
      </w:r>
      <w:r>
        <w:t xml:space="preserve">e derived as follows: </w:t>
      </w:r>
    </w:p>
    <w:p w:rsidR="00000000" w:rsidRDefault="00135149">
      <w:pPr>
        <w:pStyle w:val="equationAlignNum"/>
        <w:tabs>
          <w:tab w:val="right" w:pos="3105"/>
          <w:tab w:val="left" w:pos="3450"/>
          <w:tab w:val="right" w:pos="6900"/>
        </w:tabs>
      </w:pPr>
      <w:r>
        <w:tab/>
      </w:r>
      <w:r>
        <w:fldChar w:fldCharType="begin"/>
      </w:r>
      <w:r>
        <w:instrText xml:space="preserve"> EQ </w:instrText>
      </w:r>
      <w:r>
        <w:fldChar w:fldCharType="end"/>
      </w:r>
    </w:p>
    <w:p w:rsidR="00000000" w:rsidRDefault="00135149">
      <w:pPr>
        <w:pStyle w:val="equationAlignNum"/>
        <w:tabs>
          <w:tab w:val="right" w:pos="3105"/>
          <w:tab w:val="left" w:pos="3450"/>
          <w:tab w:val="right" w:pos="6900"/>
        </w:tabs>
      </w:pPr>
      <w:r>
        <w:rPr>
          <w:b/>
        </w:rPr>
        <w:t xml:space="preserve">PLEASE LOOK AT PAPER FOR EQUATION </w:t>
      </w:r>
      <w:r>
        <w:rPr>
          <w:b/>
        </w:rPr>
        <w:t>5</w:t>
      </w:r>
      <w:r>
        <w:tab/>
      </w:r>
      <w:r>
        <w:tab/>
      </w:r>
      <w:r>
        <w:tab/>
        <w:t>(5)</w:t>
      </w:r>
    </w:p>
    <w:p w:rsidR="00000000" w:rsidRDefault="00135149">
      <w:r>
        <w:t xml:space="preserve">An analogous derivation can be constructed for each </w:t>
      </w:r>
      <w:r>
        <w:rPr>
          <w:i/>
          <w:iCs/>
        </w:rPr>
        <w:t>v</w:t>
      </w:r>
      <w:r>
        <w:t xml:space="preserve">, and we thus exclude it from the present work. After solving for all </w:t>
      </w:r>
      <w:r>
        <w:fldChar w:fldCharType="begin"/>
      </w:r>
      <w:r>
        <w:instrText xml:space="preserve"> EQ </w:instrText>
      </w:r>
      <w:r>
        <w:rPr>
          <w:i/>
          <w:iCs/>
        </w:rPr>
        <w:instrText>w</w:instrText>
      </w:r>
      <w:r>
        <w:instrText>\s\do5(</w:instrText>
      </w:r>
      <w:r>
        <w:rPr>
          <w:i/>
          <w:iCs/>
          <w:sz w:val="16"/>
          <w:szCs w:val="16"/>
        </w:rPr>
        <w:instrText>r</w:instrText>
      </w:r>
      <w:r>
        <w:rPr>
          <w:sz w:val="16"/>
          <w:szCs w:val="16"/>
        </w:rPr>
        <w:instrText>\,</w:instrText>
      </w:r>
      <w:r>
        <w:rPr>
          <w:i/>
          <w:iCs/>
          <w:sz w:val="16"/>
          <w:szCs w:val="16"/>
        </w:rPr>
        <w:instrText>t</w:instrText>
      </w:r>
      <w:r>
        <w:instrText>)</w:instrText>
      </w:r>
      <w:r>
        <w:fldChar w:fldCharType="end"/>
      </w:r>
      <w:r>
        <w:t xml:space="preserve"> and all </w:t>
      </w:r>
      <w:r>
        <w:fldChar w:fldCharType="begin"/>
      </w:r>
      <w:r>
        <w:instrText xml:space="preserve"> EQ </w:instrText>
      </w:r>
      <w:r>
        <w:rPr>
          <w:i/>
          <w:iCs/>
        </w:rPr>
        <w:instrText>v</w:instrText>
      </w:r>
      <w:r>
        <w:instrText>\s\do5(</w:instrText>
      </w:r>
      <w:r>
        <w:rPr>
          <w:i/>
          <w:iCs/>
          <w:sz w:val="16"/>
          <w:szCs w:val="16"/>
        </w:rPr>
        <w:instrText>w</w:instrText>
      </w:r>
      <w:r>
        <w:rPr>
          <w:sz w:val="16"/>
          <w:szCs w:val="16"/>
        </w:rPr>
        <w:instrText>\,</w:instrText>
      </w:r>
      <w:r>
        <w:rPr>
          <w:i/>
          <w:iCs/>
          <w:sz w:val="16"/>
          <w:szCs w:val="16"/>
        </w:rPr>
        <w:instrText>t</w:instrText>
      </w:r>
      <w:r>
        <w:instrText>)</w:instrText>
      </w:r>
      <w:r>
        <w:fldChar w:fldCharType="end"/>
      </w:r>
      <w:r>
        <w:t xml:space="preserve">, we can estimate values for parameters in the autoregressive portion of the model, </w:t>
      </w:r>
      <w:r>
        <w:fldChar w:fldCharType="begin"/>
      </w:r>
      <w:r>
        <w:instrText xml:space="preserve"> EQ </w:instrText>
      </w:r>
      <w:r>
        <w:instrText>η</w:instrText>
      </w:r>
      <w:r>
        <w:instrText>\s\do5(</w:instrText>
      </w:r>
      <w:r>
        <w:rPr>
          <w:i/>
          <w:iCs/>
          <w:sz w:val="16"/>
          <w:szCs w:val="16"/>
        </w:rPr>
        <w:instrText>w</w:instrText>
      </w:r>
      <w:r>
        <w:rPr>
          <w:sz w:val="16"/>
          <w:szCs w:val="16"/>
        </w:rPr>
        <w:instrText>\,</w:instrText>
      </w:r>
      <w:r>
        <w:rPr>
          <w:i/>
          <w:iCs/>
          <w:sz w:val="16"/>
          <w:szCs w:val="16"/>
        </w:rPr>
        <w:instrText>r</w:instrText>
      </w:r>
      <w:r>
        <w:rPr>
          <w:sz w:val="16"/>
          <w:szCs w:val="16"/>
        </w:rPr>
        <w:instrText>\,</w:instrText>
      </w:r>
      <w:r>
        <w:rPr>
          <w:i/>
          <w:iCs/>
          <w:sz w:val="16"/>
          <w:szCs w:val="16"/>
        </w:rPr>
        <w:instrText>t</w:instrText>
      </w:r>
      <w:r>
        <w:instrText>)</w:instrText>
      </w:r>
      <w:r>
        <w:fldChar w:fldCharType="end"/>
      </w:r>
      <w:r>
        <w:t xml:space="preserve">, </w:t>
      </w:r>
      <w:r>
        <w:fldChar w:fldCharType="begin"/>
      </w:r>
      <w:r>
        <w:instrText xml:space="preserve"> EQ </w:instrText>
      </w:r>
      <w:r>
        <w:rPr>
          <w:i/>
          <w:iCs/>
        </w:rPr>
        <w:instrText>A</w:instrText>
      </w:r>
      <w:r>
        <w:instrText>\s\do5(</w:instrText>
      </w:r>
      <w:r>
        <w:rPr>
          <w:i/>
          <w:iCs/>
          <w:sz w:val="16"/>
          <w:szCs w:val="16"/>
        </w:rPr>
        <w:instrText>w</w:instrText>
      </w:r>
      <w:r>
        <w:instrText>)</w:instrText>
      </w:r>
      <w:r>
        <w:fldChar w:fldCharType="end"/>
      </w:r>
      <w:r>
        <w:t xml:space="preserve"> and </w:t>
      </w:r>
      <w:r>
        <w:fldChar w:fldCharType="begin"/>
      </w:r>
      <w:r>
        <w:instrText xml:space="preserve"> EQ </w:instrText>
      </w:r>
      <w:r>
        <w:instrText>σ</w:instrText>
      </w:r>
      <w:r>
        <w:instrText>\s\up(</w:instrText>
      </w:r>
      <w:r>
        <w:rPr>
          <w:sz w:val="16"/>
          <w:szCs w:val="16"/>
        </w:rPr>
        <w:instrText>2,</w:instrText>
      </w:r>
      <w:r>
        <w:rPr>
          <w:i/>
          <w:iCs/>
          <w:sz w:val="16"/>
          <w:szCs w:val="16"/>
        </w:rPr>
        <w:instrText>w</w:instrText>
      </w:r>
      <w:r>
        <w:rPr>
          <w:sz w:val="16"/>
          <w:szCs w:val="16"/>
        </w:rPr>
        <w:instrText>\,</w:instrText>
      </w:r>
      <w:r>
        <w:rPr>
          <w:i/>
          <w:iCs/>
          <w:sz w:val="16"/>
          <w:szCs w:val="16"/>
        </w:rPr>
        <w:instrText>r</w:instrText>
      </w:r>
      <w:r>
        <w:instrText>)</w:instrText>
      </w:r>
      <w:r>
        <w:fldChar w:fldCharType="end"/>
      </w:r>
      <w:r>
        <w:t>. Because the observation model here is non-Gaussian, the traditional Kalman Filter algorithm cannot be use</w:t>
      </w:r>
      <w:r>
        <w:t xml:space="preserve">d to learn model parameters. Instead, we resort to Bayesian methods to perform approximate draws from the distribution of the </w:t>
      </w:r>
      <w:r>
        <w:t>η</w:t>
      </w:r>
      <w:r>
        <w:t xml:space="preserve">s over time. We can then use maximum likelihood estimation to update values for </w:t>
      </w:r>
      <w:r>
        <w:fldChar w:fldCharType="begin"/>
      </w:r>
      <w:r>
        <w:instrText xml:space="preserve"> EQ </w:instrText>
      </w:r>
      <w:r>
        <w:rPr>
          <w:i/>
          <w:iCs/>
        </w:rPr>
        <w:instrText>A</w:instrText>
      </w:r>
      <w:r>
        <w:instrText>\s\do5(</w:instrText>
      </w:r>
      <w:r>
        <w:rPr>
          <w:i/>
          <w:iCs/>
          <w:sz w:val="16"/>
          <w:szCs w:val="16"/>
        </w:rPr>
        <w:instrText>w</w:instrText>
      </w:r>
      <w:r>
        <w:instrText>)</w:instrText>
      </w:r>
      <w:r>
        <w:fldChar w:fldCharType="end"/>
      </w:r>
      <w:r>
        <w:t xml:space="preserve"> and </w:t>
      </w:r>
      <w:r>
        <w:fldChar w:fldCharType="begin"/>
      </w:r>
      <w:r>
        <w:instrText xml:space="preserve"> EQ </w:instrText>
      </w:r>
      <w:r>
        <w:instrText>σ</w:instrText>
      </w:r>
      <w:r>
        <w:instrText>\s\up(</w:instrText>
      </w:r>
      <w:r>
        <w:rPr>
          <w:sz w:val="16"/>
          <w:szCs w:val="16"/>
        </w:rPr>
        <w:instrText>2,</w:instrText>
      </w:r>
      <w:r>
        <w:rPr>
          <w:i/>
          <w:iCs/>
          <w:sz w:val="16"/>
          <w:szCs w:val="16"/>
        </w:rPr>
        <w:instrText>w</w:instrText>
      </w:r>
      <w:r>
        <w:rPr>
          <w:sz w:val="16"/>
          <w:szCs w:val="16"/>
        </w:rPr>
        <w:instrText>\,</w:instrText>
      </w:r>
      <w:r>
        <w:rPr>
          <w:i/>
          <w:iCs/>
          <w:sz w:val="16"/>
          <w:szCs w:val="16"/>
        </w:rPr>
        <w:instrText>r</w:instrText>
      </w:r>
      <w:r>
        <w:instrText>)</w:instrText>
      </w:r>
      <w:r>
        <w:fldChar w:fldCharType="end"/>
      </w:r>
      <w:r>
        <w:t>. We the</w:t>
      </w:r>
      <w:r>
        <w:t xml:space="preserve">n update expectations for all </w:t>
      </w:r>
      <w:r>
        <w:rPr>
          <w:i/>
          <w:iCs/>
        </w:rPr>
        <w:t>A</w:t>
      </w:r>
      <w:r>
        <w:t xml:space="preserve"> and </w:t>
      </w:r>
      <w:r>
        <w:fldChar w:fldCharType="begin"/>
      </w:r>
      <w:r>
        <w:instrText xml:space="preserve"> EQ </w:instrText>
      </w:r>
      <w:r>
        <w:instrText>σ</w:instrText>
      </w:r>
      <w:r>
        <w:instrText>\s\up5(</w:instrText>
      </w:r>
      <w:r>
        <w:rPr>
          <w:sz w:val="16"/>
          <w:szCs w:val="16"/>
        </w:rPr>
        <w:instrText>2</w:instrText>
      </w:r>
      <w:r>
        <w:instrText>)</w:instrText>
      </w:r>
      <w:r>
        <w:fldChar w:fldCharType="end"/>
      </w:r>
      <w:r>
        <w:t xml:space="preserve"> parameters and iterate again to generate a draw from an updated version of the distribution for </w:t>
      </w:r>
      <w:r>
        <w:fldChar w:fldCharType="begin"/>
      </w:r>
      <w:r>
        <w:instrText xml:space="preserve"> EQ </w:instrText>
      </w:r>
      <w:r>
        <w:instrText>η</w:instrText>
      </w:r>
      <w:r>
        <w:instrText>\s\do5(</w:instrText>
      </w:r>
      <w:r>
        <w:rPr>
          <w:i/>
          <w:iCs/>
          <w:sz w:val="16"/>
          <w:szCs w:val="16"/>
        </w:rPr>
        <w:instrText>w</w:instrText>
      </w:r>
      <w:r>
        <w:rPr>
          <w:sz w:val="16"/>
          <w:szCs w:val="16"/>
        </w:rPr>
        <w:instrText>\,</w:instrText>
      </w:r>
      <w:r>
        <w:rPr>
          <w:i/>
          <w:iCs/>
          <w:sz w:val="16"/>
          <w:szCs w:val="16"/>
        </w:rPr>
        <w:instrText>r</w:instrText>
      </w:r>
      <w:r>
        <w:rPr>
          <w:sz w:val="16"/>
          <w:szCs w:val="16"/>
        </w:rPr>
        <w:instrText>\,</w:instrText>
      </w:r>
      <w:r>
        <w:rPr>
          <w:i/>
          <w:iCs/>
          <w:sz w:val="16"/>
          <w:szCs w:val="16"/>
        </w:rPr>
        <w:instrText>t</w:instrText>
      </w:r>
      <w:r>
        <w:instrText>)</w:instrText>
      </w:r>
      <w:r>
        <w:fldChar w:fldCharType="end"/>
      </w:r>
      <w:r>
        <w:t xml:space="preserve">. </w:t>
      </w:r>
    </w:p>
    <w:p w:rsidR="00000000" w:rsidRDefault="00135149">
      <w:pPr>
        <w:ind w:firstLine="300"/>
      </w:pPr>
      <w:r>
        <w:t xml:space="preserve">As outlined, this process is a Monte-Carlo EM algorithm (Bishop and others, 2006, </w:t>
      </w:r>
      <w:r>
        <w:t xml:space="preserve">p. 439) that can be used to estimate </w:t>
      </w:r>
      <w:r>
        <w:fldChar w:fldCharType="begin"/>
      </w:r>
      <w:r>
        <w:instrText xml:space="preserve"> EQ </w:instrText>
      </w:r>
      <w:r>
        <w:rPr>
          <w:i/>
          <w:iCs/>
        </w:rPr>
        <w:instrText>A</w:instrText>
      </w:r>
      <w:r>
        <w:instrText>\s\do5(</w:instrText>
      </w:r>
      <w:r>
        <w:rPr>
          <w:i/>
          <w:iCs/>
          <w:sz w:val="16"/>
          <w:szCs w:val="16"/>
        </w:rPr>
        <w:instrText>w</w:instrText>
      </w:r>
      <w:r>
        <w:instrText>)</w:instrText>
      </w:r>
      <w:r>
        <w:fldChar w:fldCharType="end"/>
      </w:r>
      <w:r>
        <w:t xml:space="preserve">, </w:t>
      </w:r>
      <w:r>
        <w:fldChar w:fldCharType="begin"/>
      </w:r>
      <w:r>
        <w:instrText xml:space="preserve"> EQ </w:instrText>
      </w:r>
      <w:r>
        <w:instrText>σ</w:instrText>
      </w:r>
      <w:r>
        <w:instrText>\s\up(</w:instrText>
      </w:r>
      <w:r>
        <w:rPr>
          <w:sz w:val="16"/>
          <w:szCs w:val="16"/>
        </w:rPr>
        <w:instrText>2,</w:instrText>
      </w:r>
      <w:r>
        <w:rPr>
          <w:i/>
          <w:iCs/>
          <w:sz w:val="16"/>
          <w:szCs w:val="16"/>
        </w:rPr>
        <w:instrText>w</w:instrText>
      </w:r>
      <w:r>
        <w:rPr>
          <w:sz w:val="16"/>
          <w:szCs w:val="16"/>
        </w:rPr>
        <w:instrText>\,</w:instrText>
      </w:r>
      <w:r>
        <w:rPr>
          <w:i/>
          <w:iCs/>
          <w:sz w:val="16"/>
          <w:szCs w:val="16"/>
        </w:rPr>
        <w:instrText>r</w:instrText>
      </w:r>
      <w:r>
        <w:instrText>)</w:instrText>
      </w:r>
      <w:r>
        <w:fldChar w:fldCharType="end"/>
      </w:r>
      <w:r>
        <w:t xml:space="preserve"> and </w:t>
      </w:r>
      <w:r>
        <w:fldChar w:fldCharType="begin"/>
      </w:r>
      <w:r>
        <w:instrText xml:space="preserve"> EQ </w:instrText>
      </w:r>
      <w:r>
        <w:instrText>η</w:instrText>
      </w:r>
      <w:r>
        <w:instrText>\s\do5(</w:instrText>
      </w:r>
      <w:r>
        <w:rPr>
          <w:i/>
          <w:iCs/>
          <w:sz w:val="16"/>
          <w:szCs w:val="16"/>
        </w:rPr>
        <w:instrText>w</w:instrText>
      </w:r>
      <w:r>
        <w:rPr>
          <w:sz w:val="16"/>
          <w:szCs w:val="16"/>
        </w:rPr>
        <w:instrText>\,</w:instrText>
      </w:r>
      <w:r>
        <w:rPr>
          <w:i/>
          <w:iCs/>
          <w:sz w:val="16"/>
          <w:szCs w:val="16"/>
        </w:rPr>
        <w:instrText>r</w:instrText>
      </w:r>
      <w:r>
        <w:rPr>
          <w:sz w:val="16"/>
          <w:szCs w:val="16"/>
        </w:rPr>
        <w:instrText>\,</w:instrText>
      </w:r>
      <w:r>
        <w:rPr>
          <w:i/>
          <w:iCs/>
          <w:sz w:val="16"/>
          <w:szCs w:val="16"/>
        </w:rPr>
        <w:instrText>t</w:instrText>
      </w:r>
      <w:r>
        <w:instrText>)</w:instrText>
      </w:r>
      <w:r>
        <w:fldChar w:fldCharType="end"/>
      </w:r>
      <w:r>
        <w:t xml:space="preserve">. In the </w:t>
      </w:r>
      <w:r>
        <w:rPr>
          <w:b/>
          <w:bCs/>
        </w:rPr>
        <w:t>E</w:t>
      </w:r>
      <w:r>
        <w:t xml:space="preserve"> step, we get an expectation for </w:t>
      </w:r>
      <w:r>
        <w:t>η</w:t>
      </w:r>
      <w:r>
        <w:t xml:space="preserve"> using the Forwards-Filtering Backwards Sampling (FFBS) algorithm (Godsill et al., 2004). To do so, we need an</w:t>
      </w:r>
      <w:r>
        <w:t xml:space="preserve"> initial distribution, which we can use to begin the forward-filtering step in the algorithm. Eisenstein et al. (2014) do not specify an initial distribution for </w:t>
      </w:r>
      <w:r>
        <w:fldChar w:fldCharType="begin"/>
      </w:r>
      <w:r>
        <w:instrText xml:space="preserve"> EQ </w:instrText>
      </w:r>
      <w:r>
        <w:instrText>η</w:instrText>
      </w:r>
      <w:r>
        <w:instrText>\s\do5(</w:instrText>
      </w:r>
      <w:r>
        <w:rPr>
          <w:sz w:val="16"/>
          <w:szCs w:val="16"/>
        </w:rPr>
        <w:instrText>0</w:instrText>
      </w:r>
      <w:r>
        <w:instrText>)</w:instrText>
      </w:r>
      <w:r>
        <w:fldChar w:fldCharType="end"/>
      </w:r>
      <w:r>
        <w:t xml:space="preserve">, so we draw from </w:t>
      </w:r>
      <w:r>
        <w:fldChar w:fldCharType="begin"/>
      </w:r>
      <w:r>
        <w:instrText xml:space="preserve"> EQ </w:instrText>
      </w:r>
      <w:r>
        <w:rPr>
          <w:i/>
          <w:iCs/>
        </w:rPr>
        <w:instrText>N</w:instrText>
      </w:r>
      <w:r>
        <w:instrText>(ê\,1)</w:instrText>
      </w:r>
      <w:r>
        <w:fldChar w:fldCharType="end"/>
      </w:r>
      <w:r>
        <w:t xml:space="preserve">, where </w:t>
      </w:r>
      <w:r>
        <w:fldChar w:fldCharType="begin"/>
      </w:r>
      <w:r>
        <w:instrText xml:space="preserve"> EQ </w:instrText>
      </w:r>
      <w:r>
        <w:instrText>̂</w:instrText>
      </w:r>
      <w:r>
        <w:instrText>η</w:instrText>
      </w:r>
      <w:r>
        <w:instrText>\s\do5(</w:instrText>
      </w:r>
      <w:r>
        <w:rPr>
          <w:sz w:val="16"/>
          <w:szCs w:val="16"/>
        </w:rPr>
        <w:instrText>0</w:instrText>
      </w:r>
      <w:r>
        <w:instrText>)</w:instrText>
      </w:r>
      <w:r>
        <w:fldChar w:fldCharType="end"/>
      </w:r>
      <w:r>
        <w:t xml:space="preserve"> is the MLE for </w:t>
      </w:r>
      <w:r>
        <w:fldChar w:fldCharType="begin"/>
      </w:r>
      <w:r>
        <w:instrText xml:space="preserve"> EQ </w:instrText>
      </w:r>
      <w:r>
        <w:rPr>
          <w:i/>
          <w:iCs/>
        </w:rPr>
        <w:instrText>et</w:instrText>
      </w:r>
      <w:r>
        <w:rPr>
          <w:i/>
          <w:iCs/>
        </w:rPr>
        <w:instrText>a</w:instrText>
      </w:r>
      <w:r>
        <w:instrText>\s\do5(</w:instrText>
      </w:r>
      <w:r>
        <w:rPr>
          <w:sz w:val="16"/>
          <w:szCs w:val="16"/>
        </w:rPr>
        <w:instrText>0</w:instrText>
      </w:r>
      <w:r>
        <w:instrText>)</w:instrText>
      </w:r>
      <w:r>
        <w:fldChar w:fldCharType="end"/>
      </w:r>
      <w:r>
        <w:t>, given in Equation </w:t>
      </w:r>
      <w:r>
        <w:fldChar w:fldCharType="begin"/>
      </w:r>
      <w:r>
        <w:instrText xml:space="preserve">REF BMeq_mle_eta_0 \* MERGEFORMAT </w:instrText>
      </w:r>
      <w:r>
        <w:fldChar w:fldCharType="separate"/>
      </w:r>
      <w:r>
        <w:t>6</w:t>
      </w:r>
      <w:r>
        <w:fldChar w:fldCharType="end"/>
      </w:r>
      <w:r>
        <w:t xml:space="preserve">, where </w:t>
      </w:r>
      <w:r>
        <w:fldChar w:fldCharType="begin"/>
      </w:r>
      <w:r>
        <w:instrText xml:space="preserve"> EQ </w:instrText>
      </w:r>
      <w:r>
        <w:rPr>
          <w:i/>
          <w:iCs/>
        </w:rPr>
        <w:instrText>x</w:instrText>
      </w:r>
      <w:r>
        <w:instrText>= \F(</w:instrText>
      </w:r>
      <w:r>
        <w:rPr>
          <w:i/>
          <w:iCs/>
        </w:rPr>
        <w:instrText>c</w:instrText>
      </w:r>
      <w:r>
        <w:instrText>,</w:instrText>
      </w:r>
      <w:r>
        <w:rPr>
          <w:i/>
          <w:iCs/>
        </w:rPr>
        <w:instrText>s</w:instrText>
      </w:r>
      <w:r>
        <w:instrText>)</w:instrText>
      </w:r>
      <w:r>
        <w:fldChar w:fldCharType="end"/>
      </w:r>
      <w:r>
        <w:t xml:space="preserve">: </w:t>
      </w:r>
    </w:p>
    <w:p w:rsidR="00000000" w:rsidRDefault="00135149">
      <w:pPr>
        <w:pStyle w:val="equationAlignNum"/>
        <w:tabs>
          <w:tab w:val="right" w:pos="3105"/>
          <w:tab w:val="left" w:pos="3450"/>
          <w:tab w:val="right" w:pos="6900"/>
        </w:tabs>
      </w:pPr>
      <w:r>
        <w:tab/>
      </w:r>
      <w:r>
        <w:fldChar w:fldCharType="begin"/>
      </w:r>
      <w:r>
        <w:instrText xml:space="preserve"> EQ </w:instrText>
      </w:r>
      <w:r>
        <w:fldChar w:fldCharType="end"/>
      </w:r>
    </w:p>
    <w:p w:rsidR="00000000" w:rsidRDefault="00135149">
      <w:pPr>
        <w:jc w:val="center"/>
      </w:pPr>
      <w:r>
        <w:rPr>
          <w:b/>
        </w:rPr>
        <w:t xml:space="preserve">PLEASE LOOK AT PAPER FOR EQUATION </w:t>
      </w:r>
      <w:r>
        <w:rPr>
          <w:b/>
        </w:rPr>
        <w:t>6</w:t>
      </w:r>
    </w:p>
    <w:p w:rsidR="00000000" w:rsidRDefault="00135149">
      <w:pPr>
        <w:pStyle w:val="equationAlignNum"/>
        <w:tabs>
          <w:tab w:val="right" w:pos="3105"/>
          <w:tab w:val="left" w:pos="3450"/>
          <w:tab w:val="right" w:pos="6900"/>
        </w:tabs>
      </w:pPr>
      <w:r>
        <w:tab/>
      </w:r>
      <w:r>
        <w:tab/>
      </w:r>
      <w:r>
        <w:tab/>
        <w:t>(6)</w:t>
      </w:r>
    </w:p>
    <w:p w:rsidR="00000000" w:rsidRDefault="00135149">
      <w:pPr>
        <w:ind w:firstLine="300"/>
      </w:pPr>
      <w:r>
        <w:t xml:space="preserve">After obtaining a value for </w:t>
      </w:r>
      <w:r>
        <w:fldChar w:fldCharType="begin"/>
      </w:r>
      <w:r>
        <w:instrText xml:space="preserve"> EQ </w:instrText>
      </w:r>
      <w:r>
        <w:instrText>η</w:instrText>
      </w:r>
      <w:r>
        <w:instrText>\s\do5(</w:instrText>
      </w:r>
      <w:r>
        <w:rPr>
          <w:i/>
          <w:iCs/>
          <w:sz w:val="16"/>
          <w:szCs w:val="16"/>
        </w:rPr>
        <w:instrText>t</w:instrText>
      </w:r>
      <w:r>
        <w:rPr>
          <w:sz w:val="16"/>
          <w:szCs w:val="16"/>
        </w:rPr>
        <w:instrText>=0</w:instrText>
      </w:r>
      <w:r>
        <w:instrText>)</w:instrText>
      </w:r>
      <w:r>
        <w:fldChar w:fldCharType="end"/>
      </w:r>
      <w:r>
        <w:t>, we proceed with FFBS with the proposal distributi</w:t>
      </w:r>
      <w:r>
        <w:t xml:space="preserve">on </w:t>
      </w:r>
      <w:r>
        <w:rPr>
          <w:i/>
          <w:iCs/>
        </w:rPr>
        <w:t>Q</w:t>
      </w:r>
      <w:r>
        <w:t>(</w:t>
      </w:r>
      <w:r>
        <w:rPr>
          <w:i/>
          <w:iCs/>
        </w:rPr>
        <w:t>x</w:t>
      </w:r>
      <w:r>
        <w:t>) equal to the transition distribution. In contrast to Eisenstein et al. (2014), who use a simple particle filter in the forward-filtering step, we found our estimates were much more stable when we used an additional resampling step during the filter</w:t>
      </w:r>
      <w:r>
        <w:t xml:space="preserve">ing process (Arulampalam et al., 2002). Thus, for each time point, we construct weights for each sample </w:t>
      </w:r>
      <w:r>
        <w:fldChar w:fldCharType="begin"/>
      </w:r>
      <w:r>
        <w:instrText xml:space="preserve"> EQ </w:instrText>
      </w:r>
      <w:r>
        <w:instrText>η</w:instrText>
      </w:r>
      <w:r>
        <w:instrText>\s\up(</w:instrText>
      </w:r>
      <w:r>
        <w:rPr>
          <w:sz w:val="16"/>
          <w:szCs w:val="16"/>
        </w:rPr>
        <w:instrText>(</w:instrText>
      </w:r>
      <w:r>
        <w:rPr>
          <w:i/>
          <w:iCs/>
          <w:sz w:val="16"/>
          <w:szCs w:val="16"/>
        </w:rPr>
        <w:instrText>m</w:instrText>
      </w:r>
      <w:r>
        <w:rPr>
          <w:sz w:val="16"/>
          <w:szCs w:val="16"/>
        </w:rPr>
        <w:instrText>),</w:instrText>
      </w:r>
      <w:r>
        <w:rPr>
          <w:i/>
          <w:iCs/>
          <w:sz w:val="16"/>
          <w:szCs w:val="16"/>
        </w:rPr>
        <w:instrText>w</w:instrText>
      </w:r>
      <w:r>
        <w:rPr>
          <w:sz w:val="16"/>
          <w:szCs w:val="16"/>
        </w:rPr>
        <w:instrText>\,</w:instrText>
      </w:r>
      <w:r>
        <w:rPr>
          <w:i/>
          <w:iCs/>
          <w:sz w:val="16"/>
          <w:szCs w:val="16"/>
        </w:rPr>
        <w:instrText>r</w:instrText>
      </w:r>
      <w:r>
        <w:rPr>
          <w:sz w:val="16"/>
          <w:szCs w:val="16"/>
        </w:rPr>
        <w:instrText>\,</w:instrText>
      </w:r>
      <w:r>
        <w:rPr>
          <w:i/>
          <w:iCs/>
          <w:sz w:val="16"/>
          <w:szCs w:val="16"/>
        </w:rPr>
        <w:instrText>t</w:instrText>
      </w:r>
      <w:r>
        <w:instrText>)</w:instrText>
      </w:r>
      <w:r>
        <w:fldChar w:fldCharType="end"/>
      </w:r>
      <w:r>
        <w:t xml:space="preserve"> as: </w:t>
      </w:r>
    </w:p>
    <w:p w:rsidR="00000000" w:rsidRDefault="00135149">
      <w:pPr>
        <w:pStyle w:val="equationNum"/>
        <w:tabs>
          <w:tab w:val="center" w:pos="3450"/>
          <w:tab w:val="right" w:pos="6900"/>
        </w:tabs>
      </w:pPr>
      <w:r>
        <w:tab/>
      </w:r>
      <w:r>
        <w:fldChar w:fldCharType="begin"/>
      </w:r>
      <w:r>
        <w:instrText xml:space="preserve"> EQ </w:instrText>
      </w:r>
      <w:r>
        <w:instrText>ω</w:instrText>
      </w:r>
      <w:r>
        <w:instrText>\s\up(</w:instrText>
      </w:r>
      <w:r>
        <w:rPr>
          <w:sz w:val="16"/>
          <w:szCs w:val="16"/>
        </w:rPr>
        <w:instrText>(</w:instrText>
      </w:r>
      <w:r>
        <w:rPr>
          <w:i/>
          <w:iCs/>
          <w:sz w:val="16"/>
          <w:szCs w:val="16"/>
        </w:rPr>
        <w:instrText>m</w:instrText>
      </w:r>
      <w:r>
        <w:rPr>
          <w:sz w:val="16"/>
          <w:szCs w:val="16"/>
        </w:rPr>
        <w:instrText>),</w:instrText>
      </w:r>
      <w:r>
        <w:rPr>
          <w:i/>
          <w:iCs/>
          <w:sz w:val="16"/>
          <w:szCs w:val="16"/>
        </w:rPr>
        <w:instrText>w</w:instrText>
      </w:r>
      <w:r>
        <w:rPr>
          <w:sz w:val="16"/>
          <w:szCs w:val="16"/>
        </w:rPr>
        <w:instrText>\,</w:instrText>
      </w:r>
      <w:r>
        <w:rPr>
          <w:i/>
          <w:iCs/>
          <w:sz w:val="16"/>
          <w:szCs w:val="16"/>
        </w:rPr>
        <w:instrText>r</w:instrText>
      </w:r>
      <w:r>
        <w:rPr>
          <w:sz w:val="16"/>
          <w:szCs w:val="16"/>
        </w:rPr>
        <w:instrText>\,</w:instrText>
      </w:r>
      <w:r>
        <w:rPr>
          <w:i/>
          <w:iCs/>
          <w:sz w:val="16"/>
          <w:szCs w:val="16"/>
        </w:rPr>
        <w:instrText>t</w:instrText>
      </w:r>
      <w:r>
        <w:instrText>)=</w:instrText>
      </w:r>
      <w:r>
        <w:instrText>ω</w:instrText>
      </w:r>
      <w:r>
        <w:instrText>\s\up(</w:instrText>
      </w:r>
      <w:r>
        <w:rPr>
          <w:sz w:val="16"/>
          <w:szCs w:val="16"/>
        </w:rPr>
        <w:instrText>(</w:instrText>
      </w:r>
      <w:r>
        <w:rPr>
          <w:i/>
          <w:iCs/>
          <w:sz w:val="16"/>
          <w:szCs w:val="16"/>
        </w:rPr>
        <w:instrText>m</w:instrText>
      </w:r>
      <w:r>
        <w:rPr>
          <w:sz w:val="16"/>
          <w:szCs w:val="16"/>
        </w:rPr>
        <w:instrText>),</w:instrText>
      </w:r>
      <w:r>
        <w:rPr>
          <w:i/>
          <w:iCs/>
          <w:sz w:val="16"/>
          <w:szCs w:val="16"/>
        </w:rPr>
        <w:instrText>w</w:instrText>
      </w:r>
      <w:r>
        <w:rPr>
          <w:sz w:val="16"/>
          <w:szCs w:val="16"/>
        </w:rPr>
        <w:instrText>\,</w:instrText>
      </w:r>
      <w:r>
        <w:rPr>
          <w:i/>
          <w:iCs/>
          <w:sz w:val="16"/>
          <w:szCs w:val="16"/>
        </w:rPr>
        <w:instrText>r</w:instrText>
      </w:r>
      <w:r>
        <w:rPr>
          <w:sz w:val="16"/>
          <w:szCs w:val="16"/>
        </w:rPr>
        <w:instrText>\,</w:instrText>
      </w:r>
      <w:r>
        <w:rPr>
          <w:i/>
          <w:iCs/>
          <w:sz w:val="16"/>
          <w:szCs w:val="16"/>
        </w:rPr>
        <w:instrText>t</w:instrText>
      </w:r>
      <w:r>
        <w:rPr>
          <w:sz w:val="16"/>
          <w:szCs w:val="16"/>
        </w:rPr>
        <w:instrText>−</w:instrText>
      </w:r>
      <w:r>
        <w:rPr>
          <w:sz w:val="16"/>
          <w:szCs w:val="16"/>
        </w:rPr>
        <w:instrText>1</w:instrText>
      </w:r>
      <w:r>
        <w:instrText>)*</w:instrText>
      </w:r>
      <w:r>
        <w:rPr>
          <w:i/>
          <w:iCs/>
        </w:rPr>
        <w:instrText>P</w:instrText>
      </w:r>
      <w:r>
        <w:instrText>(</w:instrText>
      </w:r>
      <w:r>
        <w:rPr>
          <w:i/>
          <w:iCs/>
        </w:rPr>
        <w:instrText>c</w:instrText>
      </w:r>
      <w:r>
        <w:instrText>\s\do5(</w:instrText>
      </w:r>
      <w:r>
        <w:rPr>
          <w:i/>
          <w:iCs/>
          <w:sz w:val="16"/>
          <w:szCs w:val="16"/>
        </w:rPr>
        <w:instrText>w</w:instrText>
      </w:r>
      <w:r>
        <w:rPr>
          <w:sz w:val="16"/>
          <w:szCs w:val="16"/>
        </w:rPr>
        <w:instrText>\,</w:instrText>
      </w:r>
      <w:r>
        <w:rPr>
          <w:i/>
          <w:iCs/>
          <w:sz w:val="16"/>
          <w:szCs w:val="16"/>
        </w:rPr>
        <w:instrText>r</w:instrText>
      </w:r>
      <w:r>
        <w:rPr>
          <w:sz w:val="16"/>
          <w:szCs w:val="16"/>
        </w:rPr>
        <w:instrText>\,</w:instrText>
      </w:r>
      <w:r>
        <w:rPr>
          <w:i/>
          <w:iCs/>
          <w:sz w:val="16"/>
          <w:szCs w:val="16"/>
        </w:rPr>
        <w:instrText>t</w:instrText>
      </w:r>
      <w:r>
        <w:instrText>)|</w:instrText>
      </w:r>
      <w:r>
        <w:instrText>η</w:instrText>
      </w:r>
      <w:r>
        <w:instrText>\s\do5(</w:instrText>
      </w:r>
      <w:r>
        <w:rPr>
          <w:i/>
          <w:iCs/>
          <w:sz w:val="16"/>
          <w:szCs w:val="16"/>
        </w:rPr>
        <w:instrText>w</w:instrText>
      </w:r>
      <w:r>
        <w:rPr>
          <w:sz w:val="16"/>
          <w:szCs w:val="16"/>
        </w:rPr>
        <w:instrText>\,</w:instrText>
      </w:r>
      <w:r>
        <w:rPr>
          <w:i/>
          <w:iCs/>
          <w:sz w:val="16"/>
          <w:szCs w:val="16"/>
        </w:rPr>
        <w:instrText>r</w:instrText>
      </w:r>
      <w:r>
        <w:rPr>
          <w:sz w:val="16"/>
          <w:szCs w:val="16"/>
        </w:rPr>
        <w:instrText>\,</w:instrText>
      </w:r>
      <w:r>
        <w:rPr>
          <w:i/>
          <w:iCs/>
          <w:sz w:val="16"/>
          <w:szCs w:val="16"/>
        </w:rPr>
        <w:instrText>t</w:instrText>
      </w:r>
      <w:r>
        <w:instrText>)\,</w:instrText>
      </w:r>
      <w:r>
        <w:rPr>
          <w:i/>
          <w:iCs/>
        </w:rPr>
        <w:instrText>s</w:instrText>
      </w:r>
      <w:r>
        <w:instrText>\s\do5(</w:instrText>
      </w:r>
      <w:r>
        <w:rPr>
          <w:i/>
          <w:iCs/>
          <w:sz w:val="16"/>
          <w:szCs w:val="16"/>
        </w:rPr>
        <w:instrText>w</w:instrText>
      </w:r>
      <w:r>
        <w:rPr>
          <w:sz w:val="16"/>
          <w:szCs w:val="16"/>
        </w:rPr>
        <w:instrText>\,</w:instrText>
      </w:r>
      <w:r>
        <w:rPr>
          <w:i/>
          <w:iCs/>
          <w:sz w:val="16"/>
          <w:szCs w:val="16"/>
        </w:rPr>
        <w:instrText>t</w:instrText>
      </w:r>
      <w:r>
        <w:instrText>);</w:instrText>
      </w:r>
      <w:r>
        <w:instrText>μ</w:instrText>
      </w:r>
      <w:r>
        <w:instrText>\s\do5(</w:instrText>
      </w:r>
      <w:r>
        <w:rPr>
          <w:i/>
          <w:iCs/>
          <w:sz w:val="16"/>
          <w:szCs w:val="16"/>
        </w:rPr>
        <w:instrText>r</w:instrText>
      </w:r>
      <w:r>
        <w:rPr>
          <w:sz w:val="16"/>
          <w:szCs w:val="16"/>
        </w:rPr>
        <w:instrText>\,</w:instrText>
      </w:r>
      <w:r>
        <w:rPr>
          <w:i/>
          <w:iCs/>
          <w:sz w:val="16"/>
          <w:szCs w:val="16"/>
        </w:rPr>
        <w:instrText>t</w:instrText>
      </w:r>
      <w:r>
        <w:instrText>)\,</w:instrText>
      </w:r>
      <w:r>
        <w:rPr>
          <w:i/>
          <w:iCs/>
        </w:rPr>
        <w:instrText>v</w:instrText>
      </w:r>
      <w:r>
        <w:instrText>\s\do5(</w:instrText>
      </w:r>
      <w:r>
        <w:rPr>
          <w:i/>
          <w:iCs/>
          <w:sz w:val="16"/>
          <w:szCs w:val="16"/>
        </w:rPr>
        <w:instrText>w</w:instrText>
      </w:r>
      <w:r>
        <w:rPr>
          <w:sz w:val="16"/>
          <w:szCs w:val="16"/>
        </w:rPr>
        <w:instrText>\,</w:instrText>
      </w:r>
      <w:r>
        <w:rPr>
          <w:i/>
          <w:iCs/>
          <w:sz w:val="16"/>
          <w:szCs w:val="16"/>
        </w:rPr>
        <w:instrText>t</w:instrText>
      </w:r>
      <w:r>
        <w:instrText>))</w:instrText>
      </w:r>
      <w:r>
        <w:fldChar w:fldCharType="end"/>
      </w:r>
      <w:r>
        <w:tab/>
        <w:t>(</w:t>
      </w:r>
      <w:bookmarkStart w:id="6" w:name="BMeq_s"/>
      <w:r>
        <w:t>7</w:t>
      </w:r>
      <w:bookmarkEnd w:id="6"/>
      <w:r>
        <w:t>)</w:t>
      </w:r>
    </w:p>
    <w:p w:rsidR="00000000" w:rsidRDefault="00135149">
      <w:r>
        <w:t xml:space="preserve">We then resample from this distribution, producing a set of samples for </w:t>
      </w:r>
      <w:r>
        <w:fldChar w:fldCharType="begin"/>
      </w:r>
      <w:r>
        <w:instrText xml:space="preserve"> EQ </w:instrText>
      </w:r>
      <w:r>
        <w:instrText>η</w:instrText>
      </w:r>
      <w:r>
        <w:instrText>\s\do5(</w:instrText>
      </w:r>
      <w:r>
        <w:rPr>
          <w:i/>
          <w:iCs/>
          <w:sz w:val="16"/>
          <w:szCs w:val="16"/>
        </w:rPr>
        <w:instrText>w</w:instrText>
      </w:r>
      <w:r>
        <w:rPr>
          <w:sz w:val="16"/>
          <w:szCs w:val="16"/>
        </w:rPr>
        <w:instrText>\,</w:instrText>
      </w:r>
      <w:r>
        <w:rPr>
          <w:i/>
          <w:iCs/>
          <w:sz w:val="16"/>
          <w:szCs w:val="16"/>
        </w:rPr>
        <w:instrText>r</w:instrText>
      </w:r>
      <w:r>
        <w:rPr>
          <w:sz w:val="16"/>
          <w:szCs w:val="16"/>
        </w:rPr>
        <w:instrText>\,</w:instrText>
      </w:r>
      <w:r>
        <w:rPr>
          <w:i/>
          <w:iCs/>
          <w:sz w:val="16"/>
          <w:szCs w:val="16"/>
        </w:rPr>
        <w:instrText>t</w:instrText>
      </w:r>
      <w:r>
        <w:instrText>)</w:instrText>
      </w:r>
      <w:r>
        <w:fldChar w:fldCharType="end"/>
      </w:r>
      <w:r>
        <w:t xml:space="preserve"> from a discrete approximation of the true distribution. This process, when run on each </w:t>
      </w:r>
      <w:r>
        <w:fldChar w:fldCharType="begin"/>
      </w:r>
      <w:r>
        <w:instrText xml:space="preserve"> EQ </w:instrText>
      </w:r>
      <w:r>
        <w:instrText>η</w:instrText>
      </w:r>
      <w:r>
        <w:instrText>\s\do5(</w:instrText>
      </w:r>
      <w:r>
        <w:rPr>
          <w:i/>
          <w:iCs/>
          <w:sz w:val="16"/>
          <w:szCs w:val="16"/>
        </w:rPr>
        <w:instrText>w</w:instrText>
      </w:r>
      <w:r>
        <w:rPr>
          <w:sz w:val="16"/>
          <w:szCs w:val="16"/>
        </w:rPr>
        <w:instrText>\,</w:instrText>
      </w:r>
      <w:r>
        <w:rPr>
          <w:i/>
          <w:iCs/>
          <w:sz w:val="16"/>
          <w:szCs w:val="16"/>
        </w:rPr>
        <w:instrText>r</w:instrText>
      </w:r>
      <w:r>
        <w:rPr>
          <w:sz w:val="16"/>
          <w:szCs w:val="16"/>
        </w:rPr>
        <w:instrText>\,</w:instrText>
      </w:r>
      <w:r>
        <w:rPr>
          <w:i/>
          <w:iCs/>
          <w:sz w:val="16"/>
          <w:szCs w:val="16"/>
        </w:rPr>
        <w:instrText>t</w:instrText>
      </w:r>
      <w:r>
        <w:instrText>)</w:instrText>
      </w:r>
      <w:r>
        <w:fldChar w:fldCharType="end"/>
      </w:r>
      <w:r>
        <w:t>, completes the “filtering”</w:t>
      </w:r>
      <w:r>
        <w:t xml:space="preserve"> step on the forward pass. On the backwards pass, we draw our samples for </w:t>
      </w:r>
      <w:r>
        <w:fldChar w:fldCharType="begin"/>
      </w:r>
      <w:r>
        <w:instrText xml:space="preserve"> EQ </w:instrText>
      </w:r>
      <w:r>
        <w:rPr>
          <w:i/>
          <w:iCs/>
        </w:rPr>
        <w:instrText>eta</w:instrText>
      </w:r>
      <w:r>
        <w:instrText>\s\do5(</w:instrText>
      </w:r>
      <w:r>
        <w:rPr>
          <w:i/>
          <w:iCs/>
          <w:sz w:val="16"/>
          <w:szCs w:val="16"/>
        </w:rPr>
        <w:instrText>w</w:instrText>
      </w:r>
      <w:r>
        <w:rPr>
          <w:sz w:val="16"/>
          <w:szCs w:val="16"/>
        </w:rPr>
        <w:instrText>\,</w:instrText>
      </w:r>
      <w:r>
        <w:rPr>
          <w:i/>
          <w:iCs/>
          <w:sz w:val="16"/>
          <w:szCs w:val="16"/>
        </w:rPr>
        <w:instrText>r</w:instrText>
      </w:r>
      <w:r>
        <w:rPr>
          <w:sz w:val="16"/>
          <w:szCs w:val="16"/>
        </w:rPr>
        <w:instrText>\,</w:instrText>
      </w:r>
      <w:r>
        <w:rPr>
          <w:i/>
          <w:iCs/>
          <w:sz w:val="16"/>
          <w:szCs w:val="16"/>
        </w:rPr>
        <w:instrText>t</w:instrText>
      </w:r>
      <w:r>
        <w:instrText>)</w:instrText>
      </w:r>
      <w:r>
        <w:fldChar w:fldCharType="end"/>
      </w:r>
      <w:r>
        <w:t xml:space="preserve"> using weights defined by the likelihood of each sample given the sample’s likelihood as defined by the observation model. This completes the E step, or in ot</w:t>
      </w:r>
      <w:r>
        <w:t xml:space="preserve">her words, provides our samples for </w:t>
      </w:r>
      <w:r>
        <w:fldChar w:fldCharType="begin"/>
      </w:r>
      <w:r>
        <w:instrText xml:space="preserve"> EQ </w:instrText>
      </w:r>
      <w:r>
        <w:instrText>η</w:instrText>
      </w:r>
      <w:r>
        <w:instrText>\s\do5(</w:instrText>
      </w:r>
      <w:r>
        <w:rPr>
          <w:i/>
          <w:iCs/>
          <w:sz w:val="16"/>
          <w:szCs w:val="16"/>
        </w:rPr>
        <w:instrText>w</w:instrText>
      </w:r>
      <w:r>
        <w:rPr>
          <w:sz w:val="16"/>
          <w:szCs w:val="16"/>
        </w:rPr>
        <w:instrText>\,</w:instrText>
      </w:r>
      <w:r>
        <w:rPr>
          <w:i/>
          <w:iCs/>
          <w:sz w:val="16"/>
          <w:szCs w:val="16"/>
        </w:rPr>
        <w:instrText>r</w:instrText>
      </w:r>
      <w:r>
        <w:rPr>
          <w:sz w:val="16"/>
          <w:szCs w:val="16"/>
        </w:rPr>
        <w:instrText>\,</w:instrText>
      </w:r>
      <w:r>
        <w:rPr>
          <w:i/>
          <w:iCs/>
          <w:sz w:val="16"/>
          <w:szCs w:val="16"/>
        </w:rPr>
        <w:instrText>t</w:instrText>
      </w:r>
      <w:r>
        <w:instrText>)</w:instrText>
      </w:r>
      <w:r>
        <w:fldChar w:fldCharType="end"/>
      </w:r>
      <w:r>
        <w:t xml:space="preserve">. The M step updates the MLEs for </w:t>
      </w:r>
      <w:r>
        <w:fldChar w:fldCharType="begin"/>
      </w:r>
      <w:r>
        <w:instrText xml:space="preserve"> EQ </w:instrText>
      </w:r>
      <w:r>
        <w:rPr>
          <w:i/>
          <w:iCs/>
        </w:rPr>
        <w:instrText>A</w:instrText>
      </w:r>
      <w:r>
        <w:instrText>\s\do5(</w:instrText>
      </w:r>
      <w:r>
        <w:rPr>
          <w:i/>
          <w:iCs/>
          <w:sz w:val="16"/>
          <w:szCs w:val="16"/>
        </w:rPr>
        <w:instrText>w</w:instrText>
      </w:r>
      <w:r>
        <w:instrText>)</w:instrText>
      </w:r>
      <w:r>
        <w:fldChar w:fldCharType="end"/>
      </w:r>
      <w:r>
        <w:t xml:space="preserve"> and </w:t>
      </w:r>
      <w:r>
        <w:fldChar w:fldCharType="begin"/>
      </w:r>
      <w:r>
        <w:instrText xml:space="preserve"> EQ </w:instrText>
      </w:r>
      <w:r>
        <w:instrText>σ</w:instrText>
      </w:r>
      <w:r>
        <w:instrText>\s\up(</w:instrText>
      </w:r>
      <w:r>
        <w:rPr>
          <w:sz w:val="16"/>
          <w:szCs w:val="16"/>
        </w:rPr>
        <w:instrText>2,</w:instrText>
      </w:r>
      <w:r>
        <w:rPr>
          <w:i/>
          <w:iCs/>
          <w:sz w:val="16"/>
          <w:szCs w:val="16"/>
        </w:rPr>
        <w:instrText>w</w:instrText>
      </w:r>
      <w:r>
        <w:rPr>
          <w:sz w:val="16"/>
          <w:szCs w:val="16"/>
        </w:rPr>
        <w:instrText>\,</w:instrText>
      </w:r>
      <w:r>
        <w:rPr>
          <w:i/>
          <w:iCs/>
          <w:sz w:val="16"/>
          <w:szCs w:val="16"/>
        </w:rPr>
        <w:instrText>r</w:instrText>
      </w:r>
      <w:r>
        <w:instrText>)</w:instrText>
      </w:r>
      <w:r>
        <w:fldChar w:fldCharType="end"/>
      </w:r>
      <w:r>
        <w:t xml:space="preserve">. The update for </w:t>
      </w:r>
      <w:r>
        <w:fldChar w:fldCharType="begin"/>
      </w:r>
      <w:r>
        <w:instrText xml:space="preserve"> EQ </w:instrText>
      </w:r>
      <w:r>
        <w:rPr>
          <w:i/>
          <w:iCs/>
        </w:rPr>
        <w:instrText>A</w:instrText>
      </w:r>
      <w:r>
        <w:instrText>\s\do5(</w:instrText>
      </w:r>
      <w:r>
        <w:rPr>
          <w:i/>
          <w:iCs/>
          <w:sz w:val="16"/>
          <w:szCs w:val="16"/>
        </w:rPr>
        <w:instrText>w</w:instrText>
      </w:r>
      <w:r>
        <w:instrText>)</w:instrText>
      </w:r>
      <w:r>
        <w:fldChar w:fldCharType="end"/>
      </w:r>
      <w:r>
        <w:t xml:space="preserve"> is simply determined via least-squares estimation. The MLE for </w:t>
      </w:r>
      <w:r>
        <w:fldChar w:fldCharType="begin"/>
      </w:r>
      <w:r>
        <w:instrText xml:space="preserve"> EQ </w:instrText>
      </w:r>
      <w:r>
        <w:instrText>σ</w:instrText>
      </w:r>
      <w:r>
        <w:instrText>\s\up(</w:instrText>
      </w:r>
      <w:r>
        <w:rPr>
          <w:sz w:val="16"/>
          <w:szCs w:val="16"/>
        </w:rPr>
        <w:instrText>2,</w:instrText>
      </w:r>
      <w:r>
        <w:rPr>
          <w:i/>
          <w:iCs/>
          <w:sz w:val="16"/>
          <w:szCs w:val="16"/>
        </w:rPr>
        <w:instrText>w</w:instrText>
      </w:r>
      <w:r>
        <w:rPr>
          <w:sz w:val="16"/>
          <w:szCs w:val="16"/>
        </w:rPr>
        <w:instrText>\,</w:instrText>
      </w:r>
      <w:r>
        <w:rPr>
          <w:i/>
          <w:iCs/>
          <w:sz w:val="16"/>
          <w:szCs w:val="16"/>
        </w:rPr>
        <w:instrText>r</w:instrText>
      </w:r>
      <w:r>
        <w:instrText>)</w:instrText>
      </w:r>
      <w:r>
        <w:fldChar w:fldCharType="end"/>
      </w:r>
      <w:r>
        <w:t xml:space="preserve"> can b</w:t>
      </w:r>
      <w:r>
        <w:t xml:space="preserve">e solved in closed form, </w:t>
      </w:r>
      <w:r>
        <w:fldChar w:fldCharType="begin"/>
      </w:r>
      <w:r>
        <w:instrText xml:space="preserve"> EQ  \F(1,</w:instrText>
      </w:r>
      <w:r>
        <w:rPr>
          <w:i/>
          <w:iCs/>
        </w:rPr>
        <w:instrText>T</w:instrText>
      </w:r>
      <w:r>
        <w:instrText>) \i \su(</w:instrText>
      </w:r>
      <w:r>
        <w:rPr>
          <w:i/>
          <w:iCs/>
        </w:rPr>
        <w:instrText>t</w:instrText>
      </w:r>
      <w:r>
        <w:instrText>,</w:instrText>
      </w:r>
      <w:r>
        <w:rPr>
          <w:i/>
          <w:iCs/>
        </w:rPr>
        <w:instrText>T</w:instrText>
      </w:r>
      <w:r>
        <w:instrText>, )(</w:instrText>
      </w:r>
      <w:r>
        <w:instrText>η</w:instrText>
      </w:r>
      <w:r>
        <w:instrText>\s\do5(</w:instrText>
      </w:r>
      <w:r>
        <w:rPr>
          <w:i/>
          <w:iCs/>
          <w:sz w:val="16"/>
          <w:szCs w:val="16"/>
        </w:rPr>
        <w:instrText>w</w:instrText>
      </w:r>
      <w:r>
        <w:rPr>
          <w:sz w:val="16"/>
          <w:szCs w:val="16"/>
        </w:rPr>
        <w:instrText>\,</w:instrText>
      </w:r>
      <w:r>
        <w:rPr>
          <w:i/>
          <w:iCs/>
          <w:sz w:val="16"/>
          <w:szCs w:val="16"/>
        </w:rPr>
        <w:instrText>r</w:instrText>
      </w:r>
      <w:r>
        <w:rPr>
          <w:sz w:val="16"/>
          <w:szCs w:val="16"/>
        </w:rPr>
        <w:instrText>\,</w:instrText>
      </w:r>
      <w:r>
        <w:rPr>
          <w:i/>
          <w:iCs/>
          <w:sz w:val="16"/>
          <w:szCs w:val="16"/>
        </w:rPr>
        <w:instrText>t</w:instrText>
      </w:r>
      <w:r>
        <w:instrText>)</w:instrText>
      </w:r>
      <w:r>
        <w:instrText>−</w:instrText>
      </w:r>
      <w:r>
        <w:instrText>ã</w:instrText>
      </w:r>
      <w:r>
        <w:instrText>η</w:instrText>
      </w:r>
      <w:r>
        <w:instrText>\s\do5(</w:instrText>
      </w:r>
      <w:r>
        <w:rPr>
          <w:i/>
          <w:iCs/>
          <w:sz w:val="16"/>
          <w:szCs w:val="16"/>
        </w:rPr>
        <w:instrText>w</w:instrText>
      </w:r>
      <w:r>
        <w:rPr>
          <w:sz w:val="16"/>
          <w:szCs w:val="16"/>
        </w:rPr>
        <w:instrText>\,</w:instrText>
      </w:r>
      <w:r>
        <w:rPr>
          <w:i/>
          <w:iCs/>
          <w:sz w:val="16"/>
          <w:szCs w:val="16"/>
        </w:rPr>
        <w:instrText>r</w:instrText>
      </w:r>
      <w:r>
        <w:rPr>
          <w:sz w:val="16"/>
          <w:szCs w:val="16"/>
        </w:rPr>
        <w:instrText>\,</w:instrText>
      </w:r>
      <w:r>
        <w:rPr>
          <w:i/>
          <w:iCs/>
          <w:sz w:val="16"/>
          <w:szCs w:val="16"/>
        </w:rPr>
        <w:instrText>t</w:instrText>
      </w:r>
      <w:r>
        <w:rPr>
          <w:sz w:val="16"/>
          <w:szCs w:val="16"/>
        </w:rPr>
        <w:instrText>−</w:instrText>
      </w:r>
      <w:r>
        <w:rPr>
          <w:sz w:val="16"/>
          <w:szCs w:val="16"/>
        </w:rPr>
        <w:instrText>1</w:instrText>
      </w:r>
      <w:r>
        <w:instrText>))</w:instrText>
      </w:r>
      <w:r>
        <w:fldChar w:fldCharType="end"/>
      </w:r>
      <w:r>
        <w:t>.</w:t>
      </w:r>
    </w:p>
    <w:p w:rsidR="00000000" w:rsidRDefault="00135149">
      <w:pPr>
        <w:ind w:firstLine="300"/>
      </w:pPr>
      <w:r>
        <w:t>The code for this estimation process is available at (REMOVED FOR BLIND REVIEW). Note that the primary differences between our work and Eisenstein et al.</w:t>
      </w:r>
      <w:r>
        <w:t xml:space="preserve"> (2014) are two-fold. First, Eisenstein et al. (2014) are interested in constructing a diffusion network, and thus continue with a further estimation step to approximate a full transition matrix </w:t>
      </w:r>
      <w:r>
        <w:rPr>
          <w:i/>
          <w:iCs/>
        </w:rPr>
        <w:t>A</w:t>
      </w:r>
      <w:r>
        <w:t xml:space="preserve"> across all regions. Second, while Eisenstein et al. (2014) </w:t>
      </w:r>
      <w:r>
        <w:t>focus on specific terms, we focus on collections of terms. However, the generalization is trivial, as the sum of a set of independent Binomial random variables is still binomially distributed.</w:t>
      </w:r>
    </w:p>
    <w:p w:rsidR="00000000" w:rsidRDefault="00135149">
      <w:pPr>
        <w:pStyle w:val="Heading2"/>
        <w:widowControl/>
      </w:pPr>
      <w:r>
        <w:t>5  Results</w:t>
      </w:r>
    </w:p>
    <w:p w:rsidR="00000000" w:rsidRDefault="00135149">
      <w:pPr>
        <w:spacing w:before="60"/>
      </w:pPr>
      <w:r>
        <w:t xml:space="preserve">In this section, we consider data for each research </w:t>
      </w:r>
      <w:r>
        <w:t>questions in more detail.</w:t>
      </w:r>
    </w:p>
    <w:p w:rsidR="00000000" w:rsidRDefault="00135149">
      <w:pPr>
        <w:pStyle w:val="Heading3"/>
        <w:widowControl/>
        <w:spacing w:before="120"/>
      </w:pPr>
      <w:r>
        <w:t xml:space="preserve">5.1  RQ1: Comparing news and Twitter </w:t>
      </w:r>
    </w:p>
    <w:p w:rsidR="00000000" w:rsidRDefault="00135149">
      <w:pPr>
        <w:pStyle w:val="Figure"/>
        <w:spacing w:before="300"/>
      </w:pPr>
      <w:r>
        <w:t xml:space="preserve"> </w:t>
      </w:r>
    </w:p>
    <w:p w:rsidR="00000000" w:rsidRDefault="00135149">
      <w:pPr>
        <w:pStyle w:val="centerpar"/>
      </w:pPr>
      <w:r>
        <w:drawing>
          <wp:inline distT="0" distB="0" distL="0" distR="0">
            <wp:extent cx="3314700" cy="14605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14700" cy="1460500"/>
                    </a:xfrm>
                    <a:prstGeom prst="rect">
                      <a:avLst/>
                    </a:prstGeom>
                    <a:noFill/>
                    <a:ln>
                      <a:noFill/>
                    </a:ln>
                  </pic:spPr>
                </pic:pic>
              </a:graphicData>
            </a:graphic>
          </wp:inline>
        </w:drawing>
      </w:r>
      <w:r>
        <w:t xml:space="preserve"> </w:t>
      </w:r>
    </w:p>
    <w:p w:rsidR="00000000" w:rsidRDefault="00135149">
      <w:pPr>
        <w:pStyle w:val="Caption"/>
      </w:pPr>
      <w:r>
        <w:t xml:space="preserve">Figure </w:t>
      </w:r>
      <w:bookmarkStart w:id="7" w:name="BMfig_sig"/>
      <w:r>
        <w:t>1</w:t>
      </w:r>
      <w:bookmarkEnd w:id="7"/>
      <w:r>
        <w:t>: Distribution of Sigmas</w:t>
      </w:r>
      <w:r>
        <w:fldChar w:fldCharType="begin"/>
      </w:r>
      <w:r>
        <w:instrText>TC "1 Distribution of Sigmas" \f f</w:instrText>
      </w:r>
      <w:r>
        <w:fldChar w:fldCharType="end"/>
      </w:r>
    </w:p>
    <w:p w:rsidR="00000000" w:rsidRDefault="00135149">
      <w:pPr>
        <w:spacing w:before="240"/>
        <w:ind w:firstLine="300"/>
      </w:pPr>
      <w:r>
        <w:t>While a host of comparisons could be made between the news and Twitter data we study, we restrict ourselves here to a subset of ques</w:t>
      </w:r>
      <w:r>
        <w:t xml:space="preserve">tions of particular interest. First, we are interested in the level of variance over time in discussions of particular themes in particular countries on Twitter as compared to in news. Conveniently, our statistical model provides us with a parameter, </w:t>
      </w:r>
      <w:r>
        <w:fldChar w:fldCharType="begin"/>
      </w:r>
      <w:r>
        <w:instrText xml:space="preserve"> EQ </w:instrText>
      </w:r>
      <w:r>
        <w:instrText>σ</w:instrText>
      </w:r>
      <w:r>
        <w:instrText>\s\up(</w:instrText>
      </w:r>
      <w:r>
        <w:rPr>
          <w:sz w:val="16"/>
          <w:szCs w:val="16"/>
        </w:rPr>
        <w:instrText>2,</w:instrText>
      </w:r>
      <w:r>
        <w:rPr>
          <w:i/>
          <w:iCs/>
          <w:sz w:val="16"/>
          <w:szCs w:val="16"/>
        </w:rPr>
        <w:instrText>w</w:instrText>
      </w:r>
      <w:r>
        <w:rPr>
          <w:sz w:val="16"/>
          <w:szCs w:val="16"/>
        </w:rPr>
        <w:instrText>\,</w:instrText>
      </w:r>
      <w:r>
        <w:rPr>
          <w:i/>
          <w:iCs/>
          <w:sz w:val="16"/>
          <w:szCs w:val="16"/>
        </w:rPr>
        <w:instrText>r</w:instrText>
      </w:r>
      <w:r>
        <w:instrText>)</w:instrText>
      </w:r>
      <w:r>
        <w:fldChar w:fldCharType="end"/>
      </w:r>
      <w:r>
        <w:t xml:space="preserve"> which captures the extent of this variability. Figure </w:t>
      </w:r>
      <w:r>
        <w:fldChar w:fldCharType="begin"/>
      </w:r>
      <w:r>
        <w:instrText xml:space="preserve">REF BMfig_sig \* MERGEFORMAT </w:instrText>
      </w:r>
      <w:r>
        <w:fldChar w:fldCharType="separate"/>
      </w:r>
      <w:r>
        <w:t>1</w:t>
      </w:r>
      <w:r>
        <w:fldChar w:fldCharType="end"/>
      </w:r>
      <w:r>
        <w:t xml:space="preserve"> shows a density plot detailing the distribution of values for </w:t>
      </w:r>
      <w:r>
        <w:fldChar w:fldCharType="begin"/>
      </w:r>
      <w:r>
        <w:instrText xml:space="preserve"> EQ </w:instrText>
      </w:r>
      <w:r>
        <w:instrText>σ</w:instrText>
      </w:r>
      <w:r>
        <w:instrText>\s\up(</w:instrText>
      </w:r>
      <w:r>
        <w:rPr>
          <w:sz w:val="16"/>
          <w:szCs w:val="16"/>
        </w:rPr>
        <w:instrText>2,</w:instrText>
      </w:r>
      <w:r>
        <w:rPr>
          <w:i/>
          <w:iCs/>
          <w:sz w:val="16"/>
          <w:szCs w:val="16"/>
        </w:rPr>
        <w:instrText>w</w:instrText>
      </w:r>
      <w:r>
        <w:rPr>
          <w:sz w:val="16"/>
          <w:szCs w:val="16"/>
        </w:rPr>
        <w:instrText>\,</w:instrText>
      </w:r>
      <w:r>
        <w:rPr>
          <w:i/>
          <w:iCs/>
          <w:sz w:val="16"/>
          <w:szCs w:val="16"/>
        </w:rPr>
        <w:instrText>r</w:instrText>
      </w:r>
      <w:r>
        <w:instrText>)</w:instrText>
      </w:r>
      <w:r>
        <w:fldChar w:fldCharType="end"/>
      </w:r>
      <w:r>
        <w:t xml:space="preserve"> for the news and Twitter data. As is clear, Twitter data is much more</w:t>
      </w:r>
      <w:r>
        <w:t xml:space="preserve"> variable in the news, both in the average variability across a particular theme/country time series and with respect to the expected value of </w:t>
      </w:r>
      <w:r>
        <w:fldChar w:fldCharType="begin"/>
      </w:r>
      <w:r>
        <w:instrText xml:space="preserve"> EQ </w:instrText>
      </w:r>
      <w:r>
        <w:instrText>σ</w:instrText>
      </w:r>
      <w:r>
        <w:instrText>\s\up(</w:instrText>
      </w:r>
      <w:r>
        <w:rPr>
          <w:sz w:val="16"/>
          <w:szCs w:val="16"/>
        </w:rPr>
        <w:instrText>2,</w:instrText>
      </w:r>
      <w:r>
        <w:rPr>
          <w:i/>
          <w:iCs/>
          <w:sz w:val="16"/>
          <w:szCs w:val="16"/>
        </w:rPr>
        <w:instrText>w</w:instrText>
      </w:r>
      <w:r>
        <w:rPr>
          <w:sz w:val="16"/>
          <w:szCs w:val="16"/>
        </w:rPr>
        <w:instrText>\,</w:instrText>
      </w:r>
      <w:r>
        <w:rPr>
          <w:i/>
          <w:iCs/>
          <w:sz w:val="16"/>
          <w:szCs w:val="16"/>
        </w:rPr>
        <w:instrText>r</w:instrText>
      </w:r>
      <w:r>
        <w:instrText>)</w:instrText>
      </w:r>
      <w:r>
        <w:fldChar w:fldCharType="end"/>
      </w:r>
      <w:r>
        <w:t xml:space="preserve"> in general. This finding shows that news coverage of the Arab Spring was more stable than di</w:t>
      </w:r>
      <w:r>
        <w:t>scussion on Twitter. Our results thus fall in line with the idea that while the propagation of content is similar in form in both Twitter and news media, the social elements of Twitter introduce important variability in the diffusion and longevity of discu</w:t>
      </w:r>
      <w:r>
        <w:t>ssion (Yang and Leskovec, 2011). Perhaps more importantly, it shows that the extent to which a change in thematic focus is “interesting” differs when analyzing news versus Twitter data. Researchers using social media data to interpret change in social proc</w:t>
      </w:r>
      <w:r>
        <w:t>esses, our data suggests, must be more cautious than those with access to news data.</w:t>
      </w:r>
    </w:p>
    <w:p w:rsidR="00000000" w:rsidRDefault="00135149">
      <w:pPr>
        <w:ind w:firstLine="300"/>
      </w:pPr>
      <w:r>
        <w:t>In addition to levels of variability in the two media, we are also interested in the extent to which news and Twitter data focused on the same topics at the same time. Tha</w:t>
      </w:r>
      <w:r>
        <w:t xml:space="preserve">t is, we are interested in the extent to which the time series of </w:t>
      </w:r>
      <w:r>
        <w:fldChar w:fldCharType="begin"/>
      </w:r>
      <w:r>
        <w:instrText xml:space="preserve"> EQ </w:instrText>
      </w:r>
      <w:r>
        <w:instrText>η</w:instrText>
      </w:r>
      <w:r>
        <w:instrText>\s\do5(</w:instrText>
      </w:r>
      <w:r>
        <w:rPr>
          <w:i/>
          <w:iCs/>
          <w:sz w:val="16"/>
          <w:szCs w:val="16"/>
        </w:rPr>
        <w:instrText>w</w:instrText>
      </w:r>
      <w:r>
        <w:rPr>
          <w:sz w:val="16"/>
          <w:szCs w:val="16"/>
        </w:rPr>
        <w:instrText>\,</w:instrText>
      </w:r>
      <w:r>
        <w:rPr>
          <w:i/>
          <w:iCs/>
          <w:sz w:val="16"/>
          <w:szCs w:val="16"/>
        </w:rPr>
        <w:instrText>r</w:instrText>
      </w:r>
      <w:r>
        <w:rPr>
          <w:sz w:val="16"/>
          <w:szCs w:val="16"/>
        </w:rPr>
        <w:instrText>\,</w:instrText>
      </w:r>
      <w:r>
        <w:rPr>
          <w:i/>
          <w:iCs/>
          <w:sz w:val="16"/>
          <w:szCs w:val="16"/>
        </w:rPr>
        <w:instrText>t</w:instrText>
      </w:r>
      <w:r>
        <w:instrText>)</w:instrText>
      </w:r>
      <w:r>
        <w:fldChar w:fldCharType="end"/>
      </w:r>
      <w:r>
        <w:t xml:space="preserve"> values for Twitter and news are correlated for a particular theme/country combination. Importantly, this correlation cannot be measured directly with our </w:t>
      </w:r>
      <w:r>
        <w:fldChar w:fldCharType="begin"/>
      </w:r>
      <w:r>
        <w:instrText xml:space="preserve"> EQ </w:instrText>
      </w:r>
      <w:r>
        <w:instrText>η</w:instrText>
      </w:r>
      <w:r>
        <w:instrText>\s\do5(</w:instrText>
      </w:r>
      <w:r>
        <w:rPr>
          <w:i/>
          <w:iCs/>
          <w:sz w:val="16"/>
          <w:szCs w:val="16"/>
        </w:rPr>
        <w:instrText>w</w:instrText>
      </w:r>
      <w:r>
        <w:rPr>
          <w:sz w:val="16"/>
          <w:szCs w:val="16"/>
        </w:rPr>
        <w:instrText>\,</w:instrText>
      </w:r>
      <w:r>
        <w:rPr>
          <w:i/>
          <w:iCs/>
          <w:sz w:val="16"/>
          <w:szCs w:val="16"/>
        </w:rPr>
        <w:instrText>r</w:instrText>
      </w:r>
      <w:r>
        <w:rPr>
          <w:sz w:val="16"/>
          <w:szCs w:val="16"/>
        </w:rPr>
        <w:instrText>\,</w:instrText>
      </w:r>
      <w:r>
        <w:rPr>
          <w:i/>
          <w:iCs/>
          <w:sz w:val="16"/>
          <w:szCs w:val="16"/>
        </w:rPr>
        <w:instrText>t</w:instrText>
      </w:r>
      <w:r>
        <w:instrText>)</w:instrText>
      </w:r>
      <w:r>
        <w:fldChar w:fldCharType="end"/>
      </w:r>
      <w:r>
        <w:t xml:space="preserve"> - baked into our model is the assumption of autocorrelation with a one-month lag (Equation </w:t>
      </w:r>
      <w:r>
        <w:fldChar w:fldCharType="begin"/>
      </w:r>
      <w:r>
        <w:instrText xml:space="preserve">REF BMeq_eta_eq \* MERGEFORMAT </w:instrText>
      </w:r>
      <w:r>
        <w:fldChar w:fldCharType="separate"/>
      </w:r>
      <w:r>
        <w:t>2</w:t>
      </w:r>
      <w:r>
        <w:fldChar w:fldCharType="end"/>
      </w:r>
      <w:r>
        <w:t>), which will lead to spuriously high correlation values. To infer correlations between news and Twitter data, we theref</w:t>
      </w:r>
      <w:r>
        <w:t xml:space="preserve">ore must remove the autocorrelation by subtracting the prior month’s value from each activation score. More specifically, for a given country </w:t>
      </w:r>
      <w:r>
        <w:rPr>
          <w:i/>
          <w:iCs/>
        </w:rPr>
        <w:t>r</w:t>
      </w:r>
      <w:r>
        <w:t xml:space="preserve"> and category </w:t>
      </w:r>
      <w:r>
        <w:rPr>
          <w:i/>
          <w:iCs/>
        </w:rPr>
        <w:t>w</w:t>
      </w:r>
      <w:r>
        <w:t xml:space="preserve">, we construct a vector of observations </w:t>
      </w:r>
      <w:r>
        <w:fldChar w:fldCharType="begin"/>
      </w:r>
      <w:r>
        <w:instrText xml:space="preserve"> EQ </w:instrText>
      </w:r>
      <w:r>
        <w:instrText>η</w:instrText>
      </w:r>
      <w:r>
        <w:instrText>\s\do5(</w:instrText>
      </w:r>
      <w:r>
        <w:rPr>
          <w:i/>
          <w:iCs/>
          <w:sz w:val="16"/>
          <w:szCs w:val="16"/>
        </w:rPr>
        <w:instrText>w</w:instrText>
      </w:r>
      <w:r>
        <w:rPr>
          <w:sz w:val="16"/>
          <w:szCs w:val="16"/>
        </w:rPr>
        <w:instrText>\,</w:instrText>
      </w:r>
      <w:r>
        <w:rPr>
          <w:i/>
          <w:iCs/>
          <w:sz w:val="16"/>
          <w:szCs w:val="16"/>
        </w:rPr>
        <w:instrText>r</w:instrText>
      </w:r>
      <w:r>
        <w:rPr>
          <w:sz w:val="16"/>
          <w:szCs w:val="16"/>
        </w:rPr>
        <w:instrText>\,</w:instrText>
      </w:r>
      <w:r>
        <w:rPr>
          <w:i/>
          <w:iCs/>
          <w:sz w:val="16"/>
          <w:szCs w:val="16"/>
        </w:rPr>
        <w:instrText>t</w:instrText>
      </w:r>
      <w:r>
        <w:instrText>)</w:instrText>
      </w:r>
      <w:r>
        <w:instrText>−η</w:instrText>
      </w:r>
      <w:r>
        <w:instrText>\s\do5(</w:instrText>
      </w:r>
      <w:r>
        <w:rPr>
          <w:i/>
          <w:iCs/>
          <w:sz w:val="16"/>
          <w:szCs w:val="16"/>
        </w:rPr>
        <w:instrText>w</w:instrText>
      </w:r>
      <w:r>
        <w:rPr>
          <w:sz w:val="16"/>
          <w:szCs w:val="16"/>
        </w:rPr>
        <w:instrText>\,</w:instrText>
      </w:r>
      <w:r>
        <w:rPr>
          <w:i/>
          <w:iCs/>
          <w:sz w:val="16"/>
          <w:szCs w:val="16"/>
        </w:rPr>
        <w:instrText>r</w:instrText>
      </w:r>
      <w:r>
        <w:rPr>
          <w:sz w:val="16"/>
          <w:szCs w:val="16"/>
        </w:rPr>
        <w:instrText>\,</w:instrText>
      </w:r>
      <w:r>
        <w:rPr>
          <w:i/>
          <w:iCs/>
          <w:sz w:val="16"/>
          <w:szCs w:val="16"/>
        </w:rPr>
        <w:instrText>t</w:instrText>
      </w:r>
      <w:r>
        <w:rPr>
          <w:sz w:val="16"/>
          <w:szCs w:val="16"/>
        </w:rPr>
        <w:instrText>−</w:instrText>
      </w:r>
      <w:r>
        <w:rPr>
          <w:sz w:val="16"/>
          <w:szCs w:val="16"/>
        </w:rPr>
        <w:instrText>1</w:instrText>
      </w:r>
      <w:r>
        <w:instrText xml:space="preserve">)    </w:instrText>
      </w:r>
      <w:r>
        <w:rPr>
          <w:rFonts w:ascii="Menlo Bold" w:hAnsi="Menlo Bold" w:cs="Menlo Bold"/>
        </w:rPr>
        <w:instrText>∀</w:instrText>
      </w:r>
      <w:r>
        <w:rPr>
          <w:w w:val="50"/>
        </w:rPr>
        <w:instrText> </w:instrText>
      </w:r>
      <w:r>
        <w:rPr>
          <w:i/>
          <w:iCs/>
        </w:rPr>
        <w:instrText>t</w:instrText>
      </w:r>
      <w:r>
        <w:instrText>&gt;1</w:instrText>
      </w:r>
      <w:r>
        <w:fldChar w:fldCharType="end"/>
      </w:r>
      <w:r>
        <w:t xml:space="preserve"> for bot</w:t>
      </w:r>
      <w:r>
        <w:t>h Twitter and news data. These vectors are, via the assumptions of our model, void of autocorrelation and thus can be compared directly using, for example, a simple Pearson correlation.</w:t>
      </w:r>
    </w:p>
    <w:p w:rsidR="00000000" w:rsidRDefault="00135149">
      <w:pPr>
        <w:ind w:firstLine="300"/>
      </w:pPr>
      <w:r>
        <w:t>The first question of interest with respect to news and Twitter is whe</w:t>
      </w:r>
      <w:r>
        <w:t>ther or not there is a significant correlation between the two media across all countries and themes. Importantly, we would expect this correlation to be significant and positive for the non-stopword data, and to be close to zero for our stopword themes. U</w:t>
      </w:r>
      <w:r>
        <w:t>sing the bootstrap procedure with 10000 iterations, we construct 99% confidence intervals using a pivot interval (Wasserman, 2003) on the Pearson correlation between news and Twitter data. That is, we determine the extent to which the changes in activation</w:t>
      </w:r>
      <w:r>
        <w:t xml:space="preserve"> from the previous month in Twitter data are linearly correlated with changes from the previous month in news data, taking as input all observations across all countries. We perform this analysis twice, once for the non-noise (non-Stopword) themes and once</w:t>
      </w:r>
      <w:r>
        <w:t xml:space="preserve"> for the noise-only themes.</w:t>
      </w:r>
    </w:p>
    <w:p w:rsidR="00000000" w:rsidRDefault="00135149">
      <w:pPr>
        <w:ind w:firstLine="300"/>
      </w:pPr>
      <w:r>
        <w:t>The correlation for the non-noise data is .23 [.17,.28], indicating a moderate but significant correlation between news and Twitter. The correlation for the noise-only data is .1 [-.001, .19]. Results thus suggest that correlati</w:t>
      </w:r>
      <w:r>
        <w:t xml:space="preserve">ons between non-noise themes is (significantly) greater than noise themes, and that the noise data is not significantly different from 0 at </w:t>
      </w:r>
      <w:r>
        <w:t>α</w:t>
      </w:r>
      <w:r>
        <w:t>=.01. However, results do indicate that there may still be some level of correlation in the residual noise in our d</w:t>
      </w:r>
      <w:r>
        <w:t>ata between news and Twitter. This may be due to a variety of factors, perhaps most obviously the fact that we treat each country independently. While future work may consider means of addressing these biases, we instead choose here only to account for the</w:t>
      </w:r>
      <w:r>
        <w:t xml:space="preserve"> possible existence of this spurious correlation when considering further results. We now turn to explore which themes had the strongest and weakest correlations between news and Twitter (across all countries). </w:t>
      </w:r>
    </w:p>
    <w:p w:rsidR="00000000" w:rsidRDefault="00135149">
      <w:pPr>
        <w:pStyle w:val="Figure"/>
        <w:spacing w:before="240"/>
        <w:ind w:firstLine="300"/>
      </w:pPr>
    </w:p>
    <w:p w:rsidR="00000000" w:rsidRDefault="00135149">
      <w:pPr>
        <w:pStyle w:val="centerpar"/>
      </w:pPr>
      <w:r>
        <w:drawing>
          <wp:inline distT="0" distB="0" distL="0" distR="0">
            <wp:extent cx="3924300" cy="21971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4300" cy="2197100"/>
                    </a:xfrm>
                    <a:prstGeom prst="rect">
                      <a:avLst/>
                    </a:prstGeom>
                    <a:noFill/>
                    <a:ln>
                      <a:noFill/>
                    </a:ln>
                  </pic:spPr>
                </pic:pic>
              </a:graphicData>
            </a:graphic>
          </wp:inline>
        </w:drawing>
      </w:r>
      <w:r>
        <w:t xml:space="preserve"> </w:t>
      </w:r>
    </w:p>
    <w:p w:rsidR="00000000" w:rsidRDefault="00135149">
      <w:pPr>
        <w:pStyle w:val="Caption"/>
      </w:pPr>
      <w:r>
        <w:t>Figur</w:t>
      </w:r>
      <w:r>
        <w:t xml:space="preserve">e </w:t>
      </w:r>
      <w:bookmarkStart w:id="8" w:name="BMfig_cat_corr"/>
      <w:r>
        <w:t>2</w:t>
      </w:r>
      <w:bookmarkEnd w:id="8"/>
      <w:r>
        <w:t>: News/Twitter correlations by category. Confidence intervals are 99% bootstrapped CIs calculated with a pivot interval and 10000 iterations</w:t>
      </w:r>
      <w:r>
        <w:fldChar w:fldCharType="begin"/>
      </w:r>
      <w:r>
        <w:instrText>TC "2 News/Twitter correlations by category. Confidence intervals are 99% bootstrappe</w:instrText>
      </w:r>
      <w:r>
        <w:instrText>d CIs calculated with a pivot interval and 10000 iterations" \f f</w:instrText>
      </w:r>
      <w:r>
        <w:fldChar w:fldCharType="end"/>
      </w:r>
    </w:p>
    <w:p w:rsidR="00000000" w:rsidRDefault="00135149">
      <w:pPr>
        <w:spacing w:before="240"/>
        <w:ind w:firstLine="300"/>
      </w:pPr>
      <w:r>
        <w:t>Figure </w:t>
      </w:r>
      <w:r>
        <w:fldChar w:fldCharType="begin"/>
      </w:r>
      <w:r>
        <w:instrText xml:space="preserve">REF BMfig_cat_corr \* MERGEFORMAT </w:instrText>
      </w:r>
      <w:r>
        <w:fldChar w:fldCharType="separate"/>
      </w:r>
      <w:r>
        <w:t>2</w:t>
      </w:r>
      <w:r>
        <w:fldChar w:fldCharType="end"/>
      </w:r>
      <w:r>
        <w:t xml:space="preserve"> presents the correlations between news and Twitter data for each category, with data aggregated across countries. Additionally, we have aggreg</w:t>
      </w:r>
      <w:r>
        <w:t>ated all noise categories into a single category, entitled "All Stopword Categories". Confidence intervals are constructed in the same way as above, and are shown in the figure via the lines for each category. Mean estimates are shown with a dot. Figure </w:t>
      </w:r>
      <w:r>
        <w:fldChar w:fldCharType="begin"/>
      </w:r>
      <w:r>
        <w:instrText>RE</w:instrText>
      </w:r>
      <w:r>
        <w:instrText xml:space="preserve">F BMfig_cat_corr \* MERGEFORMAT </w:instrText>
      </w:r>
      <w:r>
        <w:fldChar w:fldCharType="separate"/>
      </w:r>
      <w:r>
        <w:t>2</w:t>
      </w:r>
      <w:r>
        <w:fldChar w:fldCharType="end"/>
      </w:r>
      <w:r>
        <w:t xml:space="preserve"> shows that the strongest correlations between news and Twitter occur in reference to general indicators of revolution, specifically, protest and violence. The general level of correlation across these categories support</w:t>
      </w:r>
      <w:r>
        <w:t xml:space="preserve">s the idea that news and Twitter discussions specific to the revolution fed off of each other (Comunello and Anzera, 2012; Cottle, 2011). In addition, we observe strong correlations between media in discussions of adaptation and change and to ethnicity. </w:t>
      </w:r>
    </w:p>
    <w:p w:rsidR="00000000" w:rsidRDefault="00135149">
      <w:pPr>
        <w:ind w:firstLine="300"/>
      </w:pPr>
      <w:r>
        <w:t>O</w:t>
      </w:r>
      <w:r>
        <w:t>n the other hand, in comparison to the Stopword categories, there is no significant correlation</w:t>
      </w:r>
      <w:r w:rsidRPr="00135149">
        <w:rPr>
          <w:rStyle w:val="FootnoteReference"/>
        </w:rPr>
        <w:footnoteReference w:id="6"/>
      </w:r>
      <w:r>
        <w:t xml:space="preserve"> for discussions of national identity, youth movements, terrorist organizations and war. With reference to the “selecting on the dependent variable” problem in social media research (Tufekci, 2014), our findings indicate that scholars focusing too heavily </w:t>
      </w:r>
      <w:r>
        <w:t>on particular topics may over or under-estimate the correlations between topical focuses of news and Twitter. Perhaps most interesting is the fact that while discussion of Ethnic, or non-national, identities was highly correlated between the two media, dis</w:t>
      </w:r>
      <w:r>
        <w:t>cussion of national identities show little, if any, correlation between media This difference is important in considering the extent to which news or Twitter data can be used to support the idea of an evolving national identity in contrast to factionalized</w:t>
      </w:r>
      <w:r>
        <w:t xml:space="preserve"> identities. Thus, in future study of Goldstone’s (2011) ideas on how the proliferation of national identity was important to the success of revolutions, one must consider both news media and Twitter separately in attempting to understand how the existence</w:t>
      </w:r>
      <w:r>
        <w:t xml:space="preserve"> of a national identity played out in the media landscape surrounding the Arab Spring. </w:t>
      </w:r>
    </w:p>
    <w:p w:rsidR="00000000" w:rsidRDefault="00135149">
      <w:pPr>
        <w:pStyle w:val="Figure"/>
        <w:spacing w:before="240"/>
        <w:ind w:firstLine="300"/>
      </w:pPr>
    </w:p>
    <w:p w:rsidR="00000000" w:rsidRDefault="00135149">
      <w:pPr>
        <w:pStyle w:val="centerpar"/>
      </w:pPr>
      <w:r>
        <w:drawing>
          <wp:inline distT="0" distB="0" distL="0" distR="0">
            <wp:extent cx="3695700" cy="20701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5700" cy="2070100"/>
                    </a:xfrm>
                    <a:prstGeom prst="rect">
                      <a:avLst/>
                    </a:prstGeom>
                    <a:noFill/>
                    <a:ln>
                      <a:noFill/>
                    </a:ln>
                  </pic:spPr>
                </pic:pic>
              </a:graphicData>
            </a:graphic>
          </wp:inline>
        </w:drawing>
      </w:r>
      <w:r>
        <w:t xml:space="preserve"> </w:t>
      </w:r>
    </w:p>
    <w:p w:rsidR="00000000" w:rsidRDefault="00135149">
      <w:pPr>
        <w:pStyle w:val="Caption"/>
      </w:pPr>
      <w:r>
        <w:t xml:space="preserve">Figure </w:t>
      </w:r>
      <w:bookmarkStart w:id="9" w:name="BMfig_corr_country"/>
      <w:r>
        <w:t>3</w:t>
      </w:r>
      <w:bookmarkEnd w:id="9"/>
      <w:r>
        <w:t>: News/Twitter correlations by country</w:t>
      </w:r>
      <w:r>
        <w:fldChar w:fldCharType="begin"/>
      </w:r>
      <w:r>
        <w:instrText xml:space="preserve">TC "3 News/Twitter correlations by country" \f </w:instrText>
      </w:r>
      <w:r>
        <w:instrText>f</w:instrText>
      </w:r>
      <w:r>
        <w:fldChar w:fldCharType="end"/>
      </w:r>
    </w:p>
    <w:p w:rsidR="00000000" w:rsidRDefault="00135149">
      <w:pPr>
        <w:spacing w:before="240"/>
        <w:ind w:firstLine="300"/>
      </w:pPr>
      <w:r>
        <w:t>Finally, Figure </w:t>
      </w:r>
      <w:r>
        <w:fldChar w:fldCharType="begin"/>
      </w:r>
      <w:r>
        <w:instrText xml:space="preserve">REF BMfig_corr_country \* MERGEFORMAT </w:instrText>
      </w:r>
      <w:r>
        <w:fldChar w:fldCharType="separate"/>
      </w:r>
      <w:r>
        <w:t>3</w:t>
      </w:r>
      <w:r>
        <w:fldChar w:fldCharType="end"/>
      </w:r>
      <w:r>
        <w:t xml:space="preserve"> shows correlations between news and Twitter across countries, aggregating across all non-noise themes. Here, as there is no noise baseline to compare to, we only consider differences from zero </w:t>
      </w:r>
      <w:r>
        <w:t>in our interpretation. In light of previous work, the most interesting point to be taken from Figure </w:t>
      </w:r>
      <w:r>
        <w:fldChar w:fldCharType="begin"/>
      </w:r>
      <w:r>
        <w:instrText xml:space="preserve">REF BMfig_corr_country \* MERGEFORMAT </w:instrText>
      </w:r>
      <w:r>
        <w:fldChar w:fldCharType="separate"/>
      </w:r>
      <w:r>
        <w:t>3</w:t>
      </w:r>
      <w:r>
        <w:fldChar w:fldCharType="end"/>
      </w:r>
      <w:r>
        <w:t xml:space="preserve"> is that countries where data has been compared across news and Twitter in the past differ in the ways in which n</w:t>
      </w:r>
      <w:r>
        <w:t>ews relates to Twitter. In particular, while there are high levels of correlation between news and Twitter in Libya, Syria and Egypt, no significant correlation exists between these two media in Tunisia. This implicates the fact that consideration of a sin</w:t>
      </w:r>
      <w:r>
        <w:t>gle country may also lead to biased conclusions on the relationship between news and Twitter during the Arab Spring. More specifically, it seems that in countries with sustained levels of civil unrest (Syria, Egypt and Libya), news and Twitter are more lik</w:t>
      </w:r>
      <w:r>
        <w:t>ely to converge on thematic discussions. In contrast, in countries like Tunisia, where the majority of the civil unrest was short-lived, thematic discussions appear to deviate between the two media. Similarly, correlations in nations where no massive gover</w:t>
      </w:r>
      <w:r>
        <w:t xml:space="preserve">nment change occurred show only weak or non-existent correlations between the media. </w:t>
      </w:r>
    </w:p>
    <w:p w:rsidR="00000000" w:rsidRDefault="00135149">
      <w:pPr>
        <w:pStyle w:val="Heading3"/>
        <w:widowControl/>
        <w:spacing w:before="120"/>
      </w:pPr>
      <w:r>
        <w:t>5.2  RQ2: Relating to events on the ground</w:t>
      </w:r>
    </w:p>
    <w:p w:rsidR="00000000" w:rsidRDefault="00135149">
      <w:pPr>
        <w:pStyle w:val="Table"/>
        <w:spacing w:before="300"/>
      </w:pPr>
      <w:r>
        <w:t xml:space="preserve"> </w:t>
      </w:r>
    </w:p>
    <w:p w:rsidR="00135149" w:rsidRDefault="00135149">
      <w:pPr>
        <w:pStyle w:val="Caption"/>
        <w:rPr>
          <w:b/>
        </w:rPr>
      </w:pPr>
      <w:r>
        <w:rPr>
          <w:b/>
        </w:rPr>
        <w:t xml:space="preserve">PLEASE LOOK AT PAPER FOR </w:t>
      </w:r>
      <w:r>
        <w:rPr>
          <w:b/>
        </w:rPr>
        <w:t>TABLE 4</w:t>
      </w:r>
    </w:p>
    <w:p w:rsidR="00000000" w:rsidRDefault="00135149">
      <w:pPr>
        <w:pStyle w:val="Caption"/>
      </w:pPr>
      <w:r>
        <w:t xml:space="preserve">Table </w:t>
      </w:r>
      <w:bookmarkStart w:id="10" w:name="BMtab_events"/>
      <w:r>
        <w:t>4</w:t>
      </w:r>
      <w:bookmarkEnd w:id="10"/>
      <w:r>
        <w:t>: The top 10 most surprising changes in a</w:t>
      </w:r>
      <w:r>
        <w:t>ctivation from the previous month. The column “+/- change” indicates if the change was an increase or decrease in activation. The column “Major Events” gives an explanation of the major events that occurred during that month or the previous month (as chang</w:t>
      </w:r>
      <w:r>
        <w:t>e is relative to the previous month), or none if no such event occurred.</w:t>
      </w:r>
      <w:r>
        <w:fldChar w:fldCharType="begin"/>
      </w:r>
      <w:r>
        <w:instrText>TC "4 The top 10 most surprising changes in activation from the previous month. The column “+/- change” indicates if the change was an increase or decrease in activation. The column “M</w:instrText>
      </w:r>
      <w:r>
        <w:instrText>ajor Events” gives an explanation of the major events that occurred during that month or the previous month (as change is relative to the previous month), or none if no such event occurred." \f t</w:instrText>
      </w:r>
      <w:r>
        <w:fldChar w:fldCharType="end"/>
      </w:r>
    </w:p>
    <w:p w:rsidR="00000000" w:rsidRDefault="00135149">
      <w:pPr>
        <w:spacing w:before="240"/>
        <w:ind w:firstLine="300"/>
      </w:pPr>
      <w:r>
        <w:t>In this section, we explore the extent to which large, sud</w:t>
      </w:r>
      <w:r>
        <w:t>den changes in activation rates in particular theme/country pairs were indicative of important real-world changes occurring in the Arab world. Table </w:t>
      </w:r>
      <w:r>
        <w:fldChar w:fldCharType="begin"/>
      </w:r>
      <w:r>
        <w:instrText xml:space="preserve">REF BMtab_events \* MERGEFORMAT </w:instrText>
      </w:r>
      <w:r>
        <w:fldChar w:fldCharType="separate"/>
      </w:r>
      <w:r>
        <w:t>IV</w:t>
      </w:r>
      <w:r>
        <w:fldChar w:fldCharType="end"/>
      </w:r>
      <w:r>
        <w:t xml:space="preserve"> lists the ten most “surprising” jumps in terms of change in activatio</w:t>
      </w:r>
      <w:r>
        <w:t xml:space="preserve">n from one month to the next. We ranked the extent to which events were surprising using absolute change in activation, controlling for the overall level of variance for a particular theme/country pair. That is, for month </w:t>
      </w:r>
      <w:r>
        <w:rPr>
          <w:i/>
          <w:iCs/>
        </w:rPr>
        <w:t>t</w:t>
      </w:r>
      <w:r>
        <w:t xml:space="preserve"> in country </w:t>
      </w:r>
      <w:r>
        <w:rPr>
          <w:i/>
          <w:iCs/>
        </w:rPr>
        <w:t>r</w:t>
      </w:r>
      <w:r>
        <w:t xml:space="preserve"> for theme </w:t>
      </w:r>
      <w:r>
        <w:rPr>
          <w:i/>
          <w:iCs/>
        </w:rPr>
        <w:t>w</w:t>
      </w:r>
      <w:r>
        <w:t>, surpri</w:t>
      </w:r>
      <w:r>
        <w:t xml:space="preserve">se was calculated as </w:t>
      </w:r>
      <w:r>
        <w:fldChar w:fldCharType="begin"/>
      </w:r>
      <w:r>
        <w:instrText xml:space="preserve"> EQ  \F(|</w:instrText>
      </w:r>
      <w:r>
        <w:instrText>η</w:instrText>
      </w:r>
      <w:r>
        <w:instrText>\s\do5(</w:instrText>
      </w:r>
      <w:r>
        <w:rPr>
          <w:i/>
          <w:iCs/>
          <w:sz w:val="16"/>
          <w:szCs w:val="16"/>
        </w:rPr>
        <w:instrText>w</w:instrText>
      </w:r>
      <w:r>
        <w:rPr>
          <w:sz w:val="16"/>
          <w:szCs w:val="16"/>
        </w:rPr>
        <w:instrText>\,</w:instrText>
      </w:r>
      <w:r>
        <w:rPr>
          <w:i/>
          <w:iCs/>
          <w:sz w:val="16"/>
          <w:szCs w:val="16"/>
        </w:rPr>
        <w:instrText>r</w:instrText>
      </w:r>
      <w:r>
        <w:rPr>
          <w:sz w:val="16"/>
          <w:szCs w:val="16"/>
        </w:rPr>
        <w:instrText>\,</w:instrText>
      </w:r>
      <w:r>
        <w:rPr>
          <w:i/>
          <w:iCs/>
          <w:sz w:val="16"/>
          <w:szCs w:val="16"/>
        </w:rPr>
        <w:instrText>t</w:instrText>
      </w:r>
      <w:r>
        <w:instrText>)</w:instrText>
      </w:r>
      <w:r>
        <w:instrText>−η</w:instrText>
      </w:r>
      <w:r>
        <w:instrText>\s\do5(</w:instrText>
      </w:r>
      <w:r>
        <w:rPr>
          <w:i/>
          <w:iCs/>
          <w:sz w:val="16"/>
          <w:szCs w:val="16"/>
        </w:rPr>
        <w:instrText>w</w:instrText>
      </w:r>
      <w:r>
        <w:rPr>
          <w:sz w:val="16"/>
          <w:szCs w:val="16"/>
        </w:rPr>
        <w:instrText>\,</w:instrText>
      </w:r>
      <w:r>
        <w:rPr>
          <w:i/>
          <w:iCs/>
          <w:sz w:val="16"/>
          <w:szCs w:val="16"/>
        </w:rPr>
        <w:instrText>r</w:instrText>
      </w:r>
      <w:r>
        <w:rPr>
          <w:sz w:val="16"/>
          <w:szCs w:val="16"/>
        </w:rPr>
        <w:instrText>\,</w:instrText>
      </w:r>
      <w:r>
        <w:rPr>
          <w:i/>
          <w:iCs/>
          <w:sz w:val="16"/>
          <w:szCs w:val="16"/>
        </w:rPr>
        <w:instrText>t</w:instrText>
      </w:r>
      <w:r>
        <w:rPr>
          <w:sz w:val="16"/>
          <w:szCs w:val="16"/>
        </w:rPr>
        <w:instrText>−</w:instrText>
      </w:r>
      <w:r>
        <w:rPr>
          <w:sz w:val="16"/>
          <w:szCs w:val="16"/>
        </w:rPr>
        <w:instrText>1</w:instrText>
      </w:r>
      <w:r>
        <w:instrText>)|,</w:instrText>
      </w:r>
      <w:r>
        <w:instrText>σ</w:instrText>
      </w:r>
      <w:r>
        <w:instrText>\s\up(</w:instrText>
      </w:r>
      <w:r>
        <w:rPr>
          <w:sz w:val="16"/>
          <w:szCs w:val="16"/>
        </w:rPr>
        <w:instrText>2,</w:instrText>
      </w:r>
      <w:r>
        <w:rPr>
          <w:i/>
          <w:iCs/>
          <w:sz w:val="16"/>
          <w:szCs w:val="16"/>
        </w:rPr>
        <w:instrText>w</w:instrText>
      </w:r>
      <w:r>
        <w:rPr>
          <w:sz w:val="16"/>
          <w:szCs w:val="16"/>
        </w:rPr>
        <w:instrText>\,</w:instrText>
      </w:r>
      <w:r>
        <w:rPr>
          <w:i/>
          <w:iCs/>
          <w:sz w:val="16"/>
          <w:szCs w:val="16"/>
        </w:rPr>
        <w:instrText>r</w:instrText>
      </w:r>
      <w:r>
        <w:instrText>))</w:instrText>
      </w:r>
      <w:r>
        <w:fldChar w:fldCharType="end"/>
      </w:r>
      <w:r>
        <w:t>. Table </w:t>
      </w:r>
      <w:r>
        <w:fldChar w:fldCharType="begin"/>
      </w:r>
      <w:r>
        <w:instrText xml:space="preserve">REF BMtab_events \* MERGEFORMAT </w:instrText>
      </w:r>
      <w:r>
        <w:fldChar w:fldCharType="separate"/>
      </w:r>
      <w:r>
        <w:t>IV</w:t>
      </w:r>
      <w:r>
        <w:fldChar w:fldCharType="end"/>
      </w:r>
      <w:r>
        <w:t xml:space="preserve"> also shows whether the change was positive or negative (in the column “+/- change”) and briefly details the major events we be</w:t>
      </w:r>
      <w:r>
        <w:t xml:space="preserve">lieve led to this change. </w:t>
      </w:r>
    </w:p>
    <w:p w:rsidR="00000000" w:rsidRDefault="00135149">
      <w:pPr>
        <w:ind w:firstLine="300"/>
      </w:pPr>
      <w:r>
        <w:t>Model output shows that the beginning of the Syrian Civil War had the strongest impact on news media. Discussion of war decreased strongly relative to the previous month, as reporters sought to cover the increasing volume and int</w:t>
      </w:r>
      <w:r>
        <w:t>ensity of protests throughout the country. These events, of course, marked the beginning of a civil war that is still in full swing as of 2015, thus showing the model’s propensity to capture important changes in events via news media. In general, large cha</w:t>
      </w:r>
      <w:r>
        <w:t>nges in news media’s topical coverage were relevant to emergent protests. Interestingly, this focus appears to manifest in our model in a decrease in discussion of war as opposed to an increase in the discussion of protest. That is, the shift of news cover</w:t>
      </w:r>
      <w:r>
        <w:t>age away from war or the possibility of war is as indicative of important protest events as is discussion of the protests themselves. We will see that this effect is important in interpreting news discussion with respect to Libya, as we explore in our case</w:t>
      </w:r>
      <w:r>
        <w:t xml:space="preserve"> study. </w:t>
      </w:r>
    </w:p>
    <w:p w:rsidR="00000000" w:rsidRDefault="00135149">
      <w:pPr>
        <w:ind w:firstLine="300"/>
      </w:pPr>
      <w:r>
        <w:t>In contrast to news media, the most prominent events that caused large shifts on Twitter were elections. In Libya and Tunisia, these elections led to differences in discussions of adaptation and change, a sign that these elections may have promoted an infl</w:t>
      </w:r>
      <w:r>
        <w:t xml:space="preserve">ux of hopeful discussion of a new era in these nations. In contrast, in Egypt, elections led to increase discussions on organizations with known connections to terrorism, for example, al-Qaeda. The difference in thematic focus in these different elections </w:t>
      </w:r>
      <w:r>
        <w:t>is an important implication of the differences in the sentiment towards the elections that existed in these nations, and something of interest to future work. In addition to elections, the gender equality protests in Tunisia, staged heavily on social media</w:t>
      </w:r>
      <w:r>
        <w:t xml:space="preserve"> Yuce et al. (2015), appear as a signal in the Twitter data but not in the news data. </w:t>
      </w:r>
    </w:p>
    <w:p w:rsidR="00000000" w:rsidRDefault="00135149">
      <w:pPr>
        <w:ind w:firstLine="300"/>
      </w:pPr>
      <w:r>
        <w:t>Finally, with respect to the Twitter data, two entries relating to the UAE in Table </w:t>
      </w:r>
      <w:r>
        <w:fldChar w:fldCharType="begin"/>
      </w:r>
      <w:r>
        <w:instrText xml:space="preserve">REF BMtab_events \* MERGEFORMAT </w:instrText>
      </w:r>
      <w:r>
        <w:fldChar w:fldCharType="separate"/>
      </w:r>
      <w:r>
        <w:t>IV</w:t>
      </w:r>
      <w:r>
        <w:fldChar w:fldCharType="end"/>
      </w:r>
      <w:r>
        <w:t xml:space="preserve">, both of which are relevant to the publication </w:t>
      </w:r>
      <w:r>
        <w:t>of a European Union report condemning human rights conditions for certain ethnic groups in the country, show up as events which captured a surprising level of discussion relative to the general level of focus on the themes of ethnic identity and adaptation</w:t>
      </w:r>
      <w:r>
        <w:t xml:space="preserve"> to change in the UAE. Similarly, in the news data, a surprising level of discussion focuses on the attack of a U.S. consulate in Benghazi, Libya. These issues were relatively minor with respect to their implications for the Arab Spring, but relatively maj</w:t>
      </w:r>
      <w:r>
        <w:t xml:space="preserve">or with respect to the interest drawn to them by U.S. and U.K. media. The change in discussion that resulted from these events is thus a reminder that the Western-media centric data utilized for this study presents a possible roadblock in </w:t>
      </w:r>
    </w:p>
    <w:p w:rsidR="00000000" w:rsidRDefault="00135149">
      <w:pPr>
        <w:pStyle w:val="Heading2"/>
        <w:widowControl/>
      </w:pPr>
      <w:r>
        <w:t>6  Case Study</w:t>
      </w:r>
    </w:p>
    <w:p w:rsidR="00000000" w:rsidRDefault="00135149">
      <w:pPr>
        <w:spacing w:before="60"/>
      </w:pPr>
      <w:r>
        <w:t>Ou</w:t>
      </w:r>
      <w:r>
        <w:t>r case study is divided into two sections. In the first, we focus on understanding how countries cluster in thematic space, particularly with respect to the protest theme. In the second, we consider in more detail how patterns in the protest theme differen</w:t>
      </w:r>
      <w:r>
        <w:t>tiated by media provide support for claims explored by Cottle (2011).</w:t>
      </w:r>
    </w:p>
    <w:p w:rsidR="00000000" w:rsidRDefault="00135149">
      <w:pPr>
        <w:pStyle w:val="Heading3"/>
        <w:widowControl/>
        <w:spacing w:before="120"/>
      </w:pPr>
      <w:r>
        <w:t>6.1  Connecting countries and themes</w:t>
      </w:r>
    </w:p>
    <w:p w:rsidR="00000000" w:rsidRDefault="00135149">
      <w:pPr>
        <w:pStyle w:val="Figure"/>
        <w:spacing w:before="300"/>
      </w:pPr>
      <w:r>
        <w:t xml:space="preserve"> </w:t>
      </w:r>
    </w:p>
    <w:p w:rsidR="00000000" w:rsidRDefault="00135149">
      <w:pPr>
        <w:pStyle w:val="Figure"/>
      </w:pPr>
    </w:p>
    <w:tbl>
      <w:tblPr>
        <w:tblW w:w="0" w:type="auto"/>
        <w:tblLayout w:type="fixed"/>
        <w:tblCellMar>
          <w:left w:w="0" w:type="dxa"/>
          <w:right w:w="0" w:type="dxa"/>
        </w:tblCellMar>
        <w:tblLook w:val="0000" w:firstRow="0" w:lastRow="0" w:firstColumn="0" w:lastColumn="0" w:noHBand="0" w:noVBand="0"/>
      </w:tblPr>
      <w:tblGrid>
        <w:gridCol w:w="4400"/>
        <w:gridCol w:w="4606"/>
      </w:tblGrid>
      <w:tr w:rsidR="00000000" w:rsidTr="00135149">
        <w:tblPrEx>
          <w:tblCellMar>
            <w:top w:w="0" w:type="dxa"/>
            <w:left w:w="0" w:type="dxa"/>
            <w:bottom w:w="0" w:type="dxa"/>
            <w:right w:w="0" w:type="dxa"/>
          </w:tblCellMar>
        </w:tblPrEx>
        <w:trPr>
          <w:trHeight w:val="3453"/>
        </w:trPr>
        <w:tc>
          <w:tcPr>
            <w:tcW w:w="4400" w:type="dxa"/>
            <w:tcBorders>
              <w:top w:val="nil"/>
              <w:left w:val="nil"/>
              <w:bottom w:val="nil"/>
              <w:right w:val="nil"/>
            </w:tcBorders>
          </w:tcPr>
          <w:p w:rsidR="00000000" w:rsidRDefault="00135149">
            <w:pPr>
              <w:jc w:val="center"/>
            </w:pPr>
            <w:r>
              <w:drawing>
                <wp:inline distT="0" distB="0" distL="0" distR="0">
                  <wp:extent cx="2755900" cy="18923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5900" cy="1892300"/>
                          </a:xfrm>
                          <a:prstGeom prst="rect">
                            <a:avLst/>
                          </a:prstGeom>
                          <a:noFill/>
                          <a:ln>
                            <a:noFill/>
                          </a:ln>
                        </pic:spPr>
                      </pic:pic>
                    </a:graphicData>
                  </a:graphic>
                </wp:inline>
              </w:drawing>
            </w:r>
          </w:p>
        </w:tc>
        <w:tc>
          <w:tcPr>
            <w:tcW w:w="4606" w:type="dxa"/>
            <w:tcBorders>
              <w:top w:val="nil"/>
              <w:left w:val="nil"/>
              <w:bottom w:val="nil"/>
              <w:right w:val="nil"/>
            </w:tcBorders>
          </w:tcPr>
          <w:p w:rsidR="00000000" w:rsidRDefault="00135149">
            <w:pPr>
              <w:jc w:val="center"/>
            </w:pPr>
            <w:r>
              <w:drawing>
                <wp:inline distT="0" distB="0" distL="0" distR="0">
                  <wp:extent cx="2946400" cy="203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6400" cy="2032000"/>
                          </a:xfrm>
                          <a:prstGeom prst="rect">
                            <a:avLst/>
                          </a:prstGeom>
                          <a:noFill/>
                          <a:ln>
                            <a:noFill/>
                          </a:ln>
                        </pic:spPr>
                      </pic:pic>
                    </a:graphicData>
                  </a:graphic>
                </wp:inline>
              </w:drawing>
            </w:r>
          </w:p>
        </w:tc>
      </w:tr>
    </w:tbl>
    <w:p w:rsidR="00000000" w:rsidRDefault="00135149">
      <w:pPr>
        <w:pStyle w:val="Figure"/>
        <w:spacing w:before="300"/>
      </w:pPr>
      <w:r>
        <w:t xml:space="preserve"> </w:t>
      </w:r>
    </w:p>
    <w:p w:rsidR="00000000" w:rsidRDefault="00135149">
      <w:pPr>
        <w:pStyle w:val="Caption"/>
      </w:pPr>
      <w:r>
        <w:t xml:space="preserve">Figure </w:t>
      </w:r>
      <w:bookmarkStart w:id="11" w:name="BMfig_overall"/>
      <w:r>
        <w:t>4</w:t>
      </w:r>
      <w:bookmarkEnd w:id="11"/>
      <w:r>
        <w:t>: Mean activation rate over all month</w:t>
      </w:r>
      <w:r>
        <w:t xml:space="preserve">s for each country and category combination. The higher the value above 0, the darker the blue. The lower the value below 0, the darker the red. </w:t>
      </w:r>
      <w:r>
        <w:fldChar w:fldCharType="begin"/>
      </w:r>
      <w:r>
        <w:instrText>TC "4 Mean activation rate over all months for each country and category combination. The higher the value abov</w:instrText>
      </w:r>
      <w:r>
        <w:instrText>e 0, the darker the blue. The lower the value below 0, the darker the red. " \f f</w:instrText>
      </w:r>
      <w:r>
        <w:fldChar w:fldCharType="end"/>
      </w:r>
    </w:p>
    <w:p w:rsidR="00000000" w:rsidRDefault="00135149">
      <w:pPr>
        <w:spacing w:before="240"/>
        <w:ind w:firstLine="300"/>
      </w:pPr>
      <w:r>
        <w:t xml:space="preserve">Figure </w:t>
      </w:r>
      <w:r>
        <w:fldChar w:fldCharType="begin"/>
      </w:r>
      <w:r>
        <w:instrText xml:space="preserve">REF BMfig_overall \* MERGEFORMAT </w:instrText>
      </w:r>
      <w:r>
        <w:fldChar w:fldCharType="separate"/>
      </w:r>
      <w:r>
        <w:t>4</w:t>
      </w:r>
      <w:r>
        <w:fldChar w:fldCharType="end"/>
      </w:r>
      <w:r>
        <w:t xml:space="preserve"> shows two plots, one for news (left) and one for Twitter (right). Each plot depicts a heatmap of the mean activation values (</w:t>
      </w:r>
      <w:r>
        <w:fldChar w:fldCharType="begin"/>
      </w:r>
      <w:r>
        <w:instrText xml:space="preserve"> E</w:instrText>
      </w:r>
      <w:r>
        <w:instrText xml:space="preserve">Q  \x\to( </w:instrText>
      </w:r>
      <w:r>
        <w:instrText>η</w:instrText>
      </w:r>
      <w:r>
        <w:instrText>\s\do5(</w:instrText>
      </w:r>
      <w:r>
        <w:rPr>
          <w:i/>
          <w:iCs/>
          <w:sz w:val="16"/>
          <w:szCs w:val="16"/>
        </w:rPr>
        <w:instrText>w</w:instrText>
      </w:r>
      <w:r>
        <w:rPr>
          <w:sz w:val="16"/>
          <w:szCs w:val="16"/>
        </w:rPr>
        <w:instrText>\,</w:instrText>
      </w:r>
      <w:r>
        <w:rPr>
          <w:i/>
          <w:iCs/>
          <w:sz w:val="16"/>
          <w:szCs w:val="16"/>
        </w:rPr>
        <w:instrText>r</w:instrText>
      </w:r>
      <w:r>
        <w:rPr>
          <w:sz w:val="16"/>
          <w:szCs w:val="16"/>
        </w:rPr>
        <w:instrText>\,</w:instrText>
      </w:r>
      <w:r>
        <w:rPr>
          <w:i/>
          <w:iCs/>
          <w:sz w:val="16"/>
          <w:szCs w:val="16"/>
        </w:rPr>
        <w:instrText>t</w:instrText>
      </w:r>
      <w:r>
        <w:instrText xml:space="preserve">)) </w:instrText>
      </w:r>
      <w:r>
        <w:fldChar w:fldCharType="end"/>
      </w:r>
      <w:r>
        <w:t>) over all months for each country/theme combination. The higher the mean activation score above zero for a particular theme/country combination, the darker blue the square is. The lower the value below zero, the darker the re</w:t>
      </w:r>
      <w:r>
        <w:t>d. Additionally, note that values are interpretable relative to global activity of each topic/country combination. That is, the dark blue square in the top right of the Twitter plot shows that, on average, relative to other countries, discussions of war we</w:t>
      </w:r>
      <w:r>
        <w:t xml:space="preserve">re more frequent in Iraq than the discussion of other topics. </w:t>
      </w:r>
    </w:p>
    <w:p w:rsidR="00000000" w:rsidRDefault="00135149">
      <w:pPr>
        <w:ind w:firstLine="300"/>
      </w:pPr>
      <w:r>
        <w:t xml:space="preserve">Figure </w:t>
      </w:r>
      <w:r>
        <w:fldChar w:fldCharType="begin"/>
      </w:r>
      <w:r>
        <w:instrText xml:space="preserve">REF BMfig_overall \* MERGEFORMAT </w:instrText>
      </w:r>
      <w:r>
        <w:fldChar w:fldCharType="separate"/>
      </w:r>
      <w:r>
        <w:t>4</w:t>
      </w:r>
      <w:r>
        <w:fldChar w:fldCharType="end"/>
      </w:r>
      <w:r>
        <w:t xml:space="preserve"> suggests two interesting patterns in how countries clustered along themes that we will explore here. First, we consider how countries clustered alon</w:t>
      </w:r>
      <w:r>
        <w:t>g perhaps the most interesting theme with respect to the Arab Spring, that of protest. Figure </w:t>
      </w:r>
      <w:r>
        <w:fldChar w:fldCharType="begin"/>
      </w:r>
      <w:r>
        <w:instrText xml:space="preserve">REF BMfig_overall \* MERGEFORMAT </w:instrText>
      </w:r>
      <w:r>
        <w:fldChar w:fldCharType="separate"/>
      </w:r>
      <w:r>
        <w:t>4</w:t>
      </w:r>
      <w:r>
        <w:fldChar w:fldCharType="end"/>
      </w:r>
      <w:r>
        <w:t xml:space="preserve"> shows that for nations in which protests occurred at relatively low levels (Iran, Iraq, Saudi Arabia and the UAE), discussio</w:t>
      </w:r>
      <w:r>
        <w:t>n of protests were low in both the news and Twitter data. Interestingly, however, even in countries where relatively high levels of protest occurred, a distinction can be made in the level of discussion of protest between countries where revolutions are st</w:t>
      </w:r>
      <w:r>
        <w:t>ill ongoing or succeeded in overthrowing the government (Egypt, Yemen, Tunisia, Libya, Bahrain and Syria) versus those where little social change occurred (Jordan, Kuwait, Lebanon). In all but Libya, nations where social change followed protests showed pos</w:t>
      </w:r>
      <w:r>
        <w:t>itive (above zero, on average) levels of discussion about protest in the news media data. In contrast, nations where protests failed to produce significant results showed negative activation rates for this theme, on average, across time. In the Twitter dat</w:t>
      </w:r>
      <w:r>
        <w:t>a the same patterns hold, although discussion of protest in Tunisia, who’s government fell before the beginning of our data collection, is also negative.</w:t>
      </w:r>
    </w:p>
    <w:p w:rsidR="00000000" w:rsidRDefault="00135149">
      <w:pPr>
        <w:pStyle w:val="Figure"/>
        <w:spacing w:before="240"/>
        <w:ind w:firstLine="300"/>
      </w:pPr>
      <w:r>
        <w:t xml:space="preserve"> </w:t>
      </w:r>
    </w:p>
    <w:p w:rsidR="00000000" w:rsidRDefault="00135149">
      <w:pPr>
        <w:pStyle w:val="centerpar"/>
      </w:pPr>
      <w:r>
        <w:drawing>
          <wp:inline distT="0" distB="0" distL="0" distR="0">
            <wp:extent cx="4000500" cy="2501900"/>
            <wp:effectExtent l="0" t="0" r="1270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0500" cy="2501900"/>
                    </a:xfrm>
                    <a:prstGeom prst="rect">
                      <a:avLst/>
                    </a:prstGeom>
                    <a:noFill/>
                    <a:ln>
                      <a:noFill/>
                    </a:ln>
                  </pic:spPr>
                </pic:pic>
              </a:graphicData>
            </a:graphic>
          </wp:inline>
        </w:drawing>
      </w:r>
      <w:r>
        <w:t xml:space="preserve"> </w:t>
      </w:r>
    </w:p>
    <w:p w:rsidR="00000000" w:rsidRDefault="00135149">
      <w:pPr>
        <w:pStyle w:val="Caption"/>
      </w:pPr>
      <w:r>
        <w:t xml:space="preserve">Figure </w:t>
      </w:r>
      <w:bookmarkStart w:id="12" w:name="BMfig_prot_viol"/>
      <w:r>
        <w:t>5</w:t>
      </w:r>
      <w:bookmarkEnd w:id="12"/>
      <w:r>
        <w:t>: Relationship between th</w:t>
      </w:r>
      <w:r>
        <w:t>e protest and war themes over time in Libya. Points represent estimates from the model, nonparametric smoothed estimates with 95% confidence intervals are provided as lines to ease visual observation of trends.</w:t>
      </w:r>
      <w:r>
        <w:fldChar w:fldCharType="begin"/>
      </w:r>
      <w:r>
        <w:instrText>TC "5 Relationship between the protest and war</w:instrText>
      </w:r>
      <w:r>
        <w:instrText xml:space="preserve"> themes over time in Libya. Points represent estimates from the model, nonparametric smoothed estimates with 95% confidence intervals are provided as lines to ease visual observation of trends." \f f</w:instrText>
      </w:r>
      <w:r>
        <w:fldChar w:fldCharType="end"/>
      </w:r>
    </w:p>
    <w:p w:rsidR="00000000" w:rsidRDefault="00135149">
      <w:pPr>
        <w:spacing w:before="240"/>
        <w:ind w:firstLine="300"/>
      </w:pPr>
      <w:r>
        <w:t>In sum, results show that in both Twitter and news med</w:t>
      </w:r>
      <w:r>
        <w:t>ia, levels of discussions about protest clustered into countries in which important social change occurred during the data collection period, where positive activation scores for protest were seen, and nations where little or no social change occurred, whe</w:t>
      </w:r>
      <w:r>
        <w:t>re negative activation scores were seen. The lone exception to this categorization is Libya, where a six month civil war eventually led to the downfall of the ruling regime. We can better understand why low levels of discussion on the topic of protest occu</w:t>
      </w:r>
      <w:r>
        <w:t>rred by looking at the way in which protest was discussed over time in Libya. Figure </w:t>
      </w:r>
      <w:r>
        <w:fldChar w:fldCharType="begin"/>
      </w:r>
      <w:r>
        <w:instrText xml:space="preserve">REF BMfig_prot_viol \* MERGEFORMAT </w:instrText>
      </w:r>
      <w:r>
        <w:fldChar w:fldCharType="separate"/>
      </w:r>
      <w:r>
        <w:t>5</w:t>
      </w:r>
      <w:r>
        <w:fldChar w:fldCharType="end"/>
      </w:r>
      <w:r>
        <w:t xml:space="preserve"> shows the activation rates of the categories protest and war over time in Libya. The first vertical black line represents, approxim</w:t>
      </w:r>
      <w:r>
        <w:t>ately, the point at which the ruling regime was overthrown, the second black line represents the attack on the U.S. consulate in Benghazi. As we can see, the focus in Libya on protest may largely have been mediated by a focus on the civil war and its after</w:t>
      </w:r>
      <w:r>
        <w:t>math. However, as unrest grew again in the face of complaints about the new regime, we do see a renewed trend towards protest, which could be seen as an initial indicator of a return to civil unrest. This intricate relationship between discussions of war a</w:t>
      </w:r>
      <w:r>
        <w:t>nd protest is of particular interest in understanding how unrest leads to organized violence.</w:t>
      </w:r>
    </w:p>
    <w:p w:rsidR="00000000" w:rsidRDefault="00135149">
      <w:pPr>
        <w:pStyle w:val="Figure"/>
        <w:spacing w:before="240"/>
        <w:ind w:firstLine="300"/>
      </w:pPr>
      <w:r>
        <w:t xml:space="preserve"> </w:t>
      </w:r>
    </w:p>
    <w:p w:rsidR="00000000" w:rsidRDefault="00135149">
      <w:pPr>
        <w:pStyle w:val="centerpar"/>
      </w:pPr>
      <w:r>
        <w:drawing>
          <wp:inline distT="0" distB="0" distL="0" distR="0">
            <wp:extent cx="3619500" cy="2413000"/>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9500" cy="2413000"/>
                    </a:xfrm>
                    <a:prstGeom prst="rect">
                      <a:avLst/>
                    </a:prstGeom>
                    <a:noFill/>
                    <a:ln>
                      <a:noFill/>
                    </a:ln>
                  </pic:spPr>
                </pic:pic>
              </a:graphicData>
            </a:graphic>
          </wp:inline>
        </w:drawing>
      </w:r>
      <w:r>
        <w:t xml:space="preserve"> </w:t>
      </w:r>
    </w:p>
    <w:p w:rsidR="00000000" w:rsidRDefault="00135149">
      <w:pPr>
        <w:pStyle w:val="Caption"/>
      </w:pPr>
      <w:r>
        <w:t xml:space="preserve">Figure </w:t>
      </w:r>
      <w:bookmarkStart w:id="13" w:name="BMfig_clust"/>
      <w:r>
        <w:t>6</w:t>
      </w:r>
      <w:bookmarkEnd w:id="13"/>
      <w:r>
        <w:t xml:space="preserve">: Hierarchical clustering of our 13 countries based on mean activation levels across all categories for both news and Twitter </w:t>
      </w:r>
      <w:r>
        <w:fldChar w:fldCharType="begin"/>
      </w:r>
      <w:r>
        <w:instrText>TC "6 Hierarchical clustering of our 13 countries based on mean</w:instrText>
      </w:r>
      <w:r>
        <w:instrText xml:space="preserve"> activation levels across all categories for both news and Twitter " \f f</w:instrText>
      </w:r>
      <w:r>
        <w:fldChar w:fldCharType="end"/>
      </w:r>
    </w:p>
    <w:p w:rsidR="00000000" w:rsidRDefault="00135149">
      <w:pPr>
        <w:spacing w:before="240"/>
        <w:ind w:firstLine="300"/>
      </w:pPr>
      <w:r>
        <w:t>Figure </w:t>
      </w:r>
      <w:r>
        <w:fldChar w:fldCharType="begin"/>
      </w:r>
      <w:r>
        <w:instrText xml:space="preserve">REF BMfig_overall \* MERGEFORMAT </w:instrText>
      </w:r>
      <w:r>
        <w:fldChar w:fldCharType="separate"/>
      </w:r>
      <w:r>
        <w:t>4</w:t>
      </w:r>
      <w:r>
        <w:fldChar w:fldCharType="end"/>
      </w:r>
      <w:r>
        <w:t xml:space="preserve"> also suggests there exists clusters of countries that exist at a larger level than simply distinctions across protests. To better evalu</w:t>
      </w:r>
      <w:r>
        <w:t>ate the extent to which this clustering exists, we perform a standard, complete-linkage, agglomorative clustering, where each country is represented by sixteen features (the eight categories shown in Figure </w:t>
      </w:r>
      <w:r>
        <w:fldChar w:fldCharType="begin"/>
      </w:r>
      <w:r>
        <w:instrText xml:space="preserve">REF BMfig_overall \* MERGEFORMAT </w:instrText>
      </w:r>
      <w:r>
        <w:fldChar w:fldCharType="separate"/>
      </w:r>
      <w:r>
        <w:t>4</w:t>
      </w:r>
      <w:r>
        <w:fldChar w:fldCharType="end"/>
      </w:r>
      <w:r>
        <w:t xml:space="preserve"> for both news and Twitter). Figure </w:t>
      </w:r>
      <w:r>
        <w:fldChar w:fldCharType="begin"/>
      </w:r>
      <w:r>
        <w:instrText xml:space="preserve">REF BMfig_clust \* MERGEFORMAT </w:instrText>
      </w:r>
      <w:r>
        <w:fldChar w:fldCharType="separate"/>
      </w:r>
      <w:r>
        <w:t>6</w:t>
      </w:r>
      <w:r>
        <w:fldChar w:fldCharType="end"/>
      </w:r>
      <w:r>
        <w:t xml:space="preserve"> presents a dendrogram of the resulting clustering. Figure </w:t>
      </w:r>
      <w:r>
        <w:fldChar w:fldCharType="begin"/>
      </w:r>
      <w:r>
        <w:instrText xml:space="preserve">REF BMfig_clust \* MERGEFORMAT </w:instrText>
      </w:r>
      <w:r>
        <w:fldChar w:fldCharType="separate"/>
      </w:r>
      <w:r>
        <w:t>6</w:t>
      </w:r>
      <w:r>
        <w:fldChar w:fldCharType="end"/>
      </w:r>
      <w:r>
        <w:t xml:space="preserve"> shows that the oil-rich nations of Saudi Arabia, Kuwait and UAE, where little social chang</w:t>
      </w:r>
      <w:r>
        <w:t>e occurred, showed similar thematic structures. Similarly, nations with which the United States has the strongest tensions, Iran and Iraq, cluster together. Figure </w:t>
      </w:r>
      <w:r>
        <w:fldChar w:fldCharType="begin"/>
      </w:r>
      <w:r>
        <w:instrText xml:space="preserve">REF BMfig_clust \* MERGEFORMAT </w:instrText>
      </w:r>
      <w:r>
        <w:fldChar w:fldCharType="separate"/>
      </w:r>
      <w:r>
        <w:t>6</w:t>
      </w:r>
      <w:r>
        <w:fldChar w:fldCharType="end"/>
      </w:r>
      <w:r>
        <w:t xml:space="preserve"> shows that these five countries are heavily separated in</w:t>
      </w:r>
      <w:r>
        <w:t xml:space="preserve"> thematic content from nations where social change occurred, although they are also separated from perhaps the more similar nations of Lebanon and Jordan. Within the cluster holding nations where large-scale social change occurred, we observe that Tunisia </w:t>
      </w:r>
      <w:r>
        <w:t xml:space="preserve">and Egypt are the most tightly connected, an indication of the extent to which these two revolutions were tied together. </w:t>
      </w:r>
    </w:p>
    <w:p w:rsidR="00000000" w:rsidRDefault="00135149">
      <w:pPr>
        <w:pStyle w:val="Heading3"/>
        <w:widowControl/>
        <w:spacing w:before="120"/>
      </w:pPr>
      <w:r>
        <w:t>6.2  Temporal patterns in protests</w:t>
      </w:r>
    </w:p>
    <w:p w:rsidR="00000000" w:rsidRDefault="00135149">
      <w:pPr>
        <w:pStyle w:val="Figure"/>
        <w:spacing w:before="300"/>
      </w:pPr>
      <w:r>
        <w:t xml:space="preserve"> </w:t>
      </w:r>
    </w:p>
    <w:p w:rsidR="00000000" w:rsidRDefault="00135149">
      <w:pPr>
        <w:pStyle w:val="centerpar"/>
      </w:pPr>
      <w:bookmarkStart w:id="14" w:name="_GoBack"/>
      <w:bookmarkEnd w:id="14"/>
      <w:r>
        <w:drawing>
          <wp:inline distT="0" distB="0" distL="0" distR="0">
            <wp:extent cx="4229100" cy="3695700"/>
            <wp:effectExtent l="0" t="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9100" cy="3695700"/>
                    </a:xfrm>
                    <a:prstGeom prst="rect">
                      <a:avLst/>
                    </a:prstGeom>
                    <a:noFill/>
                    <a:ln>
                      <a:noFill/>
                    </a:ln>
                  </pic:spPr>
                </pic:pic>
              </a:graphicData>
            </a:graphic>
          </wp:inline>
        </w:drawing>
      </w:r>
      <w:r>
        <w:t xml:space="preserve"> </w:t>
      </w:r>
    </w:p>
    <w:p w:rsidR="00000000" w:rsidRDefault="00135149">
      <w:pPr>
        <w:pStyle w:val="Caption"/>
      </w:pPr>
      <w:r>
        <w:t xml:space="preserve">Figure </w:t>
      </w:r>
      <w:bookmarkStart w:id="15" w:name="BMfig_cottle4"/>
      <w:r>
        <w:t>7</w:t>
      </w:r>
      <w:bookmarkEnd w:id="15"/>
      <w:r>
        <w:t>: Activation Rates of pro</w:t>
      </w:r>
      <w:r>
        <w:t>test over time for six countries of interest. Points represent estimates from the model, nonparametric smoothed estimates with 95% confidence intervals are provided as lines to ease visual observation of trends.</w:t>
      </w:r>
      <w:r>
        <w:fldChar w:fldCharType="begin"/>
      </w:r>
      <w:r>
        <w:instrText>TC "7 Activation Rates of protest over time f</w:instrText>
      </w:r>
      <w:r>
        <w:instrText>or six countries of interest. Points represent estimates from the model, nonparametric smoothed estimates with 95% confidence intervals are provided as lines to ease visual observation of trends." \f f</w:instrText>
      </w:r>
      <w:r>
        <w:fldChar w:fldCharType="end"/>
      </w:r>
    </w:p>
    <w:p w:rsidR="00000000" w:rsidRDefault="00135149">
      <w:pPr>
        <w:spacing w:before="240"/>
        <w:ind w:firstLine="300"/>
      </w:pPr>
      <w:r>
        <w:t>Having noted that important clustering appears in av</w:t>
      </w:r>
      <w:r>
        <w:t>erage levels of activation with respect to protests, we turn now to how temporal patterns of protest played out in both news and Twitter for nations where high levels of social change occurred. Figure </w:t>
      </w:r>
      <w:r>
        <w:fldChar w:fldCharType="begin"/>
      </w:r>
      <w:r>
        <w:instrText xml:space="preserve">REF BMfig_cottle4 \* MERGEFORMAT </w:instrText>
      </w:r>
      <w:r>
        <w:fldChar w:fldCharType="separate"/>
      </w:r>
      <w:r>
        <w:t>7</w:t>
      </w:r>
      <w:r>
        <w:fldChar w:fldCharType="end"/>
      </w:r>
      <w:r>
        <w:t xml:space="preserve"> illustrates activ</w:t>
      </w:r>
      <w:r>
        <w:t>ation rates for the theme of protest in news media and Twitter for Bahrain, Egypt, Libya, Syria, Tunisia and Yemen. Our findings, even over time, are consistent with the idea presented by Cottle (2011) that new media played an important role in discussions</w:t>
      </w:r>
      <w:r>
        <w:t xml:space="preserve"> of protests during the Arab Spring. Perhaps more interestingly, Cottle (2011) also argues that the relationship between social media and news media facilitated international recognition and protest legitimization, and provided human rights surveillance. O</w:t>
      </w:r>
      <w:r>
        <w:t>ur analysis is consistent with this assertion. In contrasting results for Egypt, with its partially free press, to more restricted countries like Syria, Tunisia, and Bahrain, we observe that states with more oppressive regimes tend to show less of a relati</w:t>
      </w:r>
      <w:r>
        <w:t>onship between social and news media. However, even in the more oppressive regimes, uptakes in Twitter activation with respect to protest always lead to corresponding changes in news activation rates which implies a strong interaction between the two media</w:t>
      </w:r>
      <w:r>
        <w:t xml:space="preserve"> types. This relationship between news media and social media activation rates reinforce Cottle’s (2011) premises. </w:t>
      </w:r>
    </w:p>
    <w:p w:rsidR="00000000" w:rsidRDefault="00135149">
      <w:pPr>
        <w:pStyle w:val="Heading2"/>
        <w:widowControl/>
      </w:pPr>
      <w:r>
        <w:t>7  Conclusion</w:t>
      </w:r>
    </w:p>
    <w:p w:rsidR="00000000" w:rsidRDefault="00135149">
      <w:pPr>
        <w:spacing w:before="60"/>
      </w:pPr>
      <w:r>
        <w:t>In the present work, we made the first attempt we are aware of to compare the content of news media and Twitter data over a va</w:t>
      </w:r>
      <w:r>
        <w:t xml:space="preserve">riety of themes, countries and time points from data on the Arab Spring. In order to control for biases in the data, we utilized a latent vector autoregressive model first introduced by Eisenstein et al. (2014). Our work focuses on two research questions. </w:t>
      </w:r>
      <w:r>
        <w:t xml:space="preserve">First, we consider the extent to which Twitter and news were focused on the same themes at the same time with respect to the same countries. With respect to RQ1, we find the following: </w:t>
      </w:r>
    </w:p>
    <w:p w:rsidR="00000000" w:rsidRDefault="00135149">
      <w:pPr>
        <w:pStyle w:val="List"/>
        <w:spacing w:before="50"/>
        <w:ind w:left="600" w:hanging="300"/>
      </w:pPr>
      <w:r>
        <w:t>•</w:t>
      </w:r>
      <w:r>
        <w:tab/>
        <w:t>There is a moderate but significant correlation in the focus of Twit</w:t>
      </w:r>
      <w:r>
        <w:t xml:space="preserve">ter and news media over time and country across a variety of themes </w:t>
      </w:r>
    </w:p>
    <w:p w:rsidR="00000000" w:rsidRDefault="00135149">
      <w:pPr>
        <w:pStyle w:val="List"/>
        <w:spacing w:before="50"/>
        <w:ind w:left="600" w:hanging="300"/>
      </w:pPr>
      <w:r>
        <w:t>•</w:t>
      </w:r>
      <w:r>
        <w:tab/>
        <w:t xml:space="preserve">The level of correlation is generally stronger for themes related to revolution </w:t>
      </w:r>
    </w:p>
    <w:p w:rsidR="00000000" w:rsidRDefault="00135149">
      <w:pPr>
        <w:pStyle w:val="List"/>
        <w:spacing w:before="50"/>
        <w:ind w:left="600" w:hanging="300"/>
      </w:pPr>
      <w:r>
        <w:t>•</w:t>
      </w:r>
      <w:r>
        <w:tab/>
        <w:t>The level of correlation is strongest with respect to the discussion of Ethnic identities in the regio</w:t>
      </w:r>
      <w:r>
        <w:t xml:space="preserve">n </w:t>
      </w:r>
    </w:p>
    <w:p w:rsidR="00000000" w:rsidRDefault="00135149">
      <w:pPr>
        <w:spacing w:before="60"/>
        <w:ind w:firstLine="300"/>
      </w:pPr>
      <w:r>
        <w:t xml:space="preserve">We then considered how well large changes in thematic content in Twitter and news media signaled important events were occurring on the ground. With respect to RQ2, we find the following: </w:t>
      </w:r>
    </w:p>
    <w:p w:rsidR="00000000" w:rsidRDefault="00135149">
      <w:pPr>
        <w:pStyle w:val="List"/>
        <w:spacing w:before="50"/>
        <w:ind w:left="600" w:hanging="300"/>
      </w:pPr>
      <w:r>
        <w:t>•</w:t>
      </w:r>
      <w:r>
        <w:tab/>
        <w:t>The largest jumps in thematic focus in news data tended to occ</w:t>
      </w:r>
      <w:r>
        <w:t xml:space="preserve">ur in content related to war and protest when large-scale protests occurred </w:t>
      </w:r>
    </w:p>
    <w:p w:rsidR="00000000" w:rsidRDefault="00135149">
      <w:pPr>
        <w:pStyle w:val="List"/>
        <w:spacing w:before="50"/>
        <w:ind w:left="600" w:hanging="300"/>
      </w:pPr>
      <w:r>
        <w:t>•</w:t>
      </w:r>
      <w:r>
        <w:tab/>
        <w:t xml:space="preserve">The largest jumps in thematic focus in Twitter data tended to occur in content related to themes of adaptation and change before or during election periods </w:t>
      </w:r>
    </w:p>
    <w:p w:rsidR="00000000" w:rsidRDefault="00135149">
      <w:pPr>
        <w:pStyle w:val="List"/>
        <w:spacing w:before="50"/>
        <w:ind w:left="600" w:hanging="300"/>
      </w:pPr>
      <w:r>
        <w:t>•</w:t>
      </w:r>
      <w:r>
        <w:tab/>
        <w:t>In both news and T</w:t>
      </w:r>
      <w:r>
        <w:t xml:space="preserve">witter data, results were biased by the use of Western-centric, English-only data </w:t>
      </w:r>
    </w:p>
    <w:p w:rsidR="00000000" w:rsidRDefault="00135149">
      <w:pPr>
        <w:spacing w:before="60"/>
        <w:ind w:firstLine="300"/>
      </w:pPr>
      <w:r>
        <w:t>Finally, we considered a case study that took a wider view of the relationship between countries and content. We found that when grouping countries in terms of average focus</w:t>
      </w:r>
      <w:r>
        <w:t xml:space="preserve"> across themes, the resulting clusters were roughly organized by the level of social change that occurred in the country. This did not hold true in all cases, particularly for Jordan and Lebanon. Future work is needed to understand both underlying social f</w:t>
      </w:r>
      <w:r>
        <w:t>actors influencing why nations clustered in the way they did, and why Jordan and Lebanon appear to be outliers. Our case study also considered how our data roughly support Cottle’s (2011) view of the way in which news media and Twitter were used in the dis</w:t>
      </w:r>
      <w:r>
        <w:t>cussion of protests in countries where significant social change occurred. Again, future work is needed to more rigorously test these findings.</w:t>
      </w:r>
    </w:p>
    <w:p w:rsidR="00000000" w:rsidRDefault="00135149">
      <w:pPr>
        <w:ind w:firstLine="300"/>
      </w:pPr>
      <w:r>
        <w:t xml:space="preserve">In general, we find that our work presents a favorable outlook of the opportunities for broadly scoped study of </w:t>
      </w:r>
      <w:r>
        <w:t>news and Twitter data and their potential for supporting or refuting the host of qualitative work that currently exists on the Arab Spring. However, several limitations much be kept in mind. Beyond a focus on Western-centric, English only data, myriad othe</w:t>
      </w:r>
      <w:r>
        <w:t>r methodological trapdoors exist in studying social media data Morstatter et al. (2013); Ruths and Pfeffer (2014); Tufekci (2014). Although our model does well at dealing with some of these biases, results with our Stopword-based themes show that further w</w:t>
      </w:r>
      <w:r>
        <w:t>ork is necessary in this area.</w:t>
      </w:r>
    </w:p>
    <w:p w:rsidR="00000000" w:rsidRDefault="00135149">
      <w:pPr>
        <w:ind w:firstLine="300"/>
      </w:pPr>
      <w:r>
        <w:t>Additionally, it is very difficult to truly assess how well models of social change are actually capturing important events on the ground. This is so for at least two reasons. First, a comprehensive, quantitative measure of g</w:t>
      </w:r>
      <w:r>
        <w:t xml:space="preserve">round truth events during revolutions is very difficult, if at all possible, to come by. Event-level datasets, particularly during the Arab Spring, are consequently drawn from newspaper data, and therefore cannot be used as a means to assess another model </w:t>
      </w:r>
      <w:r>
        <w:t xml:space="preserve">based on the same data. Second, during periods of unrest, important events are rampant, and thus our observations here are important only in so far as we can state that the model captures particular sorts of events (e.g. elections) with a higher frequency </w:t>
      </w:r>
      <w:r>
        <w:t>than others. Thus, work on creating event datasets using mixed-method and human-in-the-loop approaches is vital in furthering our ability to develop statistical models of text content that we can compare to actual events on the ground during periods of rev</w:t>
      </w:r>
      <w:r>
        <w:t>olution (Hanna, 2014).</w:t>
      </w:r>
    </w:p>
    <w:p w:rsidR="00000000" w:rsidRDefault="00135149">
      <w:pPr>
        <w:pStyle w:val="bibheading"/>
        <w:widowControl/>
        <w:spacing w:before="120"/>
      </w:pPr>
      <w:r>
        <w:t>References</w:t>
      </w:r>
    </w:p>
    <w:p w:rsidR="00000000" w:rsidRDefault="00135149">
      <w:pPr>
        <w:pStyle w:val="bibitem"/>
        <w:widowControl/>
        <w:spacing w:before="60"/>
        <w:ind w:left="450" w:firstLine="0"/>
      </w:pPr>
      <w:r>
        <w:t xml:space="preserve">Anderson, J. R., Matessa, M., and Lebiere, C. (1997). ACT-R: A theory of higher level cognition and its relation to visual attention. </w:t>
      </w:r>
      <w:r>
        <w:rPr>
          <w:i/>
          <w:iCs/>
        </w:rPr>
        <w:t>Human-Computer Interaction</w:t>
      </w:r>
      <w:r>
        <w:t>, 12(4):439–462.</w:t>
      </w:r>
    </w:p>
    <w:p w:rsidR="00000000" w:rsidRDefault="00135149">
      <w:pPr>
        <w:pStyle w:val="bibitem"/>
        <w:widowControl/>
        <w:ind w:left="450" w:firstLine="0"/>
      </w:pPr>
      <w:r>
        <w:t>Arulampalam, M. </w:t>
      </w:r>
      <w:r>
        <w:t xml:space="preserve">S., Maskell, S., Gordon, N., and Clapp, T. (2002). A tutorial on particle filters for online nonlinear/non-Gaussian Bayesian tracking. </w:t>
      </w:r>
      <w:r>
        <w:rPr>
          <w:i/>
          <w:iCs/>
        </w:rPr>
        <w:t>Signal Processing, IEEE Transactions on</w:t>
      </w:r>
      <w:r>
        <w:t>, 50(2):174–188.</w:t>
      </w:r>
    </w:p>
    <w:p w:rsidR="00000000" w:rsidRDefault="00135149">
      <w:pPr>
        <w:pStyle w:val="bibitem"/>
        <w:widowControl/>
        <w:ind w:left="450" w:firstLine="0"/>
      </w:pPr>
      <w:r>
        <w:t>Battera, F. (2014). Perspectives for change in tunisia, egypt and</w:t>
      </w:r>
      <w:r>
        <w:t xml:space="preserve"> syria: the military factor and implications of previous authoritarian regimes. </w:t>
      </w:r>
      <w:r>
        <w:rPr>
          <w:i/>
          <w:iCs/>
        </w:rPr>
        <w:t>Contemporary Arab Affairs</w:t>
      </w:r>
      <w:r>
        <w:t>, 7(4):544–564.</w:t>
      </w:r>
    </w:p>
    <w:p w:rsidR="00000000" w:rsidRDefault="00135149">
      <w:pPr>
        <w:pStyle w:val="bibitem"/>
        <w:widowControl/>
        <w:ind w:left="450" w:firstLine="0"/>
      </w:pPr>
      <w:r>
        <w:t xml:space="preserve">Baym, N. K. (2010). </w:t>
      </w:r>
      <w:r>
        <w:rPr>
          <w:i/>
          <w:iCs/>
        </w:rPr>
        <w:t>Personal Connections in the Digital Age</w:t>
      </w:r>
      <w:r>
        <w:t>. Polity.</w:t>
      </w:r>
    </w:p>
    <w:p w:rsidR="00000000" w:rsidRDefault="00135149">
      <w:pPr>
        <w:pStyle w:val="bibitem"/>
        <w:widowControl/>
        <w:ind w:left="450" w:firstLine="0"/>
      </w:pPr>
      <w:r>
        <w:t>Bellin, E. (2012). Reconsidering the robustness of authoritarianis</w:t>
      </w:r>
      <w:r>
        <w:t xml:space="preserve">m in the middle east: Lessons from the arab spring. </w:t>
      </w:r>
      <w:r>
        <w:rPr>
          <w:i/>
          <w:iCs/>
        </w:rPr>
        <w:t>Comparative Politics</w:t>
      </w:r>
      <w:r>
        <w:t>, 44(2):127–149.</w:t>
      </w:r>
    </w:p>
    <w:p w:rsidR="00000000" w:rsidRDefault="00135149">
      <w:pPr>
        <w:pStyle w:val="bibitem"/>
        <w:widowControl/>
        <w:ind w:left="450" w:firstLine="0"/>
      </w:pPr>
      <w:r>
        <w:t xml:space="preserve">Bishop, C. M. and others (2006). </w:t>
      </w:r>
      <w:r>
        <w:rPr>
          <w:i/>
          <w:iCs/>
        </w:rPr>
        <w:t>Pattern recognition and machine learning</w:t>
      </w:r>
      <w:r>
        <w:t>, volume 1. springer New York.</w:t>
      </w:r>
    </w:p>
    <w:p w:rsidR="00000000" w:rsidRDefault="00135149">
      <w:pPr>
        <w:pStyle w:val="bibitem"/>
        <w:widowControl/>
        <w:ind w:left="450" w:firstLine="0"/>
      </w:pPr>
      <w:r>
        <w:t>Borge-Holthoefer, J., Magdy, W., Darwish, K., and Weber, I. (20</w:t>
      </w:r>
      <w:r>
        <w:t xml:space="preserve">14). Content and network dynamics behind egyptian political polarization on twitter. </w:t>
      </w:r>
      <w:r>
        <w:rPr>
          <w:i/>
          <w:iCs/>
        </w:rPr>
        <w:t>arXiv:1410.3097 [physics]</w:t>
      </w:r>
      <w:r>
        <w:t>. arXiv: 1410.3097.</w:t>
      </w:r>
    </w:p>
    <w:p w:rsidR="00000000" w:rsidRDefault="00135149">
      <w:pPr>
        <w:pStyle w:val="bibitem"/>
        <w:widowControl/>
        <w:ind w:left="450" w:firstLine="0"/>
      </w:pPr>
      <w:r>
        <w:t xml:space="preserve">Bruns, A., Highfield, T., and Burgess, J. (2013). The arab spring and social media audiences english and arabic twitter users </w:t>
      </w:r>
      <w:r>
        <w:t xml:space="preserve">and their networks. </w:t>
      </w:r>
      <w:r>
        <w:rPr>
          <w:i/>
          <w:iCs/>
        </w:rPr>
        <w:t>American Behavioral Scientist</w:t>
      </w:r>
      <w:r>
        <w:t>, 57(7):871–898.</w:t>
      </w:r>
    </w:p>
    <w:p w:rsidR="00000000" w:rsidRDefault="00135149">
      <w:pPr>
        <w:pStyle w:val="bibitem"/>
        <w:widowControl/>
        <w:ind w:left="450" w:firstLine="0"/>
      </w:pPr>
      <w:r>
        <w:t xml:space="preserve">Comunello, F. and Anzera, G. (2012). Will the revolution be tweeted?  a conceptual framework for understanding the social media and the arab spring. </w:t>
      </w:r>
      <w:r>
        <w:rPr>
          <w:i/>
          <w:iCs/>
        </w:rPr>
        <w:t>Islam and Christian</w:t>
      </w:r>
      <w:r>
        <w:rPr>
          <w:i/>
          <w:iCs/>
        </w:rPr>
        <w:t>–</w:t>
      </w:r>
      <w:r>
        <w:rPr>
          <w:i/>
          <w:iCs/>
        </w:rPr>
        <w:t>Muslim Relations</w:t>
      </w:r>
      <w:r>
        <w:t>, 23(</w:t>
      </w:r>
      <w:r>
        <w:t>4):453–470.</w:t>
      </w:r>
    </w:p>
    <w:p w:rsidR="00000000" w:rsidRDefault="00135149">
      <w:pPr>
        <w:pStyle w:val="bibitem"/>
        <w:widowControl/>
        <w:ind w:left="450" w:firstLine="0"/>
      </w:pPr>
      <w:r>
        <w:t xml:space="preserve">Cottle, S. (2011). Media and the Arab uprisings of 2011: Research notes. </w:t>
      </w:r>
      <w:r>
        <w:rPr>
          <w:i/>
          <w:iCs/>
        </w:rPr>
        <w:t>Journalism</w:t>
      </w:r>
      <w:r>
        <w:t>, 12(5):647–659.</w:t>
      </w:r>
    </w:p>
    <w:p w:rsidR="00000000" w:rsidRDefault="00135149">
      <w:pPr>
        <w:pStyle w:val="bibitem"/>
        <w:widowControl/>
        <w:ind w:left="450" w:firstLine="0"/>
      </w:pPr>
      <w:r>
        <w:t xml:space="preserve">Dewey, T., Kaden, J., Marks, M., Matsushima, S., and Zhu, B. (2012). The impact of social media on social unrest in the arab spring. </w:t>
      </w:r>
      <w:r>
        <w:rPr>
          <w:i/>
          <w:iCs/>
        </w:rPr>
        <w:t>Internation</w:t>
      </w:r>
      <w:r>
        <w:rPr>
          <w:i/>
          <w:iCs/>
        </w:rPr>
        <w:t>al Policy Program</w:t>
      </w:r>
      <w:r>
        <w:t>.</w:t>
      </w:r>
    </w:p>
    <w:p w:rsidR="00000000" w:rsidRDefault="00135149">
      <w:pPr>
        <w:pStyle w:val="bibitem"/>
        <w:widowControl/>
        <w:ind w:left="450" w:firstLine="0"/>
      </w:pPr>
      <w:r>
        <w:t xml:space="preserve">Eisenstein, J., O’Connor, B., Smith, N. A., and Xing, E. P. (2014). Diffusion of Lexical Change in Social Media. </w:t>
      </w:r>
      <w:r>
        <w:rPr>
          <w:i/>
          <w:iCs/>
        </w:rPr>
        <w:t>PloS one</w:t>
      </w:r>
      <w:r>
        <w:t>, 9(11):e113114.</w:t>
      </w:r>
    </w:p>
    <w:p w:rsidR="00000000" w:rsidRDefault="00135149">
      <w:pPr>
        <w:pStyle w:val="bibitem"/>
        <w:widowControl/>
        <w:ind w:left="450" w:firstLine="0"/>
      </w:pPr>
      <w:r>
        <w:t>Gall</w:t>
      </w:r>
      <w:r>
        <w:t>é</w:t>
      </w:r>
      <w:r>
        <w:t>, M., Renders, J.-M., and Karstens, E. (2013). Who broke the news? : an analysis on first repo</w:t>
      </w:r>
      <w:r>
        <w:t xml:space="preserve">rts of news events. In </w:t>
      </w:r>
      <w:r>
        <w:rPr>
          <w:i/>
          <w:iCs/>
        </w:rPr>
        <w:t>Proceedings of the 22nd international conference on World Wide Web companion</w:t>
      </w:r>
      <w:r>
        <w:t>, pages 855–862. International World Wide Web Conferences Steering Committee.</w:t>
      </w:r>
    </w:p>
    <w:p w:rsidR="00000000" w:rsidRDefault="00135149">
      <w:pPr>
        <w:pStyle w:val="bibitem"/>
        <w:widowControl/>
        <w:ind w:left="450" w:firstLine="0"/>
      </w:pPr>
      <w:r>
        <w:t xml:space="preserve">Gelvin, J. (2015). </w:t>
      </w:r>
      <w:r>
        <w:rPr>
          <w:i/>
          <w:iCs/>
        </w:rPr>
        <w:t>The Arab uprisings: what everyone needs to know</w:t>
      </w:r>
      <w:r>
        <w:t>. Oxford Univ</w:t>
      </w:r>
      <w:r>
        <w:t>ersity Press, 2nd edition.</w:t>
      </w:r>
    </w:p>
    <w:p w:rsidR="00000000" w:rsidRDefault="00135149">
      <w:pPr>
        <w:pStyle w:val="bibitem"/>
        <w:widowControl/>
        <w:ind w:left="450" w:firstLine="0"/>
      </w:pPr>
      <w:r>
        <w:t xml:space="preserve">Godsill, S. J., Doucet, A., and West, M. (2004). Monte Carlo Smoothing for Nonlinear Time Series. </w:t>
      </w:r>
      <w:r>
        <w:rPr>
          <w:i/>
          <w:iCs/>
        </w:rPr>
        <w:t>Journal of the American Statistical Association</w:t>
      </w:r>
      <w:r>
        <w:t>, 99(465):156–168.</w:t>
      </w:r>
    </w:p>
    <w:p w:rsidR="00000000" w:rsidRDefault="00135149">
      <w:pPr>
        <w:pStyle w:val="bibitem"/>
        <w:widowControl/>
        <w:ind w:left="450" w:firstLine="0"/>
      </w:pPr>
      <w:r>
        <w:t>Goldstone, J. A. (2011). Cross-class coalitions and the making of</w:t>
      </w:r>
      <w:r>
        <w:t xml:space="preserve"> the arab revolts of 2011. </w:t>
      </w:r>
      <w:r>
        <w:rPr>
          <w:i/>
          <w:iCs/>
        </w:rPr>
        <w:t>Swiss Political Science Review</w:t>
      </w:r>
      <w:r>
        <w:t>, 17(4):457–462.</w:t>
      </w:r>
    </w:p>
    <w:p w:rsidR="00000000" w:rsidRDefault="00135149">
      <w:pPr>
        <w:pStyle w:val="bibitem"/>
        <w:widowControl/>
        <w:ind w:left="450" w:firstLine="0"/>
      </w:pPr>
      <w:r>
        <w:t>Goldstone, J. A. (2013). Bringing regimes back in</w:t>
      </w:r>
      <w:r>
        <w:t>–</w:t>
      </w:r>
      <w:r>
        <w:t xml:space="preserve">explaining success and failure in the middle east revolts of 2011. </w:t>
      </w:r>
      <w:r>
        <w:rPr>
          <w:i/>
          <w:iCs/>
        </w:rPr>
        <w:t>Available at SSRN 2283655</w:t>
      </w:r>
      <w:r>
        <w:t>.</w:t>
      </w:r>
    </w:p>
    <w:p w:rsidR="00000000" w:rsidRDefault="00135149">
      <w:pPr>
        <w:pStyle w:val="bibitem"/>
        <w:widowControl/>
        <w:ind w:left="450" w:firstLine="0"/>
      </w:pPr>
      <w:r>
        <w:t xml:space="preserve">Hanna, A. (2014). Developing a System </w:t>
      </w:r>
      <w:r>
        <w:t xml:space="preserve">for the Automated Coding of Protest Event Data. </w:t>
      </w:r>
      <w:r>
        <w:rPr>
          <w:i/>
          <w:iCs/>
        </w:rPr>
        <w:t>Available at SSRN 2425232</w:t>
      </w:r>
      <w:r>
        <w:t>.</w:t>
      </w:r>
    </w:p>
    <w:p w:rsidR="00000000" w:rsidRDefault="00135149">
      <w:pPr>
        <w:pStyle w:val="bibitem"/>
        <w:widowControl/>
        <w:ind w:left="450" w:firstLine="0"/>
      </w:pPr>
      <w:r>
        <w:t xml:space="preserve">Hussain, M. M. and Howard, P. N. (2013). What best explains successful protest cascades?  ICTs and the fuzzy causes of the arab spring. </w:t>
      </w:r>
      <w:r>
        <w:rPr>
          <w:i/>
          <w:iCs/>
        </w:rPr>
        <w:t>International Studies Review</w:t>
      </w:r>
      <w:r>
        <w:t>, 15(1):48–66.</w:t>
      </w:r>
    </w:p>
    <w:p w:rsidR="00000000" w:rsidRDefault="00135149">
      <w:pPr>
        <w:pStyle w:val="bibitem"/>
        <w:widowControl/>
        <w:ind w:left="450" w:firstLine="0"/>
      </w:pPr>
      <w:r>
        <w:t>Lo</w:t>
      </w:r>
      <w:r>
        <w:t xml:space="preserve">tan, G., Graeff, E., Ananny, M., Gaffney, D., Pearce, I., and Boyd, D. (2011). The revolutions were tweeted: Information flows during the 2011 tunisian and egyptian revolutions. </w:t>
      </w:r>
      <w:r>
        <w:rPr>
          <w:i/>
          <w:iCs/>
        </w:rPr>
        <w:t>International Journal of Communication</w:t>
      </w:r>
      <w:r>
        <w:t>, 5:1375–1405.</w:t>
      </w:r>
    </w:p>
    <w:p w:rsidR="00000000" w:rsidRDefault="00135149">
      <w:pPr>
        <w:pStyle w:val="bibitem"/>
        <w:widowControl/>
        <w:ind w:left="450" w:firstLine="0"/>
      </w:pPr>
      <w:r>
        <w:t xml:space="preserve">Morstatter, F., Pfeffer, </w:t>
      </w:r>
      <w:r>
        <w:t>J., Liu, H., and Carley, K. M. (2013). Is the sample good enough?  comparing data from twitter</w:t>
      </w:r>
      <w:r>
        <w:t>’</w:t>
      </w:r>
      <w:r>
        <w:t>s streaming api with twitter</w:t>
      </w:r>
      <w:r>
        <w:t>’</w:t>
      </w:r>
      <w:r>
        <w:t xml:space="preserve">s firehose. </w:t>
      </w:r>
      <w:r>
        <w:rPr>
          <w:i/>
          <w:iCs/>
        </w:rPr>
        <w:t>Proceedings of ICWSM</w:t>
      </w:r>
      <w:r>
        <w:t>.</w:t>
      </w:r>
    </w:p>
    <w:p w:rsidR="00000000" w:rsidRDefault="00135149">
      <w:pPr>
        <w:pStyle w:val="bibitem"/>
        <w:widowControl/>
        <w:ind w:left="450" w:firstLine="0"/>
      </w:pPr>
      <w:r>
        <w:t xml:space="preserve">Ruths, D. and Pfeffer, J. (2014). Social media for large studies of behavior. </w:t>
      </w:r>
      <w:r>
        <w:rPr>
          <w:i/>
          <w:iCs/>
        </w:rPr>
        <w:t>Science</w:t>
      </w:r>
      <w:r>
        <w:t>, 346(6213):1</w:t>
      </w:r>
      <w:r>
        <w:t>063–1064.</w:t>
      </w:r>
    </w:p>
    <w:p w:rsidR="00000000" w:rsidRDefault="00135149">
      <w:pPr>
        <w:pStyle w:val="bibitem"/>
        <w:widowControl/>
        <w:ind w:left="450" w:firstLine="0"/>
      </w:pPr>
      <w:r>
        <w:t xml:space="preserve">Starbird, K. and Palen, L. (2012). (how) will the revolution be retweeted? : information diffusion and the 2011 egyptian uprising. In </w:t>
      </w:r>
      <w:r>
        <w:rPr>
          <w:i/>
          <w:iCs/>
        </w:rPr>
        <w:t>Proceedings of the acm 2012 conference on computer supported cooperative work</w:t>
      </w:r>
      <w:r>
        <w:t>, pages 7–16. ACM.</w:t>
      </w:r>
    </w:p>
    <w:p w:rsidR="00000000" w:rsidRDefault="00135149">
      <w:pPr>
        <w:pStyle w:val="bibitem"/>
        <w:widowControl/>
        <w:ind w:left="450" w:firstLine="0"/>
      </w:pPr>
      <w:r>
        <w:t>Tufekci, Z. (201</w:t>
      </w:r>
      <w:r>
        <w:t xml:space="preserve">4). Big questions for social media big data: Representativeness, validity and other methodological pitfalls. In </w:t>
      </w:r>
      <w:r>
        <w:rPr>
          <w:i/>
          <w:iCs/>
        </w:rPr>
        <w:t xml:space="preserve">ICWSM </w:t>
      </w:r>
      <w:r>
        <w:rPr>
          <w:i/>
          <w:iCs/>
        </w:rPr>
        <w:t>’</w:t>
      </w:r>
      <w:r>
        <w:rPr>
          <w:i/>
          <w:iCs/>
        </w:rPr>
        <w:t>14: Proceedings of the 8th International AAAI Conference on Weblogs and Social Media.</w:t>
      </w:r>
    </w:p>
    <w:p w:rsidR="00000000" w:rsidRDefault="00135149">
      <w:pPr>
        <w:pStyle w:val="bibitem"/>
        <w:widowControl/>
        <w:ind w:left="450" w:firstLine="0"/>
      </w:pPr>
      <w:r>
        <w:t>Tufekci, Z. and Wilson, C. (2012). Social media and</w:t>
      </w:r>
      <w:r>
        <w:t xml:space="preserve"> the decision to participate in political protest: Observations from tahrir square. </w:t>
      </w:r>
      <w:r>
        <w:rPr>
          <w:i/>
          <w:iCs/>
        </w:rPr>
        <w:t>Journal of Communication</w:t>
      </w:r>
      <w:r>
        <w:t>, 62(2):363–379.</w:t>
      </w:r>
    </w:p>
    <w:p w:rsidR="00000000" w:rsidRDefault="00135149">
      <w:pPr>
        <w:pStyle w:val="bibitem"/>
        <w:widowControl/>
        <w:ind w:left="450" w:firstLine="0"/>
      </w:pPr>
      <w:r>
        <w:t xml:space="preserve">Wasserman, L. (2003). </w:t>
      </w:r>
      <w:r>
        <w:rPr>
          <w:i/>
          <w:iCs/>
        </w:rPr>
        <w:t>All of Statistics: A Concise Course in Statistical Inference</w:t>
      </w:r>
      <w:r>
        <w:t>. Springer.</w:t>
      </w:r>
    </w:p>
    <w:p w:rsidR="00000000" w:rsidRDefault="00135149">
      <w:pPr>
        <w:pStyle w:val="bibitem"/>
        <w:widowControl/>
        <w:ind w:left="450" w:firstLine="0"/>
      </w:pPr>
      <w:r>
        <w:t xml:space="preserve">Wolfsfeld, G., Segev, E., and Sheafer, T. (2013). Social media and the arab spring politics comes first. </w:t>
      </w:r>
      <w:r>
        <w:rPr>
          <w:i/>
          <w:iCs/>
        </w:rPr>
        <w:t>The International Journal of Press/Politics</w:t>
      </w:r>
      <w:r>
        <w:t>, 18(2):115–137.</w:t>
      </w:r>
    </w:p>
    <w:p w:rsidR="00000000" w:rsidRDefault="00135149">
      <w:pPr>
        <w:pStyle w:val="bibitem"/>
        <w:widowControl/>
        <w:ind w:left="450" w:firstLine="0"/>
      </w:pPr>
      <w:r>
        <w:t xml:space="preserve">Yang, J. and Leskovec, J. (2011). Patterns of temporal variation in online media. In </w:t>
      </w:r>
      <w:r>
        <w:rPr>
          <w:i/>
          <w:iCs/>
        </w:rPr>
        <w:t>Procee</w:t>
      </w:r>
      <w:r>
        <w:rPr>
          <w:i/>
          <w:iCs/>
        </w:rPr>
        <w:t>dings of the fourth ACM international conference on Web search and data mining</w:t>
      </w:r>
      <w:r>
        <w:t>, pages 177–186. ACM.</w:t>
      </w:r>
    </w:p>
    <w:p w:rsidR="00000000" w:rsidRDefault="00135149">
      <w:pPr>
        <w:pStyle w:val="bibitem"/>
        <w:widowControl/>
        <w:ind w:left="450" w:firstLine="0"/>
      </w:pPr>
      <w:r>
        <w:t>Yuce, S., Agarwal, N., and Wigand, R. T. (2015). Women</w:t>
      </w:r>
      <w:r>
        <w:t>’</w:t>
      </w:r>
      <w:r>
        <w:t xml:space="preserve">s Right to Drive: Spillover of Brokers, Mobilization, and Cyberactivism. In Agarwal, N., Xu, K., and </w:t>
      </w:r>
      <w:r>
        <w:t xml:space="preserve">Osgood, N., editors, </w:t>
      </w:r>
      <w:r>
        <w:rPr>
          <w:i/>
          <w:iCs/>
        </w:rPr>
        <w:t>Social Computing, Behavioral-Cultural Modeling, and Prediction</w:t>
      </w:r>
      <w:r>
        <w:t>, number 9021 in Lecture Notes in Computer Science, pages 232–242. Springer International Publishing.</w:t>
      </w:r>
    </w:p>
    <w:p w:rsidR="00000000" w:rsidRDefault="00135149">
      <w:pPr>
        <w:pStyle w:val="bibitem"/>
        <w:widowControl/>
        <w:ind w:left="450" w:firstLine="0"/>
      </w:pPr>
      <w:r>
        <w:t>Zou, G. Y. (2007). Toward using confidence intervals to compare correla</w:t>
      </w:r>
      <w:r>
        <w:t xml:space="preserve">tions. </w:t>
      </w:r>
      <w:r>
        <w:rPr>
          <w:i/>
          <w:iCs/>
        </w:rPr>
        <w:t>Psychological methods</w:t>
      </w:r>
      <w:r>
        <w:t>, 12(4):399.</w:t>
      </w:r>
    </w:p>
    <w:sectPr w:rsidR="00000000">
      <w:footerReference w:type="default" r:id="rId15"/>
      <w:pgSz w:w="12280" w:h="15900"/>
      <w:pgMar w:top="1445" w:right="1445" w:bottom="1445" w:left="1445"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135149">
      <w:r>
        <w:separator/>
      </w:r>
    </w:p>
  </w:endnote>
  <w:endnote w:type="continuationSeparator" w:id="0">
    <w:p w:rsidR="00000000" w:rsidRDefault="001351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Monaco">
    <w:panose1 w:val="02000500000000000000"/>
    <w:charset w:val="00"/>
    <w:family w:val="auto"/>
    <w:pitch w:val="variable"/>
    <w:sig w:usb0="00000003" w:usb1="00000000" w:usb2="00000000" w:usb3="00000000" w:csb0="00000001" w:csb1="00000000"/>
  </w:font>
  <w:font w:name="Menlo Bold">
    <w:panose1 w:val="020B0709030604020204"/>
    <w:charset w:val="00"/>
    <w:family w:val="auto"/>
    <w:pitch w:val="variable"/>
    <w:sig w:usb0="E60022FF" w:usb1="D000F1FB" w:usb2="00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135149">
    <w:pPr>
      <w:widowControl w:val="0"/>
      <w:jc w:val="center"/>
    </w:pPr>
    <w:r>
      <w:pgNum/>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135149">
      <w:r>
        <w:separator/>
      </w:r>
    </w:p>
  </w:footnote>
  <w:footnote w:type="continuationSeparator" w:id="0">
    <w:p w:rsidR="00000000" w:rsidRDefault="00135149">
      <w:r>
        <w:continuationSeparator/>
      </w:r>
    </w:p>
  </w:footnote>
  <w:footnote w:id="1">
    <w:p w:rsidR="00000000" w:rsidRDefault="00135149">
      <w:pPr>
        <w:pStyle w:val="FootnoteText"/>
        <w:widowControl/>
      </w:pPr>
      <w:r w:rsidRPr="00135149">
        <w:rPr>
          <w:rStyle w:val="FootnoteReference"/>
        </w:rPr>
        <w:t xml:space="preserve"> </w:t>
      </w:r>
      <w:r>
        <w:t>K. Joseph, M. Benigni, W. Wei, and K.M. Carley are with the Societal Comp</w:t>
      </w:r>
      <w:r>
        <w:t>uting Program, Carnegie Mellon University, Pittsburgh, PA, USA e-mail: kjoseph,mbenigni,weiwei,kathleen.carley@cs.cmu.edu.</w:t>
      </w:r>
    </w:p>
  </w:footnote>
  <w:footnote w:id="2">
    <w:p w:rsidR="00000000" w:rsidRDefault="00135149">
      <w:pPr>
        <w:pStyle w:val="FootnoteText"/>
        <w:widowControl/>
      </w:pPr>
      <w:r w:rsidRPr="00135149">
        <w:rPr>
          <w:rStyle w:val="FootnoteReference"/>
        </w:rPr>
        <w:t xml:space="preserve"> </w:t>
      </w:r>
      <w:r>
        <w:t>M. Bloom is at Georgia State University, GA, USA</w:t>
      </w:r>
    </w:p>
  </w:footnote>
  <w:footnote w:id="3">
    <w:p w:rsidR="00000000" w:rsidRDefault="00135149">
      <w:pPr>
        <w:pStyle w:val="FootnoteText"/>
        <w:widowControl/>
      </w:pPr>
      <w:r w:rsidRPr="00135149">
        <w:rPr>
          <w:rStyle w:val="FootnoteReference"/>
        </w:rPr>
        <w:footnoteRef/>
      </w:r>
      <w:r>
        <w:t xml:space="preserve"> Note that a term may comprise multiple words, e.g. “Michael J</w:t>
      </w:r>
      <w:r>
        <w:t>ordan” might be a single term for the category “sport”</w:t>
      </w:r>
    </w:p>
  </w:footnote>
  <w:footnote w:id="4">
    <w:p w:rsidR="00000000" w:rsidRDefault="00135149">
      <w:pPr>
        <w:pStyle w:val="FootnoteText"/>
        <w:widowControl/>
      </w:pPr>
      <w:r w:rsidRPr="00135149">
        <w:rPr>
          <w:rStyle w:val="FootnoteReference"/>
        </w:rPr>
        <w:footnoteRef/>
      </w:r>
      <w:r>
        <w:t xml:space="preserve"> </w:t>
      </w:r>
      <w:r>
        <w:rPr>
          <w:rFonts w:ascii="Courier New" w:hAnsi="Courier New" w:cs="Courier New"/>
        </w:rPr>
        <w:t>http://en.wikipedia.org/wiki/Most_common_words_in_English</w:t>
      </w:r>
    </w:p>
  </w:footnote>
  <w:footnote w:id="5">
    <w:p w:rsidR="00000000" w:rsidRDefault="00135149">
      <w:pPr>
        <w:pStyle w:val="FootnoteText"/>
        <w:widowControl/>
      </w:pPr>
      <w:r w:rsidRPr="00135149">
        <w:rPr>
          <w:rStyle w:val="FootnoteReference"/>
        </w:rPr>
        <w:footnoteRef/>
      </w:r>
      <w:r>
        <w:t xml:space="preserve"> For more detail on these biases, we refer the reader to the original article</w:t>
      </w:r>
    </w:p>
  </w:footnote>
  <w:footnote w:id="6">
    <w:p w:rsidR="00000000" w:rsidRDefault="00135149">
      <w:pPr>
        <w:pStyle w:val="FootnoteText"/>
        <w:widowControl/>
      </w:pPr>
      <w:r w:rsidRPr="00135149">
        <w:rPr>
          <w:rStyle w:val="FootnoteReference"/>
        </w:rPr>
        <w:footnoteRef/>
      </w:r>
      <w:r>
        <w:t xml:space="preserve"> at a level of </w:t>
      </w:r>
      <w:r>
        <w:t>α</w:t>
      </w:r>
      <w:r>
        <w:t>=.001 using the parametric test described in (Zou, 2007)</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savePreviewPicture/>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5149"/>
    <w:rsid w:val="001351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nhideWhenUsed="0"/>
    <w:lsdException w:name="toc 2" w:unhideWhenUsed="0"/>
    <w:lsdException w:name="toc 3" w:unhideWhenUsed="0"/>
    <w:lsdException w:name="toc 4" w:unhideWhenUsed="0"/>
    <w:lsdException w:name="toc 5" w:unhideWhenUsed="0"/>
    <w:lsdException w:name="toc 6" w:unhideWhenUsed="0"/>
    <w:lsdException w:name="toc 7" w:uiPriority="39"/>
    <w:lsdException w:name="toc 8" w:uiPriority="39"/>
    <w:lsdException w:name="toc 9" w:uiPriority="39"/>
    <w:lsdException w:name="footnote text" w:unhideWhenUsed="0"/>
    <w:lsdException w:name="header" w:unhideWhenUsed="0"/>
    <w:lsdException w:name="footer" w:unhideWhenUsed="0"/>
    <w:lsdException w:name="caption" w:semiHidden="0" w:unhideWhenUsed="0" w:qFormat="1"/>
    <w:lsdException w:name="endnote reference" w:unhideWhenUsed="0"/>
    <w:lsdException w:name="endnote text" w:unhideWhenUsed="0"/>
    <w:lsdException w:name="List" w:unhideWhenUsed="0"/>
    <w:lsdException w:name="Title" w:semiHidden="0" w:unhideWhenUsed="0" w:qFormat="1"/>
    <w:lsdException w:name="Default Paragraph Fon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adjustRightInd w:val="0"/>
      <w:jc w:val="both"/>
    </w:pPr>
    <w:rPr>
      <w:noProof/>
    </w:rPr>
  </w:style>
  <w:style w:type="paragraph" w:styleId="Heading1">
    <w:name w:val="heading 1"/>
    <w:basedOn w:val="Normal"/>
    <w:next w:val="Normal"/>
    <w:link w:val="Heading1Char"/>
    <w:uiPriority w:val="99"/>
    <w:qFormat/>
    <w:pPr>
      <w:keepNext/>
      <w:widowControl w:val="0"/>
      <w:spacing w:before="240" w:after="120"/>
      <w:jc w:val="left"/>
      <w:outlineLvl w:val="0"/>
    </w:pPr>
    <w:rPr>
      <w:b/>
      <w:bCs/>
      <w:sz w:val="40"/>
      <w:szCs w:val="40"/>
    </w:rPr>
  </w:style>
  <w:style w:type="paragraph" w:styleId="Heading2">
    <w:name w:val="heading 2"/>
    <w:basedOn w:val="Normal"/>
    <w:next w:val="Normal"/>
    <w:link w:val="Heading2Char"/>
    <w:uiPriority w:val="99"/>
    <w:qFormat/>
    <w:pPr>
      <w:keepNext/>
      <w:widowControl w:val="0"/>
      <w:spacing w:before="240" w:after="120"/>
      <w:jc w:val="left"/>
      <w:outlineLvl w:val="1"/>
    </w:pPr>
    <w:rPr>
      <w:b/>
      <w:bCs/>
      <w:sz w:val="32"/>
      <w:szCs w:val="32"/>
    </w:rPr>
  </w:style>
  <w:style w:type="paragraph" w:styleId="Heading3">
    <w:name w:val="heading 3"/>
    <w:basedOn w:val="Normal"/>
    <w:next w:val="Normal"/>
    <w:link w:val="Heading3Char"/>
    <w:uiPriority w:val="99"/>
    <w:qFormat/>
    <w:pPr>
      <w:keepNext/>
      <w:widowControl w:val="0"/>
      <w:spacing w:before="240" w:after="120"/>
      <w:jc w:val="left"/>
      <w:outlineLvl w:val="2"/>
    </w:pPr>
    <w:rPr>
      <w:b/>
      <w:bCs/>
      <w:sz w:val="32"/>
      <w:szCs w:val="32"/>
    </w:rPr>
  </w:style>
  <w:style w:type="paragraph" w:styleId="Heading4">
    <w:name w:val="heading 4"/>
    <w:basedOn w:val="Normal"/>
    <w:next w:val="Normal"/>
    <w:link w:val="Heading4Char"/>
    <w:uiPriority w:val="99"/>
    <w:qFormat/>
    <w:pPr>
      <w:keepNext/>
      <w:widowControl w:val="0"/>
      <w:spacing w:before="240" w:after="120"/>
      <w:jc w:val="left"/>
      <w:outlineLvl w:val="3"/>
    </w:pPr>
    <w:rPr>
      <w:b/>
      <w:bCs/>
      <w:sz w:val="24"/>
      <w:szCs w:val="24"/>
    </w:rPr>
  </w:style>
  <w:style w:type="paragraph" w:styleId="Heading5">
    <w:name w:val="heading 5"/>
    <w:basedOn w:val="Normal"/>
    <w:next w:val="Normal"/>
    <w:link w:val="Heading5Char"/>
    <w:uiPriority w:val="99"/>
    <w:qFormat/>
    <w:pPr>
      <w:keepNext/>
      <w:widowControl w:val="0"/>
      <w:spacing w:before="240" w:after="120"/>
      <w:jc w:val="left"/>
      <w:outlineLvl w:val="4"/>
    </w:pPr>
    <w:rPr>
      <w:b/>
      <w:bCs/>
      <w:sz w:val="24"/>
      <w:szCs w:val="24"/>
    </w:rPr>
  </w:style>
  <w:style w:type="paragraph" w:styleId="Heading6">
    <w:name w:val="heading 6"/>
    <w:basedOn w:val="Normal"/>
    <w:next w:val="Normal"/>
    <w:link w:val="Heading6Char"/>
    <w:uiPriority w:val="99"/>
    <w:qFormat/>
    <w:pPr>
      <w:keepNext/>
      <w:widowControl w:val="0"/>
      <w:spacing w:before="240" w:after="120"/>
      <w:jc w:val="left"/>
      <w:outlineLvl w:val="5"/>
    </w:pPr>
    <w:rPr>
      <w:b/>
      <w:bCs/>
      <w:sz w:val="24"/>
      <w:szCs w:val="24"/>
    </w:rPr>
  </w:style>
  <w:style w:type="character" w:default="1" w:styleId="DefaultParagraphFont">
    <w:name w:val="Default Paragraph Font"/>
    <w:uiPriority w:val="99"/>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
    <w:name w:val="Part"/>
    <w:basedOn w:val="Normal"/>
    <w:next w:val="Normal"/>
    <w:uiPriority w:val="99"/>
    <w:pPr>
      <w:keepNext/>
      <w:widowControl w:val="0"/>
      <w:spacing w:before="240" w:after="120"/>
      <w:jc w:val="center"/>
    </w:pPr>
    <w:rPr>
      <w:b/>
      <w:bCs/>
      <w:sz w:val="40"/>
      <w:szCs w:val="40"/>
    </w:rPr>
  </w:style>
  <w:style w:type="character" w:customStyle="1" w:styleId="Heading1Char">
    <w:name w:val="Heading 1 Char"/>
    <w:basedOn w:val="DefaultParagraphFont"/>
    <w:link w:val="Heading1"/>
    <w:uiPriority w:val="9"/>
    <w:rPr>
      <w:rFonts w:asciiTheme="majorHAnsi" w:eastAsiaTheme="majorEastAsia" w:hAnsiTheme="majorHAnsi" w:cstheme="majorBidi"/>
      <w:b/>
      <w:bCs/>
      <w:noProof/>
      <w:kern w:val="32"/>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i/>
      <w:iCs/>
      <w:noProof/>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noProof/>
      <w:sz w:val="26"/>
      <w:szCs w:val="26"/>
    </w:rPr>
  </w:style>
  <w:style w:type="character" w:customStyle="1" w:styleId="Heading4Char">
    <w:name w:val="Heading 4 Char"/>
    <w:basedOn w:val="DefaultParagraphFont"/>
    <w:link w:val="Heading4"/>
    <w:uiPriority w:val="9"/>
    <w:semiHidden/>
    <w:rPr>
      <w:rFonts w:asciiTheme="minorHAnsi" w:eastAsiaTheme="minorEastAsia" w:hAnsiTheme="minorHAnsi" w:cstheme="minorBidi"/>
      <w:b/>
      <w:bCs/>
      <w:noProof/>
      <w:sz w:val="28"/>
      <w:szCs w:val="28"/>
    </w:rPr>
  </w:style>
  <w:style w:type="character" w:customStyle="1" w:styleId="Heading5Char">
    <w:name w:val="Heading 5 Char"/>
    <w:basedOn w:val="DefaultParagraphFont"/>
    <w:link w:val="Heading5"/>
    <w:uiPriority w:val="9"/>
    <w:semiHidden/>
    <w:rPr>
      <w:rFonts w:asciiTheme="minorHAnsi" w:eastAsiaTheme="minorEastAsia" w:hAnsiTheme="minorHAnsi" w:cstheme="minorBidi"/>
      <w:b/>
      <w:bCs/>
      <w:i/>
      <w:iCs/>
      <w:noProof/>
      <w:sz w:val="26"/>
      <w:szCs w:val="26"/>
    </w:rPr>
  </w:style>
  <w:style w:type="character" w:customStyle="1" w:styleId="Heading6Char">
    <w:name w:val="Heading 6 Char"/>
    <w:basedOn w:val="DefaultParagraphFont"/>
    <w:link w:val="Heading6"/>
    <w:uiPriority w:val="9"/>
    <w:semiHidden/>
    <w:rPr>
      <w:rFonts w:asciiTheme="minorHAnsi" w:eastAsiaTheme="minorEastAsia" w:hAnsiTheme="minorHAnsi" w:cstheme="minorBidi"/>
      <w:b/>
      <w:bCs/>
      <w:noProof/>
      <w:sz w:val="22"/>
      <w:szCs w:val="22"/>
    </w:rPr>
  </w:style>
  <w:style w:type="paragraph" w:customStyle="1" w:styleId="rightpar">
    <w:name w:val="rightpar"/>
    <w:basedOn w:val="Normal"/>
    <w:uiPriority w:val="99"/>
    <w:pPr>
      <w:keepLines/>
      <w:spacing w:before="120" w:after="120"/>
      <w:jc w:val="right"/>
    </w:pPr>
    <w:rPr>
      <w:sz w:val="24"/>
      <w:szCs w:val="24"/>
    </w:rPr>
  </w:style>
  <w:style w:type="paragraph" w:customStyle="1" w:styleId="centerpar">
    <w:name w:val="centerpar"/>
    <w:basedOn w:val="Normal"/>
    <w:uiPriority w:val="99"/>
    <w:pPr>
      <w:keepLines/>
      <w:spacing w:before="120" w:after="120"/>
      <w:jc w:val="center"/>
    </w:pPr>
    <w:rPr>
      <w:sz w:val="24"/>
      <w:szCs w:val="24"/>
    </w:rPr>
  </w:style>
  <w:style w:type="paragraph" w:customStyle="1" w:styleId="equation">
    <w:name w:val="equation"/>
    <w:basedOn w:val="Normal"/>
    <w:next w:val="Normal"/>
    <w:uiPriority w:val="99"/>
    <w:pPr>
      <w:keepLines/>
      <w:spacing w:before="120" w:after="120"/>
      <w:jc w:val="left"/>
    </w:pPr>
    <w:rPr>
      <w:sz w:val="24"/>
      <w:szCs w:val="24"/>
    </w:rPr>
  </w:style>
  <w:style w:type="paragraph" w:customStyle="1" w:styleId="equationNum">
    <w:name w:val="equationNum"/>
    <w:basedOn w:val="Normal"/>
    <w:next w:val="Normal"/>
    <w:uiPriority w:val="99"/>
    <w:pPr>
      <w:keepLines/>
      <w:spacing w:before="120" w:after="120"/>
      <w:jc w:val="left"/>
    </w:pPr>
    <w:rPr>
      <w:sz w:val="24"/>
      <w:szCs w:val="24"/>
    </w:rPr>
  </w:style>
  <w:style w:type="paragraph" w:customStyle="1" w:styleId="equationAlign">
    <w:name w:val="equationAlign"/>
    <w:basedOn w:val="Normal"/>
    <w:next w:val="Normal"/>
    <w:uiPriority w:val="99"/>
    <w:pPr>
      <w:keepLines/>
      <w:spacing w:before="120" w:after="120"/>
      <w:jc w:val="left"/>
    </w:pPr>
    <w:rPr>
      <w:sz w:val="24"/>
      <w:szCs w:val="24"/>
    </w:rPr>
  </w:style>
  <w:style w:type="paragraph" w:customStyle="1" w:styleId="equationAlignNum">
    <w:name w:val="equationAlignNum"/>
    <w:basedOn w:val="Normal"/>
    <w:next w:val="Normal"/>
    <w:uiPriority w:val="99"/>
    <w:pPr>
      <w:keepLines/>
      <w:spacing w:before="120" w:after="120"/>
      <w:jc w:val="left"/>
    </w:pPr>
    <w:rPr>
      <w:sz w:val="24"/>
      <w:szCs w:val="24"/>
    </w:rPr>
  </w:style>
  <w:style w:type="paragraph" w:customStyle="1" w:styleId="equationArray">
    <w:name w:val="equationArray"/>
    <w:basedOn w:val="Normal"/>
    <w:next w:val="Normal"/>
    <w:uiPriority w:val="99"/>
    <w:pPr>
      <w:keepLines/>
      <w:spacing w:before="120" w:after="120"/>
      <w:jc w:val="left"/>
    </w:pPr>
    <w:rPr>
      <w:sz w:val="24"/>
      <w:szCs w:val="24"/>
    </w:rPr>
  </w:style>
  <w:style w:type="paragraph" w:customStyle="1" w:styleId="equationArrayNum">
    <w:name w:val="equationArrayNum"/>
    <w:basedOn w:val="Normal"/>
    <w:next w:val="Normal"/>
    <w:uiPriority w:val="99"/>
    <w:pPr>
      <w:keepLines/>
      <w:spacing w:before="120" w:after="120"/>
      <w:jc w:val="left"/>
    </w:pPr>
    <w:rPr>
      <w:sz w:val="24"/>
      <w:szCs w:val="24"/>
    </w:rPr>
  </w:style>
  <w:style w:type="paragraph" w:customStyle="1" w:styleId="theorem">
    <w:name w:val="theorem"/>
    <w:basedOn w:val="Normal"/>
    <w:next w:val="Normal"/>
    <w:uiPriority w:val="99"/>
    <w:pPr>
      <w:keepLines/>
      <w:spacing w:before="120" w:after="120"/>
      <w:jc w:val="left"/>
    </w:pPr>
  </w:style>
  <w:style w:type="paragraph" w:customStyle="1" w:styleId="bitmapCenter">
    <w:name w:val="bitmapCenter"/>
    <w:basedOn w:val="Normal"/>
    <w:next w:val="Normal"/>
    <w:uiPriority w:val="99"/>
    <w:pPr>
      <w:keepLines/>
      <w:spacing w:before="120" w:after="120"/>
      <w:jc w:val="left"/>
    </w:pPr>
    <w:rPr>
      <w:sz w:val="24"/>
      <w:szCs w:val="24"/>
    </w:rPr>
  </w:style>
  <w:style w:type="paragraph" w:styleId="Title">
    <w:name w:val="Title"/>
    <w:basedOn w:val="Normal"/>
    <w:next w:val="author"/>
    <w:link w:val="TitleChar"/>
    <w:uiPriority w:val="99"/>
    <w:qFormat/>
    <w:pPr>
      <w:widowControl w:val="0"/>
      <w:spacing w:before="240" w:after="240"/>
      <w:jc w:val="center"/>
    </w:pPr>
    <w:rPr>
      <w:b/>
      <w:bCs/>
      <w:sz w:val="36"/>
      <w:szCs w:val="36"/>
    </w:rPr>
  </w:style>
  <w:style w:type="character" w:customStyle="1" w:styleId="TitleChar">
    <w:name w:val="Title Char"/>
    <w:basedOn w:val="DefaultParagraphFont"/>
    <w:link w:val="Title"/>
    <w:uiPriority w:val="10"/>
    <w:rPr>
      <w:rFonts w:asciiTheme="majorHAnsi" w:eastAsiaTheme="majorEastAsia" w:hAnsiTheme="majorHAnsi" w:cstheme="majorBidi"/>
      <w:b/>
      <w:bCs/>
      <w:noProof/>
      <w:kern w:val="28"/>
      <w:sz w:val="32"/>
      <w:szCs w:val="32"/>
    </w:rPr>
  </w:style>
  <w:style w:type="paragraph" w:customStyle="1" w:styleId="author">
    <w:name w:val="author"/>
    <w:basedOn w:val="Normal"/>
    <w:next w:val="Normal"/>
    <w:uiPriority w:val="99"/>
    <w:pPr>
      <w:widowControl w:val="0"/>
      <w:spacing w:after="120"/>
      <w:jc w:val="center"/>
    </w:pPr>
  </w:style>
  <w:style w:type="paragraph" w:styleId="Footer">
    <w:name w:val="footer"/>
    <w:basedOn w:val="Normal"/>
    <w:link w:val="FooterChar"/>
    <w:uiPriority w:val="99"/>
    <w:pPr>
      <w:widowControl w:val="0"/>
      <w:tabs>
        <w:tab w:val="center" w:pos="4536"/>
        <w:tab w:val="right" w:pos="9072"/>
      </w:tabs>
      <w:jc w:val="left"/>
    </w:pPr>
  </w:style>
  <w:style w:type="character" w:customStyle="1" w:styleId="FooterChar">
    <w:name w:val="Footer Char"/>
    <w:basedOn w:val="DefaultParagraphFont"/>
    <w:link w:val="Footer"/>
    <w:uiPriority w:val="99"/>
    <w:semiHidden/>
    <w:rPr>
      <w:noProof/>
    </w:rPr>
  </w:style>
  <w:style w:type="paragraph" w:styleId="Header">
    <w:name w:val="header"/>
    <w:basedOn w:val="Normal"/>
    <w:link w:val="HeaderChar"/>
    <w:uiPriority w:val="99"/>
    <w:pPr>
      <w:widowControl w:val="0"/>
      <w:tabs>
        <w:tab w:val="center" w:pos="4536"/>
        <w:tab w:val="right" w:pos="9072"/>
      </w:tabs>
      <w:jc w:val="left"/>
    </w:pPr>
  </w:style>
  <w:style w:type="character" w:customStyle="1" w:styleId="HeaderChar">
    <w:name w:val="Header Char"/>
    <w:basedOn w:val="DefaultParagraphFont"/>
    <w:link w:val="Header"/>
    <w:uiPriority w:val="99"/>
    <w:semiHidden/>
    <w:rPr>
      <w:noProof/>
    </w:rPr>
  </w:style>
  <w:style w:type="paragraph" w:styleId="Caption">
    <w:name w:val="caption"/>
    <w:basedOn w:val="Normal"/>
    <w:next w:val="Normal"/>
    <w:uiPriority w:val="99"/>
    <w:qFormat/>
    <w:pPr>
      <w:keepLines/>
      <w:spacing w:before="120" w:after="120"/>
      <w:jc w:val="left"/>
    </w:pPr>
    <w:rPr>
      <w:sz w:val="24"/>
      <w:szCs w:val="24"/>
    </w:rPr>
  </w:style>
  <w:style w:type="paragraph" w:customStyle="1" w:styleId="Figure">
    <w:name w:val="Figure"/>
    <w:basedOn w:val="Normal"/>
    <w:next w:val="Normal"/>
    <w:uiPriority w:val="99"/>
    <w:pPr>
      <w:keepLines/>
      <w:spacing w:before="120"/>
      <w:jc w:val="center"/>
    </w:pPr>
  </w:style>
  <w:style w:type="paragraph" w:customStyle="1" w:styleId="Table">
    <w:name w:val="Table"/>
    <w:basedOn w:val="Normal"/>
    <w:uiPriority w:val="99"/>
    <w:pPr>
      <w:keepLines/>
      <w:spacing w:before="120"/>
      <w:jc w:val="center"/>
    </w:pPr>
  </w:style>
  <w:style w:type="paragraph" w:customStyle="1" w:styleId="Tabular">
    <w:name w:val="Tabular"/>
    <w:basedOn w:val="Normal"/>
    <w:uiPriority w:val="99"/>
    <w:pPr>
      <w:keepLines/>
      <w:spacing w:before="120"/>
      <w:jc w:val="center"/>
    </w:pPr>
  </w:style>
  <w:style w:type="paragraph" w:customStyle="1" w:styleId="Tabbing">
    <w:name w:val="Tabbing"/>
    <w:basedOn w:val="Normal"/>
    <w:uiPriority w:val="99"/>
    <w:pPr>
      <w:keepLines/>
      <w:spacing w:before="120"/>
      <w:jc w:val="center"/>
    </w:pPr>
  </w:style>
  <w:style w:type="paragraph" w:styleId="Quote">
    <w:name w:val="Quote"/>
    <w:basedOn w:val="Normal"/>
    <w:link w:val="QuoteChar"/>
    <w:uiPriority w:val="99"/>
    <w:qFormat/>
    <w:pPr>
      <w:ind w:left="1024" w:right="1024" w:firstLine="340"/>
    </w:pPr>
  </w:style>
  <w:style w:type="character" w:customStyle="1" w:styleId="QuoteChar">
    <w:name w:val="Quote Char"/>
    <w:basedOn w:val="DefaultParagraphFont"/>
    <w:link w:val="Quote"/>
    <w:uiPriority w:val="29"/>
    <w:rPr>
      <w:i/>
      <w:iCs/>
      <w:noProof/>
      <w:color w:val="000000" w:themeColor="text1"/>
    </w:rPr>
  </w:style>
  <w:style w:type="paragraph" w:customStyle="1" w:styleId="verbatim">
    <w:name w:val="verbatim"/>
    <w:uiPriority w:val="99"/>
    <w:pPr>
      <w:autoSpaceDE w:val="0"/>
      <w:autoSpaceDN w:val="0"/>
      <w:adjustRightInd w:val="0"/>
    </w:pPr>
    <w:rPr>
      <w:rFonts w:ascii="Courier New" w:hAnsi="Courier New" w:cs="Courier New"/>
      <w:noProof/>
    </w:rPr>
  </w:style>
  <w:style w:type="paragraph" w:styleId="List">
    <w:name w:val="List"/>
    <w:basedOn w:val="Normal"/>
    <w:uiPriority w:val="99"/>
    <w:pPr>
      <w:tabs>
        <w:tab w:val="left" w:pos="283"/>
      </w:tabs>
      <w:spacing w:after="120"/>
      <w:ind w:left="283" w:hanging="283"/>
      <w:jc w:val="left"/>
    </w:pPr>
  </w:style>
  <w:style w:type="paragraph" w:customStyle="1" w:styleId="List1">
    <w:name w:val="List 1"/>
    <w:basedOn w:val="Normal"/>
    <w:uiPriority w:val="99"/>
    <w:pPr>
      <w:tabs>
        <w:tab w:val="left" w:pos="283"/>
      </w:tabs>
      <w:spacing w:after="120"/>
      <w:ind w:left="283" w:hanging="283"/>
      <w:jc w:val="left"/>
    </w:pPr>
  </w:style>
  <w:style w:type="paragraph" w:customStyle="1" w:styleId="latexpicture">
    <w:name w:val="latex picture"/>
    <w:basedOn w:val="Normal"/>
    <w:next w:val="Normal"/>
    <w:uiPriority w:val="99"/>
    <w:pPr>
      <w:keepLines/>
      <w:spacing w:before="120" w:after="120"/>
      <w:jc w:val="center"/>
    </w:pPr>
    <w:rPr>
      <w:sz w:val="24"/>
      <w:szCs w:val="24"/>
    </w:rPr>
  </w:style>
  <w:style w:type="paragraph" w:customStyle="1" w:styleId="subfigure">
    <w:name w:val="subfigure"/>
    <w:basedOn w:val="Normal"/>
    <w:next w:val="Normal"/>
    <w:uiPriority w:val="99"/>
    <w:pPr>
      <w:keepLines/>
      <w:spacing w:before="120" w:after="120"/>
      <w:jc w:val="center"/>
    </w:pPr>
    <w:rPr>
      <w:sz w:val="24"/>
      <w:szCs w:val="24"/>
    </w:rPr>
  </w:style>
  <w:style w:type="paragraph" w:customStyle="1" w:styleId="bibheading">
    <w:name w:val="bibheading"/>
    <w:basedOn w:val="Normal"/>
    <w:next w:val="bibitem"/>
    <w:uiPriority w:val="99"/>
    <w:pPr>
      <w:keepNext/>
      <w:widowControl w:val="0"/>
      <w:spacing w:before="240" w:after="120"/>
      <w:jc w:val="left"/>
    </w:pPr>
    <w:rPr>
      <w:b/>
      <w:bCs/>
      <w:sz w:val="32"/>
      <w:szCs w:val="32"/>
    </w:rPr>
  </w:style>
  <w:style w:type="paragraph" w:customStyle="1" w:styleId="bibitem">
    <w:name w:val="bibitem"/>
    <w:basedOn w:val="Normal"/>
    <w:uiPriority w:val="99"/>
    <w:pPr>
      <w:widowControl w:val="0"/>
      <w:ind w:left="567" w:hanging="567"/>
      <w:jc w:val="left"/>
    </w:pPr>
  </w:style>
  <w:style w:type="paragraph" w:customStyle="1" w:styleId="endnotes">
    <w:name w:val="endnotes"/>
    <w:basedOn w:val="Normal"/>
    <w:uiPriority w:val="99"/>
    <w:pPr>
      <w:tabs>
        <w:tab w:val="left" w:pos="283"/>
      </w:tabs>
      <w:spacing w:after="120"/>
      <w:ind w:left="283" w:hanging="283"/>
      <w:jc w:val="left"/>
    </w:pPr>
  </w:style>
  <w:style w:type="paragraph" w:styleId="FootnoteText">
    <w:name w:val="footnote text"/>
    <w:basedOn w:val="Normal"/>
    <w:link w:val="FootnoteTextChar"/>
    <w:uiPriority w:val="99"/>
    <w:pPr>
      <w:widowControl w:val="0"/>
      <w:ind w:left="397" w:hanging="113"/>
      <w:jc w:val="left"/>
    </w:pPr>
  </w:style>
  <w:style w:type="character" w:customStyle="1" w:styleId="FootnoteTextChar">
    <w:name w:val="Footnote Text Char"/>
    <w:basedOn w:val="DefaultParagraphFont"/>
    <w:link w:val="FootnoteText"/>
    <w:uiPriority w:val="99"/>
    <w:semiHidden/>
    <w:rPr>
      <w:noProof/>
      <w:sz w:val="24"/>
      <w:szCs w:val="24"/>
    </w:rPr>
  </w:style>
  <w:style w:type="paragraph" w:styleId="EndnoteText">
    <w:name w:val="endnote text"/>
    <w:basedOn w:val="Normal"/>
    <w:link w:val="EndnoteTextChar"/>
    <w:uiPriority w:val="99"/>
    <w:pPr>
      <w:widowControl w:val="0"/>
      <w:ind w:left="454" w:hanging="170"/>
    </w:pPr>
  </w:style>
  <w:style w:type="character" w:customStyle="1" w:styleId="EndnoteTextChar">
    <w:name w:val="Endnote Text Char"/>
    <w:basedOn w:val="DefaultParagraphFont"/>
    <w:link w:val="EndnoteText"/>
    <w:uiPriority w:val="99"/>
    <w:semiHidden/>
    <w:rPr>
      <w:noProof/>
      <w:sz w:val="24"/>
      <w:szCs w:val="24"/>
    </w:rPr>
  </w:style>
  <w:style w:type="character" w:styleId="FootnoteReference">
    <w:name w:val="footnote reference"/>
    <w:basedOn w:val="DefaultParagraphFont"/>
    <w:uiPriority w:val="99"/>
    <w:semiHidden/>
    <w:unhideWhenUsed/>
    <w:rPr>
      <w:vertAlign w:val="superscript"/>
    </w:rPr>
  </w:style>
  <w:style w:type="character" w:styleId="EndnoteReference">
    <w:name w:val="endnote reference"/>
    <w:basedOn w:val="DefaultParagraphFont"/>
    <w:uiPriority w:val="99"/>
    <w:rPr>
      <w:vertAlign w:val="superscript"/>
    </w:rPr>
  </w:style>
  <w:style w:type="paragraph" w:customStyle="1" w:styleId="acronym">
    <w:name w:val="acronym"/>
    <w:basedOn w:val="Normal"/>
    <w:uiPriority w:val="99"/>
    <w:pPr>
      <w:keepNext/>
      <w:widowControl w:val="0"/>
      <w:spacing w:before="60" w:after="60"/>
      <w:jc w:val="left"/>
    </w:pPr>
  </w:style>
  <w:style w:type="paragraph" w:customStyle="1" w:styleId="abstracttitle">
    <w:name w:val="abstract title"/>
    <w:basedOn w:val="Normal"/>
    <w:next w:val="abstract"/>
    <w:uiPriority w:val="99"/>
    <w:pPr>
      <w:widowControl w:val="0"/>
      <w:spacing w:after="120"/>
      <w:jc w:val="center"/>
    </w:pPr>
    <w:rPr>
      <w:b/>
      <w:bCs/>
    </w:rPr>
  </w:style>
  <w:style w:type="paragraph" w:customStyle="1" w:styleId="abstract">
    <w:name w:val="abstract"/>
    <w:basedOn w:val="Normal"/>
    <w:next w:val="Normal"/>
    <w:uiPriority w:val="99"/>
    <w:pPr>
      <w:ind w:left="1024" w:right="1024" w:firstLine="340"/>
    </w:pPr>
  </w:style>
  <w:style w:type="paragraph" w:customStyle="1" w:styleId="contentsheading">
    <w:name w:val="contents_heading"/>
    <w:basedOn w:val="Normal"/>
    <w:next w:val="Normal"/>
    <w:uiPriority w:val="99"/>
    <w:pPr>
      <w:keepNext/>
      <w:widowControl w:val="0"/>
      <w:spacing w:before="240" w:after="120"/>
      <w:jc w:val="left"/>
    </w:pPr>
    <w:rPr>
      <w:b/>
      <w:bCs/>
    </w:rPr>
  </w:style>
  <w:style w:type="paragraph" w:styleId="TOC1">
    <w:name w:val="toc 1"/>
    <w:basedOn w:val="Normal"/>
    <w:next w:val="TOC2"/>
    <w:uiPriority w:val="99"/>
    <w:pPr>
      <w:keepNext/>
      <w:widowControl w:val="0"/>
      <w:tabs>
        <w:tab w:val="right" w:leader="dot" w:pos="8222"/>
      </w:tabs>
      <w:spacing w:before="240" w:after="60"/>
      <w:ind w:left="425"/>
      <w:jc w:val="left"/>
    </w:pPr>
    <w:rPr>
      <w:b/>
      <w:bCs/>
    </w:rPr>
  </w:style>
  <w:style w:type="paragraph" w:styleId="TOC2">
    <w:name w:val="toc 2"/>
    <w:basedOn w:val="Normal"/>
    <w:next w:val="TOC3"/>
    <w:uiPriority w:val="99"/>
    <w:pPr>
      <w:keepNext/>
      <w:widowControl w:val="0"/>
      <w:tabs>
        <w:tab w:val="right" w:leader="dot" w:pos="8222"/>
      </w:tabs>
      <w:spacing w:before="60" w:after="60"/>
      <w:ind w:left="512"/>
      <w:jc w:val="left"/>
    </w:pPr>
  </w:style>
  <w:style w:type="paragraph" w:styleId="TOC3">
    <w:name w:val="toc 3"/>
    <w:basedOn w:val="Normal"/>
    <w:next w:val="TOC4"/>
    <w:uiPriority w:val="99"/>
    <w:pPr>
      <w:keepNext/>
      <w:widowControl w:val="0"/>
      <w:tabs>
        <w:tab w:val="right" w:leader="dot" w:pos="8222"/>
      </w:tabs>
      <w:spacing w:before="60" w:after="60"/>
      <w:ind w:left="1024"/>
      <w:jc w:val="left"/>
    </w:pPr>
  </w:style>
  <w:style w:type="paragraph" w:styleId="TOC4">
    <w:name w:val="toc 4"/>
    <w:basedOn w:val="Normal"/>
    <w:next w:val="TOC5"/>
    <w:uiPriority w:val="99"/>
    <w:pPr>
      <w:keepNext/>
      <w:widowControl w:val="0"/>
      <w:tabs>
        <w:tab w:val="right" w:leader="dot" w:pos="8222"/>
      </w:tabs>
      <w:spacing w:before="60" w:after="60"/>
      <w:ind w:left="1536"/>
      <w:jc w:val="left"/>
    </w:pPr>
  </w:style>
  <w:style w:type="paragraph" w:styleId="TOC5">
    <w:name w:val="toc 5"/>
    <w:basedOn w:val="Normal"/>
    <w:next w:val="TOC6"/>
    <w:uiPriority w:val="99"/>
    <w:pPr>
      <w:keepNext/>
      <w:widowControl w:val="0"/>
      <w:tabs>
        <w:tab w:val="right" w:leader="dot" w:pos="8222"/>
      </w:tabs>
      <w:spacing w:before="60" w:after="60"/>
      <w:ind w:left="2048"/>
      <w:jc w:val="left"/>
    </w:pPr>
  </w:style>
  <w:style w:type="paragraph" w:styleId="TOC6">
    <w:name w:val="toc 6"/>
    <w:basedOn w:val="Normal"/>
    <w:uiPriority w:val="99"/>
    <w:pPr>
      <w:keepNext/>
      <w:widowControl w:val="0"/>
      <w:tabs>
        <w:tab w:val="right" w:leader="dot" w:pos="8222"/>
      </w:tabs>
      <w:spacing w:before="60" w:after="60"/>
      <w:ind w:left="2560"/>
      <w:jc w:val="left"/>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nhideWhenUsed="0"/>
    <w:lsdException w:name="toc 2" w:unhideWhenUsed="0"/>
    <w:lsdException w:name="toc 3" w:unhideWhenUsed="0"/>
    <w:lsdException w:name="toc 4" w:unhideWhenUsed="0"/>
    <w:lsdException w:name="toc 5" w:unhideWhenUsed="0"/>
    <w:lsdException w:name="toc 6" w:unhideWhenUsed="0"/>
    <w:lsdException w:name="toc 7" w:uiPriority="39"/>
    <w:lsdException w:name="toc 8" w:uiPriority="39"/>
    <w:lsdException w:name="toc 9" w:uiPriority="39"/>
    <w:lsdException w:name="footnote text" w:unhideWhenUsed="0"/>
    <w:lsdException w:name="header" w:unhideWhenUsed="0"/>
    <w:lsdException w:name="footer" w:unhideWhenUsed="0"/>
    <w:lsdException w:name="caption" w:semiHidden="0" w:unhideWhenUsed="0" w:qFormat="1"/>
    <w:lsdException w:name="endnote reference" w:unhideWhenUsed="0"/>
    <w:lsdException w:name="endnote text" w:unhideWhenUsed="0"/>
    <w:lsdException w:name="List" w:unhideWhenUsed="0"/>
    <w:lsdException w:name="Title" w:semiHidden="0" w:unhideWhenUsed="0" w:qFormat="1"/>
    <w:lsdException w:name="Default Paragraph Fon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adjustRightInd w:val="0"/>
      <w:jc w:val="both"/>
    </w:pPr>
    <w:rPr>
      <w:noProof/>
    </w:rPr>
  </w:style>
  <w:style w:type="paragraph" w:styleId="Heading1">
    <w:name w:val="heading 1"/>
    <w:basedOn w:val="Normal"/>
    <w:next w:val="Normal"/>
    <w:link w:val="Heading1Char"/>
    <w:uiPriority w:val="99"/>
    <w:qFormat/>
    <w:pPr>
      <w:keepNext/>
      <w:widowControl w:val="0"/>
      <w:spacing w:before="240" w:after="120"/>
      <w:jc w:val="left"/>
      <w:outlineLvl w:val="0"/>
    </w:pPr>
    <w:rPr>
      <w:b/>
      <w:bCs/>
      <w:sz w:val="40"/>
      <w:szCs w:val="40"/>
    </w:rPr>
  </w:style>
  <w:style w:type="paragraph" w:styleId="Heading2">
    <w:name w:val="heading 2"/>
    <w:basedOn w:val="Normal"/>
    <w:next w:val="Normal"/>
    <w:link w:val="Heading2Char"/>
    <w:uiPriority w:val="99"/>
    <w:qFormat/>
    <w:pPr>
      <w:keepNext/>
      <w:widowControl w:val="0"/>
      <w:spacing w:before="240" w:after="120"/>
      <w:jc w:val="left"/>
      <w:outlineLvl w:val="1"/>
    </w:pPr>
    <w:rPr>
      <w:b/>
      <w:bCs/>
      <w:sz w:val="32"/>
      <w:szCs w:val="32"/>
    </w:rPr>
  </w:style>
  <w:style w:type="paragraph" w:styleId="Heading3">
    <w:name w:val="heading 3"/>
    <w:basedOn w:val="Normal"/>
    <w:next w:val="Normal"/>
    <w:link w:val="Heading3Char"/>
    <w:uiPriority w:val="99"/>
    <w:qFormat/>
    <w:pPr>
      <w:keepNext/>
      <w:widowControl w:val="0"/>
      <w:spacing w:before="240" w:after="120"/>
      <w:jc w:val="left"/>
      <w:outlineLvl w:val="2"/>
    </w:pPr>
    <w:rPr>
      <w:b/>
      <w:bCs/>
      <w:sz w:val="32"/>
      <w:szCs w:val="32"/>
    </w:rPr>
  </w:style>
  <w:style w:type="paragraph" w:styleId="Heading4">
    <w:name w:val="heading 4"/>
    <w:basedOn w:val="Normal"/>
    <w:next w:val="Normal"/>
    <w:link w:val="Heading4Char"/>
    <w:uiPriority w:val="99"/>
    <w:qFormat/>
    <w:pPr>
      <w:keepNext/>
      <w:widowControl w:val="0"/>
      <w:spacing w:before="240" w:after="120"/>
      <w:jc w:val="left"/>
      <w:outlineLvl w:val="3"/>
    </w:pPr>
    <w:rPr>
      <w:b/>
      <w:bCs/>
      <w:sz w:val="24"/>
      <w:szCs w:val="24"/>
    </w:rPr>
  </w:style>
  <w:style w:type="paragraph" w:styleId="Heading5">
    <w:name w:val="heading 5"/>
    <w:basedOn w:val="Normal"/>
    <w:next w:val="Normal"/>
    <w:link w:val="Heading5Char"/>
    <w:uiPriority w:val="99"/>
    <w:qFormat/>
    <w:pPr>
      <w:keepNext/>
      <w:widowControl w:val="0"/>
      <w:spacing w:before="240" w:after="120"/>
      <w:jc w:val="left"/>
      <w:outlineLvl w:val="4"/>
    </w:pPr>
    <w:rPr>
      <w:b/>
      <w:bCs/>
      <w:sz w:val="24"/>
      <w:szCs w:val="24"/>
    </w:rPr>
  </w:style>
  <w:style w:type="paragraph" w:styleId="Heading6">
    <w:name w:val="heading 6"/>
    <w:basedOn w:val="Normal"/>
    <w:next w:val="Normal"/>
    <w:link w:val="Heading6Char"/>
    <w:uiPriority w:val="99"/>
    <w:qFormat/>
    <w:pPr>
      <w:keepNext/>
      <w:widowControl w:val="0"/>
      <w:spacing w:before="240" w:after="120"/>
      <w:jc w:val="left"/>
      <w:outlineLvl w:val="5"/>
    </w:pPr>
    <w:rPr>
      <w:b/>
      <w:bCs/>
      <w:sz w:val="24"/>
      <w:szCs w:val="24"/>
    </w:rPr>
  </w:style>
  <w:style w:type="character" w:default="1" w:styleId="DefaultParagraphFont">
    <w:name w:val="Default Paragraph Font"/>
    <w:uiPriority w:val="99"/>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
    <w:name w:val="Part"/>
    <w:basedOn w:val="Normal"/>
    <w:next w:val="Normal"/>
    <w:uiPriority w:val="99"/>
    <w:pPr>
      <w:keepNext/>
      <w:widowControl w:val="0"/>
      <w:spacing w:before="240" w:after="120"/>
      <w:jc w:val="center"/>
    </w:pPr>
    <w:rPr>
      <w:b/>
      <w:bCs/>
      <w:sz w:val="40"/>
      <w:szCs w:val="40"/>
    </w:rPr>
  </w:style>
  <w:style w:type="character" w:customStyle="1" w:styleId="Heading1Char">
    <w:name w:val="Heading 1 Char"/>
    <w:basedOn w:val="DefaultParagraphFont"/>
    <w:link w:val="Heading1"/>
    <w:uiPriority w:val="9"/>
    <w:rPr>
      <w:rFonts w:asciiTheme="majorHAnsi" w:eastAsiaTheme="majorEastAsia" w:hAnsiTheme="majorHAnsi" w:cstheme="majorBidi"/>
      <w:b/>
      <w:bCs/>
      <w:noProof/>
      <w:kern w:val="32"/>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i/>
      <w:iCs/>
      <w:noProof/>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noProof/>
      <w:sz w:val="26"/>
      <w:szCs w:val="26"/>
    </w:rPr>
  </w:style>
  <w:style w:type="character" w:customStyle="1" w:styleId="Heading4Char">
    <w:name w:val="Heading 4 Char"/>
    <w:basedOn w:val="DefaultParagraphFont"/>
    <w:link w:val="Heading4"/>
    <w:uiPriority w:val="9"/>
    <w:semiHidden/>
    <w:rPr>
      <w:rFonts w:asciiTheme="minorHAnsi" w:eastAsiaTheme="minorEastAsia" w:hAnsiTheme="minorHAnsi" w:cstheme="minorBidi"/>
      <w:b/>
      <w:bCs/>
      <w:noProof/>
      <w:sz w:val="28"/>
      <w:szCs w:val="28"/>
    </w:rPr>
  </w:style>
  <w:style w:type="character" w:customStyle="1" w:styleId="Heading5Char">
    <w:name w:val="Heading 5 Char"/>
    <w:basedOn w:val="DefaultParagraphFont"/>
    <w:link w:val="Heading5"/>
    <w:uiPriority w:val="9"/>
    <w:semiHidden/>
    <w:rPr>
      <w:rFonts w:asciiTheme="minorHAnsi" w:eastAsiaTheme="minorEastAsia" w:hAnsiTheme="minorHAnsi" w:cstheme="minorBidi"/>
      <w:b/>
      <w:bCs/>
      <w:i/>
      <w:iCs/>
      <w:noProof/>
      <w:sz w:val="26"/>
      <w:szCs w:val="26"/>
    </w:rPr>
  </w:style>
  <w:style w:type="character" w:customStyle="1" w:styleId="Heading6Char">
    <w:name w:val="Heading 6 Char"/>
    <w:basedOn w:val="DefaultParagraphFont"/>
    <w:link w:val="Heading6"/>
    <w:uiPriority w:val="9"/>
    <w:semiHidden/>
    <w:rPr>
      <w:rFonts w:asciiTheme="minorHAnsi" w:eastAsiaTheme="minorEastAsia" w:hAnsiTheme="minorHAnsi" w:cstheme="minorBidi"/>
      <w:b/>
      <w:bCs/>
      <w:noProof/>
      <w:sz w:val="22"/>
      <w:szCs w:val="22"/>
    </w:rPr>
  </w:style>
  <w:style w:type="paragraph" w:customStyle="1" w:styleId="rightpar">
    <w:name w:val="rightpar"/>
    <w:basedOn w:val="Normal"/>
    <w:uiPriority w:val="99"/>
    <w:pPr>
      <w:keepLines/>
      <w:spacing w:before="120" w:after="120"/>
      <w:jc w:val="right"/>
    </w:pPr>
    <w:rPr>
      <w:sz w:val="24"/>
      <w:szCs w:val="24"/>
    </w:rPr>
  </w:style>
  <w:style w:type="paragraph" w:customStyle="1" w:styleId="centerpar">
    <w:name w:val="centerpar"/>
    <w:basedOn w:val="Normal"/>
    <w:uiPriority w:val="99"/>
    <w:pPr>
      <w:keepLines/>
      <w:spacing w:before="120" w:after="120"/>
      <w:jc w:val="center"/>
    </w:pPr>
    <w:rPr>
      <w:sz w:val="24"/>
      <w:szCs w:val="24"/>
    </w:rPr>
  </w:style>
  <w:style w:type="paragraph" w:customStyle="1" w:styleId="equation">
    <w:name w:val="equation"/>
    <w:basedOn w:val="Normal"/>
    <w:next w:val="Normal"/>
    <w:uiPriority w:val="99"/>
    <w:pPr>
      <w:keepLines/>
      <w:spacing w:before="120" w:after="120"/>
      <w:jc w:val="left"/>
    </w:pPr>
    <w:rPr>
      <w:sz w:val="24"/>
      <w:szCs w:val="24"/>
    </w:rPr>
  </w:style>
  <w:style w:type="paragraph" w:customStyle="1" w:styleId="equationNum">
    <w:name w:val="equationNum"/>
    <w:basedOn w:val="Normal"/>
    <w:next w:val="Normal"/>
    <w:uiPriority w:val="99"/>
    <w:pPr>
      <w:keepLines/>
      <w:spacing w:before="120" w:after="120"/>
      <w:jc w:val="left"/>
    </w:pPr>
    <w:rPr>
      <w:sz w:val="24"/>
      <w:szCs w:val="24"/>
    </w:rPr>
  </w:style>
  <w:style w:type="paragraph" w:customStyle="1" w:styleId="equationAlign">
    <w:name w:val="equationAlign"/>
    <w:basedOn w:val="Normal"/>
    <w:next w:val="Normal"/>
    <w:uiPriority w:val="99"/>
    <w:pPr>
      <w:keepLines/>
      <w:spacing w:before="120" w:after="120"/>
      <w:jc w:val="left"/>
    </w:pPr>
    <w:rPr>
      <w:sz w:val="24"/>
      <w:szCs w:val="24"/>
    </w:rPr>
  </w:style>
  <w:style w:type="paragraph" w:customStyle="1" w:styleId="equationAlignNum">
    <w:name w:val="equationAlignNum"/>
    <w:basedOn w:val="Normal"/>
    <w:next w:val="Normal"/>
    <w:uiPriority w:val="99"/>
    <w:pPr>
      <w:keepLines/>
      <w:spacing w:before="120" w:after="120"/>
      <w:jc w:val="left"/>
    </w:pPr>
    <w:rPr>
      <w:sz w:val="24"/>
      <w:szCs w:val="24"/>
    </w:rPr>
  </w:style>
  <w:style w:type="paragraph" w:customStyle="1" w:styleId="equationArray">
    <w:name w:val="equationArray"/>
    <w:basedOn w:val="Normal"/>
    <w:next w:val="Normal"/>
    <w:uiPriority w:val="99"/>
    <w:pPr>
      <w:keepLines/>
      <w:spacing w:before="120" w:after="120"/>
      <w:jc w:val="left"/>
    </w:pPr>
    <w:rPr>
      <w:sz w:val="24"/>
      <w:szCs w:val="24"/>
    </w:rPr>
  </w:style>
  <w:style w:type="paragraph" w:customStyle="1" w:styleId="equationArrayNum">
    <w:name w:val="equationArrayNum"/>
    <w:basedOn w:val="Normal"/>
    <w:next w:val="Normal"/>
    <w:uiPriority w:val="99"/>
    <w:pPr>
      <w:keepLines/>
      <w:spacing w:before="120" w:after="120"/>
      <w:jc w:val="left"/>
    </w:pPr>
    <w:rPr>
      <w:sz w:val="24"/>
      <w:szCs w:val="24"/>
    </w:rPr>
  </w:style>
  <w:style w:type="paragraph" w:customStyle="1" w:styleId="theorem">
    <w:name w:val="theorem"/>
    <w:basedOn w:val="Normal"/>
    <w:next w:val="Normal"/>
    <w:uiPriority w:val="99"/>
    <w:pPr>
      <w:keepLines/>
      <w:spacing w:before="120" w:after="120"/>
      <w:jc w:val="left"/>
    </w:pPr>
  </w:style>
  <w:style w:type="paragraph" w:customStyle="1" w:styleId="bitmapCenter">
    <w:name w:val="bitmapCenter"/>
    <w:basedOn w:val="Normal"/>
    <w:next w:val="Normal"/>
    <w:uiPriority w:val="99"/>
    <w:pPr>
      <w:keepLines/>
      <w:spacing w:before="120" w:after="120"/>
      <w:jc w:val="left"/>
    </w:pPr>
    <w:rPr>
      <w:sz w:val="24"/>
      <w:szCs w:val="24"/>
    </w:rPr>
  </w:style>
  <w:style w:type="paragraph" w:styleId="Title">
    <w:name w:val="Title"/>
    <w:basedOn w:val="Normal"/>
    <w:next w:val="author"/>
    <w:link w:val="TitleChar"/>
    <w:uiPriority w:val="99"/>
    <w:qFormat/>
    <w:pPr>
      <w:widowControl w:val="0"/>
      <w:spacing w:before="240" w:after="240"/>
      <w:jc w:val="center"/>
    </w:pPr>
    <w:rPr>
      <w:b/>
      <w:bCs/>
      <w:sz w:val="36"/>
      <w:szCs w:val="36"/>
    </w:rPr>
  </w:style>
  <w:style w:type="character" w:customStyle="1" w:styleId="TitleChar">
    <w:name w:val="Title Char"/>
    <w:basedOn w:val="DefaultParagraphFont"/>
    <w:link w:val="Title"/>
    <w:uiPriority w:val="10"/>
    <w:rPr>
      <w:rFonts w:asciiTheme="majorHAnsi" w:eastAsiaTheme="majorEastAsia" w:hAnsiTheme="majorHAnsi" w:cstheme="majorBidi"/>
      <w:b/>
      <w:bCs/>
      <w:noProof/>
      <w:kern w:val="28"/>
      <w:sz w:val="32"/>
      <w:szCs w:val="32"/>
    </w:rPr>
  </w:style>
  <w:style w:type="paragraph" w:customStyle="1" w:styleId="author">
    <w:name w:val="author"/>
    <w:basedOn w:val="Normal"/>
    <w:next w:val="Normal"/>
    <w:uiPriority w:val="99"/>
    <w:pPr>
      <w:widowControl w:val="0"/>
      <w:spacing w:after="120"/>
      <w:jc w:val="center"/>
    </w:pPr>
  </w:style>
  <w:style w:type="paragraph" w:styleId="Footer">
    <w:name w:val="footer"/>
    <w:basedOn w:val="Normal"/>
    <w:link w:val="FooterChar"/>
    <w:uiPriority w:val="99"/>
    <w:pPr>
      <w:widowControl w:val="0"/>
      <w:tabs>
        <w:tab w:val="center" w:pos="4536"/>
        <w:tab w:val="right" w:pos="9072"/>
      </w:tabs>
      <w:jc w:val="left"/>
    </w:pPr>
  </w:style>
  <w:style w:type="character" w:customStyle="1" w:styleId="FooterChar">
    <w:name w:val="Footer Char"/>
    <w:basedOn w:val="DefaultParagraphFont"/>
    <w:link w:val="Footer"/>
    <w:uiPriority w:val="99"/>
    <w:semiHidden/>
    <w:rPr>
      <w:noProof/>
    </w:rPr>
  </w:style>
  <w:style w:type="paragraph" w:styleId="Header">
    <w:name w:val="header"/>
    <w:basedOn w:val="Normal"/>
    <w:link w:val="HeaderChar"/>
    <w:uiPriority w:val="99"/>
    <w:pPr>
      <w:widowControl w:val="0"/>
      <w:tabs>
        <w:tab w:val="center" w:pos="4536"/>
        <w:tab w:val="right" w:pos="9072"/>
      </w:tabs>
      <w:jc w:val="left"/>
    </w:pPr>
  </w:style>
  <w:style w:type="character" w:customStyle="1" w:styleId="HeaderChar">
    <w:name w:val="Header Char"/>
    <w:basedOn w:val="DefaultParagraphFont"/>
    <w:link w:val="Header"/>
    <w:uiPriority w:val="99"/>
    <w:semiHidden/>
    <w:rPr>
      <w:noProof/>
    </w:rPr>
  </w:style>
  <w:style w:type="paragraph" w:styleId="Caption">
    <w:name w:val="caption"/>
    <w:basedOn w:val="Normal"/>
    <w:next w:val="Normal"/>
    <w:uiPriority w:val="99"/>
    <w:qFormat/>
    <w:pPr>
      <w:keepLines/>
      <w:spacing w:before="120" w:after="120"/>
      <w:jc w:val="left"/>
    </w:pPr>
    <w:rPr>
      <w:sz w:val="24"/>
      <w:szCs w:val="24"/>
    </w:rPr>
  </w:style>
  <w:style w:type="paragraph" w:customStyle="1" w:styleId="Figure">
    <w:name w:val="Figure"/>
    <w:basedOn w:val="Normal"/>
    <w:next w:val="Normal"/>
    <w:uiPriority w:val="99"/>
    <w:pPr>
      <w:keepLines/>
      <w:spacing w:before="120"/>
      <w:jc w:val="center"/>
    </w:pPr>
  </w:style>
  <w:style w:type="paragraph" w:customStyle="1" w:styleId="Table">
    <w:name w:val="Table"/>
    <w:basedOn w:val="Normal"/>
    <w:uiPriority w:val="99"/>
    <w:pPr>
      <w:keepLines/>
      <w:spacing w:before="120"/>
      <w:jc w:val="center"/>
    </w:pPr>
  </w:style>
  <w:style w:type="paragraph" w:customStyle="1" w:styleId="Tabular">
    <w:name w:val="Tabular"/>
    <w:basedOn w:val="Normal"/>
    <w:uiPriority w:val="99"/>
    <w:pPr>
      <w:keepLines/>
      <w:spacing w:before="120"/>
      <w:jc w:val="center"/>
    </w:pPr>
  </w:style>
  <w:style w:type="paragraph" w:customStyle="1" w:styleId="Tabbing">
    <w:name w:val="Tabbing"/>
    <w:basedOn w:val="Normal"/>
    <w:uiPriority w:val="99"/>
    <w:pPr>
      <w:keepLines/>
      <w:spacing w:before="120"/>
      <w:jc w:val="center"/>
    </w:pPr>
  </w:style>
  <w:style w:type="paragraph" w:styleId="Quote">
    <w:name w:val="Quote"/>
    <w:basedOn w:val="Normal"/>
    <w:link w:val="QuoteChar"/>
    <w:uiPriority w:val="99"/>
    <w:qFormat/>
    <w:pPr>
      <w:ind w:left="1024" w:right="1024" w:firstLine="340"/>
    </w:pPr>
  </w:style>
  <w:style w:type="character" w:customStyle="1" w:styleId="QuoteChar">
    <w:name w:val="Quote Char"/>
    <w:basedOn w:val="DefaultParagraphFont"/>
    <w:link w:val="Quote"/>
    <w:uiPriority w:val="29"/>
    <w:rPr>
      <w:i/>
      <w:iCs/>
      <w:noProof/>
      <w:color w:val="000000" w:themeColor="text1"/>
    </w:rPr>
  </w:style>
  <w:style w:type="paragraph" w:customStyle="1" w:styleId="verbatim">
    <w:name w:val="verbatim"/>
    <w:uiPriority w:val="99"/>
    <w:pPr>
      <w:autoSpaceDE w:val="0"/>
      <w:autoSpaceDN w:val="0"/>
      <w:adjustRightInd w:val="0"/>
    </w:pPr>
    <w:rPr>
      <w:rFonts w:ascii="Courier New" w:hAnsi="Courier New" w:cs="Courier New"/>
      <w:noProof/>
    </w:rPr>
  </w:style>
  <w:style w:type="paragraph" w:styleId="List">
    <w:name w:val="List"/>
    <w:basedOn w:val="Normal"/>
    <w:uiPriority w:val="99"/>
    <w:pPr>
      <w:tabs>
        <w:tab w:val="left" w:pos="283"/>
      </w:tabs>
      <w:spacing w:after="120"/>
      <w:ind w:left="283" w:hanging="283"/>
      <w:jc w:val="left"/>
    </w:pPr>
  </w:style>
  <w:style w:type="paragraph" w:customStyle="1" w:styleId="List1">
    <w:name w:val="List 1"/>
    <w:basedOn w:val="Normal"/>
    <w:uiPriority w:val="99"/>
    <w:pPr>
      <w:tabs>
        <w:tab w:val="left" w:pos="283"/>
      </w:tabs>
      <w:spacing w:after="120"/>
      <w:ind w:left="283" w:hanging="283"/>
      <w:jc w:val="left"/>
    </w:pPr>
  </w:style>
  <w:style w:type="paragraph" w:customStyle="1" w:styleId="latexpicture">
    <w:name w:val="latex picture"/>
    <w:basedOn w:val="Normal"/>
    <w:next w:val="Normal"/>
    <w:uiPriority w:val="99"/>
    <w:pPr>
      <w:keepLines/>
      <w:spacing w:before="120" w:after="120"/>
      <w:jc w:val="center"/>
    </w:pPr>
    <w:rPr>
      <w:sz w:val="24"/>
      <w:szCs w:val="24"/>
    </w:rPr>
  </w:style>
  <w:style w:type="paragraph" w:customStyle="1" w:styleId="subfigure">
    <w:name w:val="subfigure"/>
    <w:basedOn w:val="Normal"/>
    <w:next w:val="Normal"/>
    <w:uiPriority w:val="99"/>
    <w:pPr>
      <w:keepLines/>
      <w:spacing w:before="120" w:after="120"/>
      <w:jc w:val="center"/>
    </w:pPr>
    <w:rPr>
      <w:sz w:val="24"/>
      <w:szCs w:val="24"/>
    </w:rPr>
  </w:style>
  <w:style w:type="paragraph" w:customStyle="1" w:styleId="bibheading">
    <w:name w:val="bibheading"/>
    <w:basedOn w:val="Normal"/>
    <w:next w:val="bibitem"/>
    <w:uiPriority w:val="99"/>
    <w:pPr>
      <w:keepNext/>
      <w:widowControl w:val="0"/>
      <w:spacing w:before="240" w:after="120"/>
      <w:jc w:val="left"/>
    </w:pPr>
    <w:rPr>
      <w:b/>
      <w:bCs/>
      <w:sz w:val="32"/>
      <w:szCs w:val="32"/>
    </w:rPr>
  </w:style>
  <w:style w:type="paragraph" w:customStyle="1" w:styleId="bibitem">
    <w:name w:val="bibitem"/>
    <w:basedOn w:val="Normal"/>
    <w:uiPriority w:val="99"/>
    <w:pPr>
      <w:widowControl w:val="0"/>
      <w:ind w:left="567" w:hanging="567"/>
      <w:jc w:val="left"/>
    </w:pPr>
  </w:style>
  <w:style w:type="paragraph" w:customStyle="1" w:styleId="endnotes">
    <w:name w:val="endnotes"/>
    <w:basedOn w:val="Normal"/>
    <w:uiPriority w:val="99"/>
    <w:pPr>
      <w:tabs>
        <w:tab w:val="left" w:pos="283"/>
      </w:tabs>
      <w:spacing w:after="120"/>
      <w:ind w:left="283" w:hanging="283"/>
      <w:jc w:val="left"/>
    </w:pPr>
  </w:style>
  <w:style w:type="paragraph" w:styleId="FootnoteText">
    <w:name w:val="footnote text"/>
    <w:basedOn w:val="Normal"/>
    <w:link w:val="FootnoteTextChar"/>
    <w:uiPriority w:val="99"/>
    <w:pPr>
      <w:widowControl w:val="0"/>
      <w:ind w:left="397" w:hanging="113"/>
      <w:jc w:val="left"/>
    </w:pPr>
  </w:style>
  <w:style w:type="character" w:customStyle="1" w:styleId="FootnoteTextChar">
    <w:name w:val="Footnote Text Char"/>
    <w:basedOn w:val="DefaultParagraphFont"/>
    <w:link w:val="FootnoteText"/>
    <w:uiPriority w:val="99"/>
    <w:semiHidden/>
    <w:rPr>
      <w:noProof/>
      <w:sz w:val="24"/>
      <w:szCs w:val="24"/>
    </w:rPr>
  </w:style>
  <w:style w:type="paragraph" w:styleId="EndnoteText">
    <w:name w:val="endnote text"/>
    <w:basedOn w:val="Normal"/>
    <w:link w:val="EndnoteTextChar"/>
    <w:uiPriority w:val="99"/>
    <w:pPr>
      <w:widowControl w:val="0"/>
      <w:ind w:left="454" w:hanging="170"/>
    </w:pPr>
  </w:style>
  <w:style w:type="character" w:customStyle="1" w:styleId="EndnoteTextChar">
    <w:name w:val="Endnote Text Char"/>
    <w:basedOn w:val="DefaultParagraphFont"/>
    <w:link w:val="EndnoteText"/>
    <w:uiPriority w:val="99"/>
    <w:semiHidden/>
    <w:rPr>
      <w:noProof/>
      <w:sz w:val="24"/>
      <w:szCs w:val="24"/>
    </w:rPr>
  </w:style>
  <w:style w:type="character" w:styleId="FootnoteReference">
    <w:name w:val="footnote reference"/>
    <w:basedOn w:val="DefaultParagraphFont"/>
    <w:uiPriority w:val="99"/>
    <w:semiHidden/>
    <w:unhideWhenUsed/>
    <w:rPr>
      <w:vertAlign w:val="superscript"/>
    </w:rPr>
  </w:style>
  <w:style w:type="character" w:styleId="EndnoteReference">
    <w:name w:val="endnote reference"/>
    <w:basedOn w:val="DefaultParagraphFont"/>
    <w:uiPriority w:val="99"/>
    <w:rPr>
      <w:vertAlign w:val="superscript"/>
    </w:rPr>
  </w:style>
  <w:style w:type="paragraph" w:customStyle="1" w:styleId="acronym">
    <w:name w:val="acronym"/>
    <w:basedOn w:val="Normal"/>
    <w:uiPriority w:val="99"/>
    <w:pPr>
      <w:keepNext/>
      <w:widowControl w:val="0"/>
      <w:spacing w:before="60" w:after="60"/>
      <w:jc w:val="left"/>
    </w:pPr>
  </w:style>
  <w:style w:type="paragraph" w:customStyle="1" w:styleId="abstracttitle">
    <w:name w:val="abstract title"/>
    <w:basedOn w:val="Normal"/>
    <w:next w:val="abstract"/>
    <w:uiPriority w:val="99"/>
    <w:pPr>
      <w:widowControl w:val="0"/>
      <w:spacing w:after="120"/>
      <w:jc w:val="center"/>
    </w:pPr>
    <w:rPr>
      <w:b/>
      <w:bCs/>
    </w:rPr>
  </w:style>
  <w:style w:type="paragraph" w:customStyle="1" w:styleId="abstract">
    <w:name w:val="abstract"/>
    <w:basedOn w:val="Normal"/>
    <w:next w:val="Normal"/>
    <w:uiPriority w:val="99"/>
    <w:pPr>
      <w:ind w:left="1024" w:right="1024" w:firstLine="340"/>
    </w:pPr>
  </w:style>
  <w:style w:type="paragraph" w:customStyle="1" w:styleId="contentsheading">
    <w:name w:val="contents_heading"/>
    <w:basedOn w:val="Normal"/>
    <w:next w:val="Normal"/>
    <w:uiPriority w:val="99"/>
    <w:pPr>
      <w:keepNext/>
      <w:widowControl w:val="0"/>
      <w:spacing w:before="240" w:after="120"/>
      <w:jc w:val="left"/>
    </w:pPr>
    <w:rPr>
      <w:b/>
      <w:bCs/>
    </w:rPr>
  </w:style>
  <w:style w:type="paragraph" w:styleId="TOC1">
    <w:name w:val="toc 1"/>
    <w:basedOn w:val="Normal"/>
    <w:next w:val="TOC2"/>
    <w:uiPriority w:val="99"/>
    <w:pPr>
      <w:keepNext/>
      <w:widowControl w:val="0"/>
      <w:tabs>
        <w:tab w:val="right" w:leader="dot" w:pos="8222"/>
      </w:tabs>
      <w:spacing w:before="240" w:after="60"/>
      <w:ind w:left="425"/>
      <w:jc w:val="left"/>
    </w:pPr>
    <w:rPr>
      <w:b/>
      <w:bCs/>
    </w:rPr>
  </w:style>
  <w:style w:type="paragraph" w:styleId="TOC2">
    <w:name w:val="toc 2"/>
    <w:basedOn w:val="Normal"/>
    <w:next w:val="TOC3"/>
    <w:uiPriority w:val="99"/>
    <w:pPr>
      <w:keepNext/>
      <w:widowControl w:val="0"/>
      <w:tabs>
        <w:tab w:val="right" w:leader="dot" w:pos="8222"/>
      </w:tabs>
      <w:spacing w:before="60" w:after="60"/>
      <w:ind w:left="512"/>
      <w:jc w:val="left"/>
    </w:pPr>
  </w:style>
  <w:style w:type="paragraph" w:styleId="TOC3">
    <w:name w:val="toc 3"/>
    <w:basedOn w:val="Normal"/>
    <w:next w:val="TOC4"/>
    <w:uiPriority w:val="99"/>
    <w:pPr>
      <w:keepNext/>
      <w:widowControl w:val="0"/>
      <w:tabs>
        <w:tab w:val="right" w:leader="dot" w:pos="8222"/>
      </w:tabs>
      <w:spacing w:before="60" w:after="60"/>
      <w:ind w:left="1024"/>
      <w:jc w:val="left"/>
    </w:pPr>
  </w:style>
  <w:style w:type="paragraph" w:styleId="TOC4">
    <w:name w:val="toc 4"/>
    <w:basedOn w:val="Normal"/>
    <w:next w:val="TOC5"/>
    <w:uiPriority w:val="99"/>
    <w:pPr>
      <w:keepNext/>
      <w:widowControl w:val="0"/>
      <w:tabs>
        <w:tab w:val="right" w:leader="dot" w:pos="8222"/>
      </w:tabs>
      <w:spacing w:before="60" w:after="60"/>
      <w:ind w:left="1536"/>
      <w:jc w:val="left"/>
    </w:pPr>
  </w:style>
  <w:style w:type="paragraph" w:styleId="TOC5">
    <w:name w:val="toc 5"/>
    <w:basedOn w:val="Normal"/>
    <w:next w:val="TOC6"/>
    <w:uiPriority w:val="99"/>
    <w:pPr>
      <w:keepNext/>
      <w:widowControl w:val="0"/>
      <w:tabs>
        <w:tab w:val="right" w:leader="dot" w:pos="8222"/>
      </w:tabs>
      <w:spacing w:before="60" w:after="60"/>
      <w:ind w:left="2048"/>
      <w:jc w:val="left"/>
    </w:pPr>
  </w:style>
  <w:style w:type="paragraph" w:styleId="TOC6">
    <w:name w:val="toc 6"/>
    <w:basedOn w:val="Normal"/>
    <w:uiPriority w:val="99"/>
    <w:pPr>
      <w:keepNext/>
      <w:widowControl w:val="0"/>
      <w:tabs>
        <w:tab w:val="right" w:leader="dot" w:pos="8222"/>
      </w:tabs>
      <w:spacing w:before="60" w:after="60"/>
      <w:ind w:left="256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9602</Words>
  <Characters>54737</Characters>
  <Application>Microsoft Macintosh Word</Application>
  <DocSecurity>0</DocSecurity>
  <Lines>456</Lines>
  <Paragraphs>128</Paragraphs>
  <ScaleCrop>false</ScaleCrop>
  <Company/>
  <LinksUpToDate>false</LinksUpToDate>
  <CharactersWithSpaces>64211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Original file was arab_spring_paper.tex</dc:title>
  <dc:subject/>
  <dc:creator/>
  <cp:keywords/>
  <dc:description>Created using latex2rtf 2.2.1 r1191 (released Jun  8 2012) on Fri May 22 16:09:33 2015</dc:description>
  <cp:lastModifiedBy>Kenny Joseph</cp:lastModifiedBy>
  <cp:revision>2</cp:revision>
  <dcterms:created xsi:type="dcterms:W3CDTF">2015-05-22T20:12:00Z</dcterms:created>
  <dcterms:modified xsi:type="dcterms:W3CDTF">2015-05-22T20:12:00Z</dcterms:modified>
</cp:coreProperties>
</file>