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Arial" w:hAnsi="Arial"/>
          <w:b/>
          <w:color w:val="0F766E"/>
          <w:sz w:val="22"/>
        </w:rPr>
        <w:t>INFORME FINAL DE VERIFICACIÓN</w:t>
      </w:r>
    </w:p>
    <w:p>
      <w:pPr>
        <w:spacing w:after="80"/>
      </w:pPr>
      <w:r>
        <w:rPr>
          <w:rFonts w:ascii="Arial" w:hAnsi="Arial"/>
          <w:b/>
          <w:color w:val="0F172A"/>
          <w:sz w:val="52"/>
        </w:rPr>
        <w:t>CI/CD, Kubernetes y Métricas DORA</w:t>
      </w:r>
    </w:p>
    <w:p>
      <w:pPr>
        <w:spacing w:after="300"/>
      </w:pPr>
      <w:r>
        <w:rPr>
          <w:rFonts w:ascii="Arial" w:hAnsi="Arial"/>
          <w:color w:val="475569"/>
          <w:sz w:val="24"/>
        </w:rPr>
        <w:t>Proyecto inventario-app | Evidencia reproducible de construcción, despliegue y operación</w:t>
      </w:r>
    </w:p>
    <w:tbl>
      <w:tblPr>
        <w:tblW w:type="dxa" w:w="9360"/>
        <w:jc w:val="left"/>
        <w:tblLayout w:type="fixed"/>
        <w:tblLook w:firstColumn="1" w:firstRow="1" w:lastColumn="0" w:lastRow="0" w:noHBand="0" w:noVBand="1" w:val="04A0"/>
        <w:tblInd w:w="120" w:type="dxa"/>
      </w:tblPr>
      <w:tblGrid>
        <w:gridCol w:w="2340"/>
        <w:gridCol w:w="7020"/>
      </w:tblGrid>
      <w:tr>
        <w:tc>
          <w:tcPr>
            <w:tcW w:type="dxa" w:w="2340"/>
            <w:tcMar>
              <w:top w:w="100" w:type="dxa"/>
              <w:start w:w="120" w:type="dxa"/>
              <w:bottom w:w="100" w:type="dxa"/>
              <w:end w:w="120" w:type="dxa"/>
            </w:tcMar>
            <w:shd w:fill="F8FAFC"/>
            <w:vAlign w:val="center"/>
          </w:tcPr>
          <w:p>
            <w:pPr>
              <w:spacing w:after="0"/>
            </w:pPr>
            <w:r>
              <w:rPr>
                <w:rFonts w:ascii="Arial" w:hAnsi="Arial"/>
                <w:b/>
                <w:color w:val="0F172A"/>
                <w:sz w:val="17"/>
              </w:rPr>
              <w:t xml:space="preserve">Repositorio: </w:t>
            </w:r>
            <w:r>
              <w:rPr>
                <w:rFonts w:ascii="Arial" w:hAnsi="Arial"/>
                <w:color w:val="1F2937"/>
                <w:sz w:val="17"/>
              </w:rPr>
              <w:t>github.com/kennypallchizaca-coder/inventario-app</w:t>
            </w:r>
          </w:p>
        </w:tc>
        <w:tc>
          <w:tcPr>
            <w:tcW w:type="dxa" w:w="7020"/>
            <w:tcMar>
              <w:top w:w="100" w:type="dxa"/>
              <w:start w:w="120" w:type="dxa"/>
              <w:bottom w:w="100" w:type="dxa"/>
              <w:end w:w="120" w:type="dxa"/>
            </w:tcMar>
            <w:shd w:fill="F8FAFC"/>
            <w:vAlign w:val="center"/>
          </w:tcPr>
          <w:p>
            <w:pPr>
              <w:spacing w:after="0"/>
            </w:pPr>
            <w:r>
              <w:rPr>
                <w:rFonts w:ascii="Arial" w:hAnsi="Arial"/>
                <w:b/>
                <w:color w:val="0F172A"/>
                <w:sz w:val="17"/>
              </w:rPr>
              <w:t xml:space="preserve">Estrategia evaluada: </w:t>
            </w:r>
            <w:r>
              <w:rPr>
                <w:rFonts w:ascii="Arial" w:hAnsi="Arial"/>
                <w:color w:val="1F2937"/>
                <w:sz w:val="17"/>
              </w:rPr>
              <w:t>Canary con reparto 4:1</w:t>
            </w:r>
          </w:p>
        </w:tc>
      </w:tr>
      <w:tr>
        <w:tc>
          <w:tcPr>
            <w:tcW w:type="dxa" w:w="2340"/>
            <w:tcMar>
              <w:top w:w="100" w:type="dxa"/>
              <w:start w:w="120" w:type="dxa"/>
              <w:bottom w:w="100" w:type="dxa"/>
              <w:end w:w="120" w:type="dxa"/>
            </w:tcMar>
            <w:shd w:fill="F8FAFC"/>
            <w:vAlign w:val="center"/>
          </w:tcPr>
          <w:p>
            <w:pPr>
              <w:spacing w:after="0"/>
            </w:pPr>
            <w:r>
              <w:rPr>
                <w:rFonts w:ascii="Arial" w:hAnsi="Arial"/>
                <w:b/>
                <w:color w:val="0F172A"/>
                <w:sz w:val="17"/>
              </w:rPr>
              <w:t xml:space="preserve">Pipeline final: </w:t>
            </w:r>
            <w:r>
              <w:rPr>
                <w:rFonts w:ascii="Arial" w:hAnsi="Arial"/>
                <w:color w:val="1F2937"/>
                <w:sz w:val="17"/>
              </w:rPr>
              <w:t>GitHub Actions run #5 - Success</w:t>
            </w:r>
          </w:p>
        </w:tc>
        <w:tc>
          <w:tcPr>
            <w:tcW w:type="dxa" w:w="7020"/>
            <w:tcMar>
              <w:top w:w="100" w:type="dxa"/>
              <w:start w:w="120" w:type="dxa"/>
              <w:bottom w:w="100" w:type="dxa"/>
              <w:end w:w="120" w:type="dxa"/>
            </w:tcMar>
            <w:shd w:fill="F8FAFC"/>
            <w:vAlign w:val="center"/>
          </w:tcPr>
          <w:p>
            <w:pPr>
              <w:spacing w:after="0"/>
            </w:pPr>
            <w:r>
              <w:rPr>
                <w:rFonts w:ascii="Arial" w:hAnsi="Arial"/>
                <w:b/>
                <w:color w:val="0F172A"/>
                <w:sz w:val="17"/>
              </w:rPr>
              <w:t xml:space="preserve">Fecha de evidencia: </w:t>
            </w:r>
            <w:r>
              <w:rPr>
                <w:rFonts w:ascii="Arial" w:hAnsi="Arial"/>
                <w:color w:val="1F2937"/>
                <w:sz w:val="17"/>
              </w:rPr>
              <w:t>25 de julio de 2026</w:t>
            </w:r>
          </w:p>
        </w:tc>
      </w:tr>
    </w:tbl>
    <w:p>
      <w:pPr>
        <w:spacing w:after="0"/>
      </w:pPr>
    </w:p>
    <w:p>
      <w:pPr>
        <w:pStyle w:val="Heading1"/>
        <w:spacing w:before="260" w:after="100"/>
      </w:pPr>
      <w:r>
        <w:rPr>
          <w:rFonts w:ascii="Arial" w:hAnsi="Arial"/>
          <w:b/>
          <w:color w:val="0F766E"/>
          <w:sz w:val="28"/>
        </w:rPr>
        <w:t>1. Resumen ejecutivo</w:t>
      </w:r>
    </w:p>
    <w:p>
      <w:pPr>
        <w:spacing w:before="0" w:after="120" w:line="259" w:lineRule="auto"/>
      </w:pPr>
      <w:r>
        <w:rPr>
          <w:rFonts w:ascii="Arial" w:hAnsi="Arial"/>
          <w:color w:val="1F2937"/>
          <w:sz w:val="20"/>
        </w:rPr>
        <w:t>La auditoría verificó la rúbrica completa de CI/CD. Se confirmó el pipeline de construcción, el despliegue RollingUpdate, la estrategia Canary, los componentes de seguridad y el informe de métricas DORA. Durante la revisión se detectaron y corrigieron dos brechas de implementación: un Secret que podía quedar versionado y un selector Canary que podía mezclar tráfico del Deployment base.</w:t>
      </w:r>
    </w:p>
    <w:tbl>
      <w:tblPr>
        <w:tblW w:type="dxa" w:w="9360"/>
        <w:jc w:val="left"/>
        <w:tblLayout w:type="fixed"/>
        <w:tblLook w:firstColumn="1" w:firstRow="1" w:lastColumn="0" w:lastRow="0" w:noHBand="0" w:noVBand="1" w:val="04A0"/>
        <w:tblInd w:w="120" w:type="dxa"/>
      </w:tblPr>
      <w:tblGrid>
        <w:gridCol w:w="2520"/>
        <w:gridCol w:w="5580"/>
        <w:gridCol w:w="1260"/>
      </w:tblGrid>
      <w:tr>
        <w:tc>
          <w:tcPr>
            <w:tcW w:type="dxa" w:w="2520"/>
            <w:tcMar>
              <w:top w:w="100" w:type="dxa"/>
              <w:start w:w="120" w:type="dxa"/>
              <w:bottom w:w="100" w:type="dxa"/>
              <w:end w:w="120" w:type="dxa"/>
            </w:tcMar>
            <w:shd w:fill="DBEAFE"/>
            <w:vAlign w:val="center"/>
          </w:tcPr>
          <w:p>
            <w:r>
              <w:rPr>
                <w:rFonts w:ascii="Arial" w:hAnsi="Arial"/>
                <w:b/>
                <w:color w:val="0F172A"/>
                <w:sz w:val="17"/>
              </w:rPr>
              <w:t>Criterio</w:t>
            </w:r>
          </w:p>
        </w:tc>
        <w:tc>
          <w:tcPr>
            <w:tcW w:type="dxa" w:w="5580"/>
            <w:tcMar>
              <w:top w:w="100" w:type="dxa"/>
              <w:start w:w="120" w:type="dxa"/>
              <w:bottom w:w="100" w:type="dxa"/>
              <w:end w:w="120" w:type="dxa"/>
            </w:tcMar>
            <w:shd w:fill="DBEAFE"/>
            <w:vAlign w:val="center"/>
          </w:tcPr>
          <w:p>
            <w:r>
              <w:rPr>
                <w:rFonts w:ascii="Arial" w:hAnsi="Arial"/>
                <w:b/>
                <w:color w:val="0F172A"/>
                <w:sz w:val="17"/>
              </w:rPr>
              <w:t>Implementación y evidencia</w:t>
            </w:r>
          </w:p>
        </w:tc>
        <w:tc>
          <w:tcPr>
            <w:tcW w:type="dxa" w:w="1260"/>
            <w:tcMar>
              <w:top w:w="100" w:type="dxa"/>
              <w:start w:w="120" w:type="dxa"/>
              <w:bottom w:w="100" w:type="dxa"/>
              <w:end w:w="120" w:type="dxa"/>
            </w:tcMar>
            <w:shd w:fill="DBEAFE"/>
            <w:vAlign w:val="center"/>
          </w:tcPr>
          <w:p>
            <w:r>
              <w:rPr>
                <w:rFonts w:ascii="Arial" w:hAnsi="Arial"/>
                <w:b/>
                <w:color w:val="0F172A"/>
                <w:sz w:val="17"/>
              </w:rPr>
              <w:t>Estado</w:t>
            </w:r>
          </w:p>
        </w:tc>
      </w:tr>
      <w:tr>
        <w:tc>
          <w:tcPr>
            <w:tcW w:type="dxa" w:w="2520"/>
            <w:vAlign w:val="center"/>
          </w:tcPr>
          <w:p>
            <w:pPr>
              <w:spacing w:after="0"/>
            </w:pPr>
            <w:r>
              <w:rPr>
                <w:rFonts w:ascii="Arial" w:hAnsi="Arial"/>
                <w:b w:val="0"/>
                <w:color w:val="1F2937"/>
                <w:sz w:val="16"/>
              </w:rPr>
              <w:t>Pipeline base</w:t>
            </w:r>
          </w:p>
        </w:tc>
        <w:tc>
          <w:tcPr>
            <w:tcW w:type="dxa" w:w="5580"/>
            <w:vAlign w:val="center"/>
          </w:tcPr>
          <w:p>
            <w:pPr>
              <w:spacing w:after="0"/>
            </w:pPr>
            <w:r>
              <w:rPr>
                <w:rFonts w:ascii="Arial" w:hAnsi="Arial"/>
                <w:b w:val="0"/>
                <w:color w:val="1F2937"/>
                <w:sz w:val="16"/>
              </w:rPr>
              <w:t>Dockerfile multi-stage, npm test, GitHub Actions y publicación en GHCR.</w:t>
            </w:r>
          </w:p>
        </w:tc>
        <w:tc>
          <w:tcPr>
            <w:tcW w:type="dxa" w:w="1260"/>
            <w:vAlign w:val="center"/>
          </w:tcPr>
          <w:p>
            <w:pPr>
              <w:spacing w:after="0"/>
            </w:pPr>
            <w:r>
              <w:rPr>
                <w:rFonts w:ascii="Arial" w:hAnsi="Arial"/>
                <w:b/>
                <w:color w:val="1F2937"/>
                <w:sz w:val="16"/>
              </w:rPr>
              <w:t>Cumple</w:t>
            </w:r>
          </w:p>
        </w:tc>
      </w:tr>
      <w:tr>
        <w:tc>
          <w:tcPr>
            <w:tcW w:type="dxa" w:w="2520"/>
            <w:vAlign w:val="center"/>
          </w:tcPr>
          <w:p>
            <w:pPr>
              <w:spacing w:after="0"/>
            </w:pPr>
            <w:r>
              <w:rPr>
                <w:rFonts w:ascii="Arial" w:hAnsi="Arial"/>
                <w:b w:val="0"/>
                <w:color w:val="1F2937"/>
                <w:sz w:val="16"/>
              </w:rPr>
              <w:t>RollingUpdate</w:t>
            </w:r>
          </w:p>
        </w:tc>
        <w:tc>
          <w:tcPr>
            <w:tcW w:type="dxa" w:w="5580"/>
            <w:vAlign w:val="center"/>
          </w:tcPr>
          <w:p>
            <w:pPr>
              <w:spacing w:after="0"/>
            </w:pPr>
            <w:r>
              <w:rPr>
                <w:rFonts w:ascii="Arial" w:hAnsi="Arial"/>
                <w:b w:val="0"/>
                <w:color w:val="1F2937"/>
                <w:sz w:val="16"/>
              </w:rPr>
              <w:t>2 réplicas, maxUnavailable=1, maxSurge=1, readiness y liveness sobre /health.</w:t>
            </w:r>
          </w:p>
        </w:tc>
        <w:tc>
          <w:tcPr>
            <w:tcW w:type="dxa" w:w="1260"/>
            <w:vAlign w:val="center"/>
          </w:tcPr>
          <w:p>
            <w:pPr>
              <w:spacing w:after="0"/>
            </w:pPr>
            <w:r>
              <w:rPr>
                <w:rFonts w:ascii="Arial" w:hAnsi="Arial"/>
                <w:b/>
                <w:color w:val="1F2937"/>
                <w:sz w:val="16"/>
              </w:rPr>
              <w:t>Cumple</w:t>
            </w:r>
          </w:p>
        </w:tc>
      </w:tr>
      <w:tr>
        <w:tc>
          <w:tcPr>
            <w:tcW w:type="dxa" w:w="2520"/>
            <w:vAlign w:val="center"/>
          </w:tcPr>
          <w:p>
            <w:pPr>
              <w:spacing w:after="0"/>
            </w:pPr>
            <w:r>
              <w:rPr>
                <w:rFonts w:ascii="Arial" w:hAnsi="Arial"/>
                <w:b w:val="0"/>
                <w:color w:val="1F2937"/>
                <w:sz w:val="16"/>
              </w:rPr>
              <w:t>Canary</w:t>
            </w:r>
          </w:p>
        </w:tc>
        <w:tc>
          <w:tcPr>
            <w:tcW w:type="dxa" w:w="5580"/>
            <w:vAlign w:val="center"/>
          </w:tcPr>
          <w:p>
            <w:pPr>
              <w:spacing w:after="0"/>
            </w:pPr>
            <w:r>
              <w:rPr>
                <w:rFonts w:ascii="Arial" w:hAnsi="Arial"/>
                <w:b w:val="0"/>
                <w:color w:val="1F2937"/>
                <w:sz w:val="16"/>
              </w:rPr>
              <w:t>v1 con 4 réplicas y v2 con 1; Service restringido con rollout=canary.</w:t>
            </w:r>
          </w:p>
        </w:tc>
        <w:tc>
          <w:tcPr>
            <w:tcW w:type="dxa" w:w="1260"/>
            <w:vAlign w:val="center"/>
          </w:tcPr>
          <w:p>
            <w:pPr>
              <w:spacing w:after="0"/>
            </w:pPr>
            <w:r>
              <w:rPr>
                <w:rFonts w:ascii="Arial" w:hAnsi="Arial"/>
                <w:b/>
                <w:color w:val="1F2937"/>
                <w:sz w:val="16"/>
              </w:rPr>
              <w:t>Cumple</w:t>
            </w:r>
          </w:p>
        </w:tc>
      </w:tr>
      <w:tr>
        <w:tc>
          <w:tcPr>
            <w:tcW w:type="dxa" w:w="2520"/>
            <w:vAlign w:val="center"/>
          </w:tcPr>
          <w:p>
            <w:pPr>
              <w:spacing w:after="0"/>
            </w:pPr>
            <w:r>
              <w:rPr>
                <w:rFonts w:ascii="Arial" w:hAnsi="Arial"/>
                <w:b w:val="0"/>
                <w:color w:val="1F2937"/>
                <w:sz w:val="16"/>
              </w:rPr>
              <w:t>Buenas prácticas</w:t>
            </w:r>
          </w:p>
        </w:tc>
        <w:tc>
          <w:tcPr>
            <w:tcW w:type="dxa" w:w="5580"/>
            <w:vAlign w:val="center"/>
          </w:tcPr>
          <w:p>
            <w:pPr>
              <w:spacing w:after="0"/>
            </w:pPr>
            <w:r>
              <w:rPr>
                <w:rFonts w:ascii="Arial" w:hAnsi="Arial"/>
                <w:b w:val="0"/>
                <w:color w:val="1F2937"/>
                <w:sz w:val="16"/>
              </w:rPr>
              <w:t>Secret por secretKeyRef, Trivy fail-fast y arranque lento real.</w:t>
            </w:r>
          </w:p>
        </w:tc>
        <w:tc>
          <w:tcPr>
            <w:tcW w:type="dxa" w:w="1260"/>
            <w:vAlign w:val="center"/>
          </w:tcPr>
          <w:p>
            <w:pPr>
              <w:spacing w:after="0"/>
            </w:pPr>
            <w:r>
              <w:rPr>
                <w:rFonts w:ascii="Arial" w:hAnsi="Arial"/>
                <w:b/>
                <w:color w:val="1F2937"/>
                <w:sz w:val="16"/>
              </w:rPr>
              <w:t>Cumple</w:t>
            </w:r>
          </w:p>
        </w:tc>
      </w:tr>
    </w:tbl>
    <w:p>
      <w:pPr>
        <w:pStyle w:val="Heading1"/>
        <w:spacing w:before="260" w:after="100"/>
      </w:pPr>
      <w:r>
        <w:rPr>
          <w:rFonts w:ascii="Arial" w:hAnsi="Arial"/>
          <w:b/>
          <w:color w:val="0F766E"/>
          <w:sz w:val="28"/>
        </w:rPr>
        <w:t>2. Evidencia funcional local</w:t>
      </w:r>
    </w:p>
    <w:p>
      <w:pPr>
        <w:spacing w:before="0" w:after="120" w:line="259" w:lineRule="auto"/>
      </w:pPr>
      <w:r>
        <w:rPr>
          <w:rFonts w:ascii="Arial" w:hAnsi="Arial"/>
          <w:color w:val="1F2937"/>
          <w:sz w:val="20"/>
        </w:rPr>
        <w:t>La suite local aprobó 5 de 5 pruebas. La imagen se construyó con Docker y se verificaron los endpoints /health, /version y /api/products. La respuesta de /version muestra el estado del secreto enmascarado y no expone su valor.</w:t>
      </w:r>
    </w:p>
    <w:p>
      <w:pPr>
        <w:jc w:val="center"/>
      </w:pPr>
      <w:r>
        <w:drawing>
          <wp:inline xmlns:a="http://schemas.openxmlformats.org/drawingml/2006/main" xmlns:pic="http://schemas.openxmlformats.org/drawingml/2006/picture">
            <wp:extent cx="4663440" cy="2622014"/>
            <wp:docPr id="1" name="Picture 1"/>
            <wp:cNvGraphicFramePr>
              <a:graphicFrameLocks noChangeAspect="1"/>
            </wp:cNvGraphicFramePr>
            <a:graphic>
              <a:graphicData uri="http://schemas.openxmlformats.org/drawingml/2006/picture">
                <pic:pic>
                  <pic:nvPicPr>
                    <pic:cNvPr id="0" name="app-ui.png"/>
                    <pic:cNvPicPr/>
                  </pic:nvPicPr>
                  <pic:blipFill>
                    <a:blip r:embed="rId11"/>
                    <a:stretch>
                      <a:fillRect/>
                    </a:stretch>
                  </pic:blipFill>
                  <pic:spPr>
                    <a:xfrm>
                      <a:off x="0" y="0"/>
                      <a:ext cx="4663440" cy="2622014"/>
                    </a:xfrm>
                    <a:prstGeom prst="rect"/>
                  </pic:spPr>
                </pic:pic>
              </a:graphicData>
            </a:graphic>
          </wp:inline>
        </w:drawing>
      </w:r>
    </w:p>
    <w:p>
      <w:pPr>
        <w:spacing w:before="40" w:after="160"/>
        <w:jc w:val="center"/>
      </w:pPr>
      <w:r>
        <w:rPr>
          <w:rFonts w:ascii="Arial" w:hAnsi="Arial"/>
          <w:i/>
          <w:color w:val="475569"/>
          <w:sz w:val="16"/>
        </w:rPr>
        <w:t>Figura 1. Interfaz de inventario servida desde un contenedor local validado.</w:t>
      </w:r>
    </w:p>
    <w:p>
      <w:pPr>
        <w:pStyle w:val="Heading1"/>
        <w:spacing w:before="260" w:after="100"/>
      </w:pPr>
      <w:r>
        <w:rPr>
          <w:rFonts w:ascii="Arial" w:hAnsi="Arial"/>
          <w:b/>
          <w:color w:val="0F766E"/>
          <w:sz w:val="28"/>
        </w:rPr>
        <w:t>3. Pipeline CI/CD y seguridad</w:t>
      </w:r>
    </w:p>
    <w:p>
      <w:pPr>
        <w:spacing w:before="0" w:after="120" w:line="259" w:lineRule="auto"/>
      </w:pPr>
      <w:r>
        <w:rPr>
          <w:rFonts w:ascii="Arial" w:hAnsi="Arial"/>
          <w:color w:val="1F2937"/>
          <w:sz w:val="20"/>
        </w:rPr>
        <w:t>El workflow se compone de dos jobs encadenados. build-test instala dependencias con npm ci y ejecuta npm test. build-push depende de ese resultado, construye la imagen, ejecuta Trivy con severidad CRITICAL y publica en GHCR únicamente si el escaneo no bloquea la ejecución.</w:t>
      </w:r>
    </w:p>
    <w:p>
      <w:pPr>
        <w:jc w:val="center"/>
      </w:pPr>
      <w:r>
        <w:drawing>
          <wp:inline xmlns:a="http://schemas.openxmlformats.org/drawingml/2006/main" xmlns:pic="http://schemas.openxmlformats.org/drawingml/2006/picture">
            <wp:extent cx="5212080" cy="2571750"/>
            <wp:docPr id="2" name="Picture 2"/>
            <wp:cNvGraphicFramePr>
              <a:graphicFrameLocks noChangeAspect="1"/>
            </wp:cNvGraphicFramePr>
            <a:graphic>
              <a:graphicData uri="http://schemas.openxmlformats.org/drawingml/2006/picture">
                <pic:pic>
                  <pic:nvPicPr>
                    <pic:cNvPr id="0" name="codesnap_ci.png"/>
                    <pic:cNvPicPr/>
                  </pic:nvPicPr>
                  <pic:blipFill>
                    <a:blip r:embed="rId12"/>
                    <a:stretch>
                      <a:fillRect/>
                    </a:stretch>
                  </pic:blipFill>
                  <pic:spPr>
                    <a:xfrm>
                      <a:off x="0" y="0"/>
                      <a:ext cx="5212080" cy="2571750"/>
                    </a:xfrm>
                    <a:prstGeom prst="rect"/>
                  </pic:spPr>
                </pic:pic>
              </a:graphicData>
            </a:graphic>
          </wp:inline>
        </w:drawing>
      </w:r>
    </w:p>
    <w:p>
      <w:pPr>
        <w:spacing w:before="40" w:after="160"/>
        <w:jc w:val="center"/>
      </w:pPr>
      <w:r>
        <w:rPr>
          <w:rFonts w:ascii="Arial" w:hAnsi="Arial"/>
          <w:i/>
          <w:color w:val="475569"/>
          <w:sz w:val="16"/>
        </w:rPr>
        <w:t>Figura 2. CodeSnap del control fail-fast de GitHub Actions y Trivy.</w:t>
      </w:r>
    </w:p>
    <w:p>
      <w:pPr>
        <w:pStyle w:val="Heading2"/>
        <w:spacing w:before="160" w:after="100"/>
      </w:pPr>
      <w:r>
        <w:rPr>
          <w:rFonts w:ascii="Arial" w:hAnsi="Arial"/>
          <w:b/>
          <w:color w:val="0F766E"/>
          <w:sz w:val="22"/>
        </w:rPr>
        <w:t>Corrección de vulnerabilidad real</w:t>
      </w:r>
    </w:p>
    <w:p>
      <w:pPr>
        <w:spacing w:before="0" w:after="120" w:line="259" w:lineRule="auto"/>
      </w:pPr>
      <w:r>
        <w:rPr>
          <w:rFonts w:ascii="Arial" w:hAnsi="Arial"/>
          <w:color w:val="1F2937"/>
          <w:sz w:val="20"/>
        </w:rPr>
        <w:t>Trivy bloqueó correctamente CVE-2026-59873 en la dependencia tar incluida por npm dentro de la imagen de ejecución. La aplicación no requiere npm en producción, por lo que se eliminó de la etapa runtime. Se mantuvo la política de fallar ante vulnerabilidades CRITICAL y el escaneo local posterior reportó cero hallazgos críticos.</w:t>
      </w:r>
    </w:p>
    <w:p>
      <w:pPr>
        <w:jc w:val="center"/>
      </w:pPr>
      <w:r>
        <w:drawing>
          <wp:inline xmlns:a="http://schemas.openxmlformats.org/drawingml/2006/main" xmlns:pic="http://schemas.openxmlformats.org/drawingml/2006/picture">
            <wp:extent cx="5212080" cy="2372868"/>
            <wp:docPr id="3" name="Picture 3"/>
            <wp:cNvGraphicFramePr>
              <a:graphicFrameLocks noChangeAspect="1"/>
            </wp:cNvGraphicFramePr>
            <a:graphic>
              <a:graphicData uri="http://schemas.openxmlformats.org/drawingml/2006/picture">
                <pic:pic>
                  <pic:nvPicPr>
                    <pic:cNvPr id="0" name="codesnap_docker.png"/>
                    <pic:cNvPicPr/>
                  </pic:nvPicPr>
                  <pic:blipFill>
                    <a:blip r:embed="rId13"/>
                    <a:stretch>
                      <a:fillRect/>
                    </a:stretch>
                  </pic:blipFill>
                  <pic:spPr>
                    <a:xfrm>
                      <a:off x="0" y="0"/>
                      <a:ext cx="5212080" cy="2372868"/>
                    </a:xfrm>
                    <a:prstGeom prst="rect"/>
                  </pic:spPr>
                </pic:pic>
              </a:graphicData>
            </a:graphic>
          </wp:inline>
        </w:drawing>
      </w:r>
    </w:p>
    <w:p>
      <w:pPr>
        <w:spacing w:before="40" w:after="160"/>
        <w:jc w:val="center"/>
      </w:pPr>
      <w:r>
        <w:rPr>
          <w:rFonts w:ascii="Arial" w:hAnsi="Arial"/>
          <w:i/>
          <w:color w:val="475569"/>
          <w:sz w:val="16"/>
        </w:rPr>
        <w:t>Figura 3. CodeSnap de la imagen runtime reducida y ejecutada como usuario no privilegiado.</w:t>
      </w:r>
    </w:p>
    <w:p>
      <w:pPr>
        <w:pStyle w:val="Heading2"/>
        <w:spacing w:before="160" w:after="100"/>
      </w:pPr>
      <w:r>
        <w:rPr>
          <w:rFonts w:ascii="Arial" w:hAnsi="Arial"/>
          <w:b/>
          <w:color w:val="0F766E"/>
          <w:sz w:val="22"/>
        </w:rPr>
        <w:t>Evidencia de CI</w:t>
      </w:r>
    </w:p>
    <w:p>
      <w:pPr>
        <w:pStyle w:val="ListBullet"/>
        <w:spacing w:after="40" w:line="252" w:lineRule="auto"/>
      </w:pPr>
      <w:r>
        <w:rPr>
          <w:rFonts w:ascii="Arial" w:hAnsi="Arial"/>
          <w:color w:val="1F2937"/>
          <w:sz w:val="19"/>
        </w:rPr>
        <w:t>Run #4 (SHA a14d7ea): Success, con pruebas, build, Trivy y publicación en GHCR.</w:t>
      </w:r>
    </w:p>
    <w:p>
      <w:pPr>
        <w:pStyle w:val="ListBullet"/>
        <w:spacing w:after="40" w:line="252" w:lineRule="auto"/>
      </w:pPr>
      <w:r>
        <w:rPr>
          <w:rFonts w:ascii="Arial" w:hAnsi="Arial"/>
          <w:color w:val="1F2937"/>
          <w:sz w:val="19"/>
        </w:rPr>
        <w:t>Run #5 (SHA 8f276b8): Success, disparado al incorporar el informe final al repositorio.</w:t>
      </w:r>
    </w:p>
    <w:p>
      <w:pPr>
        <w:pStyle w:val="ListBullet"/>
        <w:spacing w:after="40" w:line="252" w:lineRule="auto"/>
      </w:pPr>
      <w:r>
        <w:rPr>
          <w:rFonts w:ascii="Arial" w:hAnsi="Arial"/>
          <w:color w:val="1F2937"/>
          <w:sz w:val="19"/>
        </w:rPr>
        <w:t>La publicación conserva las etiquetas latest y el hash completo del commit para trazabilidad.</w:t>
      </w:r>
    </w:p>
    <w:p>
      <w:r>
        <w:br w:type="page"/>
      </w:r>
    </w:p>
    <w:p>
      <w:pPr>
        <w:pStyle w:val="Heading1"/>
        <w:spacing w:before="260" w:after="100"/>
      </w:pPr>
      <w:r>
        <w:rPr>
          <w:rFonts w:ascii="Arial" w:hAnsi="Arial"/>
          <w:b/>
          <w:color w:val="0F766E"/>
          <w:sz w:val="28"/>
        </w:rPr>
        <w:t>4. Despliegue base en Kubernetes</w:t>
      </w:r>
    </w:p>
    <w:p>
      <w:pPr>
        <w:spacing w:before="0" w:after="120" w:line="259" w:lineRule="auto"/>
      </w:pPr>
      <w:r>
        <w:rPr>
          <w:rFonts w:ascii="Arial" w:hAnsi="Arial"/>
          <w:color w:val="1F2937"/>
          <w:sz w:val="20"/>
        </w:rPr>
        <w:t>El Deployment base utiliza RollingUpdate con dos réplicas. Los probes apuntan a /health; STARTUP_DELAY_SECONDS=10 simula un arranque lento y el readinessProbe tiene un umbral que permite el inicio sin reinicios prematuros. La API_KEY se obtiene con secretKeyRef desde inventario-secret y la aplicación solo confirma que el secreto está configurado.</w:t>
      </w:r>
    </w:p>
    <w:tbl>
      <w:tblPr>
        <w:tblW w:type="dxa" w:w="9360"/>
        <w:jc w:val="left"/>
        <w:tblLayout w:type="fixed"/>
        <w:tblLook w:firstColumn="1" w:firstRow="1" w:lastColumn="0" w:lastRow="0" w:noHBand="0" w:noVBand="1" w:val="04A0"/>
        <w:tblInd w:w="120" w:type="dxa"/>
      </w:tblPr>
      <w:tblGrid>
        <w:gridCol w:w="3000"/>
        <w:gridCol w:w="6360"/>
      </w:tblGrid>
      <w:tr>
        <w:tc>
          <w:tcPr>
            <w:tcW w:type="dxa" w:w="3000"/>
            <w:tcMar>
              <w:top w:w="100" w:type="dxa"/>
              <w:start w:w="120" w:type="dxa"/>
              <w:bottom w:w="100" w:type="dxa"/>
              <w:end w:w="120" w:type="dxa"/>
            </w:tcMar>
            <w:shd w:fill="E6FFFB"/>
          </w:tcPr>
          <w:p>
            <w:r>
              <w:rPr>
                <w:rFonts w:ascii="Arial" w:hAnsi="Arial"/>
                <w:b/>
                <w:color w:val="0F172A"/>
                <w:sz w:val="17"/>
              </w:rPr>
              <w:t>Verificación</w:t>
            </w:r>
          </w:p>
        </w:tc>
        <w:tc>
          <w:tcPr>
            <w:tcW w:type="dxa" w:w="6360"/>
            <w:tcMar>
              <w:top w:w="100" w:type="dxa"/>
              <w:start w:w="120" w:type="dxa"/>
              <w:bottom w:w="100" w:type="dxa"/>
              <w:end w:w="120" w:type="dxa"/>
            </w:tcMar>
            <w:shd w:fill="E6FFFB"/>
          </w:tcPr>
          <w:p>
            <w:r>
              <w:rPr>
                <w:rFonts w:ascii="Arial" w:hAnsi="Arial"/>
                <w:b/>
                <w:color w:val="0F172A"/>
                <w:sz w:val="17"/>
              </w:rPr>
              <w:t>Resultado observado</w:t>
            </w:r>
          </w:p>
        </w:tc>
      </w:tr>
      <w:tr>
        <w:tc>
          <w:tcPr>
            <w:tcW w:type="dxa" w:w="3000"/>
          </w:tcPr>
          <w:p>
            <w:pPr>
              <w:spacing w:after="0"/>
            </w:pPr>
            <w:r>
              <w:rPr>
                <w:rFonts w:ascii="Arial" w:hAnsi="Arial"/>
                <w:b/>
                <w:color w:val="1F2937"/>
                <w:sz w:val="17"/>
              </w:rPr>
              <w:t>Rollout base</w:t>
            </w:r>
          </w:p>
        </w:tc>
        <w:tc>
          <w:tcPr>
            <w:tcW w:type="dxa" w:w="6360"/>
          </w:tcPr>
          <w:p>
            <w:pPr>
              <w:spacing w:after="0"/>
            </w:pPr>
            <w:r>
              <w:rPr>
                <w:rFonts w:ascii="Arial" w:hAnsi="Arial"/>
                <w:b w:val="0"/>
                <w:color w:val="1F2937"/>
                <w:sz w:val="17"/>
              </w:rPr>
              <w:t>deployment/inventario-app successfully rolled out; 2/2 réplicas disponibles.</w:t>
            </w:r>
          </w:p>
        </w:tc>
      </w:tr>
      <w:tr>
        <w:tc>
          <w:tcPr>
            <w:tcW w:type="dxa" w:w="3000"/>
          </w:tcPr>
          <w:p>
            <w:pPr>
              <w:spacing w:after="0"/>
            </w:pPr>
            <w:r>
              <w:rPr>
                <w:rFonts w:ascii="Arial" w:hAnsi="Arial"/>
                <w:b/>
                <w:color w:val="1F2937"/>
                <w:sz w:val="17"/>
              </w:rPr>
              <w:t>Imagen promovida</w:t>
            </w:r>
          </w:p>
        </w:tc>
        <w:tc>
          <w:tcPr>
            <w:tcW w:type="dxa" w:w="6360"/>
          </w:tcPr>
          <w:p>
            <w:pPr>
              <w:spacing w:after="0"/>
            </w:pPr>
            <w:r>
              <w:rPr>
                <w:rFonts w:ascii="Arial" w:hAnsi="Arial"/>
                <w:b w:val="0"/>
                <w:color w:val="1F2937"/>
                <w:sz w:val="17"/>
              </w:rPr>
              <w:t>ghcr.io/kennypallchizaca-coder/inventario-app:a14d7eaf5dbbd322d392af20b5d234a01e68da26</w:t>
            </w:r>
          </w:p>
        </w:tc>
      </w:tr>
      <w:tr>
        <w:tc>
          <w:tcPr>
            <w:tcW w:type="dxa" w:w="3000"/>
          </w:tcPr>
          <w:p>
            <w:pPr>
              <w:spacing w:after="0"/>
            </w:pPr>
            <w:r>
              <w:rPr>
                <w:rFonts w:ascii="Arial" w:hAnsi="Arial"/>
                <w:b/>
                <w:color w:val="1F2937"/>
                <w:sz w:val="17"/>
              </w:rPr>
              <w:t>Salud y secretos</w:t>
            </w:r>
          </w:p>
        </w:tc>
        <w:tc>
          <w:tcPr>
            <w:tcW w:type="dxa" w:w="6360"/>
          </w:tcPr>
          <w:p>
            <w:pPr>
              <w:spacing w:after="0"/>
            </w:pPr>
            <w:r>
              <w:rPr>
                <w:rFonts w:ascii="Arial" w:hAnsi="Arial"/>
                <w:b w:val="0"/>
                <w:color w:val="1F2937"/>
                <w:sz w:val="17"/>
              </w:rPr>
              <w:t>/health respondió 200; /version indicó secretConfigured=true con valor enmascarado.</w:t>
            </w:r>
          </w:p>
        </w:tc>
      </w:tr>
      <w:tr>
        <w:tc>
          <w:tcPr>
            <w:tcW w:type="dxa" w:w="3000"/>
          </w:tcPr>
          <w:p>
            <w:pPr>
              <w:spacing w:after="0"/>
            </w:pPr>
            <w:r>
              <w:rPr>
                <w:rFonts w:ascii="Arial" w:hAnsi="Arial"/>
                <w:b/>
                <w:color w:val="1F2937"/>
                <w:sz w:val="17"/>
              </w:rPr>
              <w:t>Persistencia</w:t>
            </w:r>
          </w:p>
        </w:tc>
        <w:tc>
          <w:tcPr>
            <w:tcW w:type="dxa" w:w="6360"/>
          </w:tcPr>
          <w:p>
            <w:pPr>
              <w:spacing w:after="0"/>
            </w:pPr>
            <w:r>
              <w:rPr>
                <w:rFonts w:ascii="Arial" w:hAnsi="Arial"/>
                <w:b w:val="0"/>
                <w:color w:val="1F2937"/>
                <w:sz w:val="17"/>
              </w:rPr>
              <w:t>Se creó EVI-20260725, se eliminó el Pod y el registro no existió en el Pod recreado.</w:t>
            </w:r>
          </w:p>
        </w:tc>
      </w:tr>
    </w:tbl>
    <w:p>
      <w:pPr>
        <w:pStyle w:val="Heading2"/>
        <w:spacing w:before="160" w:after="100"/>
      </w:pPr>
      <w:r>
        <w:rPr>
          <w:rFonts w:ascii="Arial" w:hAnsi="Arial"/>
          <w:b/>
          <w:color w:val="0F766E"/>
          <w:sz w:val="22"/>
        </w:rPr>
        <w:t>Comportamiento de datos efímeros</w:t>
      </w:r>
    </w:p>
    <w:p>
      <w:pPr>
        <w:spacing w:before="0" w:after="120" w:line="259" w:lineRule="auto"/>
      </w:pPr>
      <w:r>
        <w:rPr>
          <w:rFonts w:ascii="Arial" w:hAnsi="Arial"/>
          <w:color w:val="1F2937"/>
          <w:sz w:val="20"/>
        </w:rPr>
        <w:t>La base de datos local utiliza data/products.json dentro del contenedor. Al recrear el Pod desaparece la capa de escritura y se pierde el producto creado en dicho Pod. No es un defecto de Kubernetes: demuestra por qué una aplicación productiva debe usar un PersistentVolumeClaim o una base de datos externa.</w:t>
      </w:r>
    </w:p>
    <w:p>
      <w:pPr>
        <w:pStyle w:val="Heading1"/>
        <w:spacing w:before="260" w:after="100"/>
      </w:pPr>
      <w:r>
        <w:rPr>
          <w:rFonts w:ascii="Arial" w:hAnsi="Arial"/>
          <w:b/>
          <w:color w:val="0F766E"/>
          <w:sz w:val="28"/>
        </w:rPr>
        <w:t>5. Estrategia Canary elegida</w:t>
      </w:r>
    </w:p>
    <w:p>
      <w:pPr>
        <w:spacing w:before="0" w:after="120" w:line="259" w:lineRule="auto"/>
      </w:pPr>
      <w:r>
        <w:rPr>
          <w:rFonts w:ascii="Arial" w:hAnsi="Arial"/>
          <w:color w:val="1F2937"/>
          <w:sz w:val="20"/>
        </w:rPr>
        <w:t>Canary se eligió para reducir el radio de impacto de una regresión. La versión nueva recibe una fracción del tráfico antes de la promoción completa. Se usan recursos nativos de Kubernetes: dos Deployments con etiquetas comunes y un Service. La etiqueta rollout=canary impide que el Service de prueba reciba tráfico de los Pods del Deployment base.</w:t>
      </w:r>
    </w:p>
    <w:p>
      <w:pPr>
        <w:jc w:val="center"/>
      </w:pPr>
      <w:r>
        <w:drawing>
          <wp:inline xmlns:a="http://schemas.openxmlformats.org/drawingml/2006/main" xmlns:pic="http://schemas.openxmlformats.org/drawingml/2006/picture">
            <wp:extent cx="5212080" cy="2173986"/>
            <wp:docPr id="4" name="Picture 4"/>
            <wp:cNvGraphicFramePr>
              <a:graphicFrameLocks noChangeAspect="1"/>
            </wp:cNvGraphicFramePr>
            <a:graphic>
              <a:graphicData uri="http://schemas.openxmlformats.org/drawingml/2006/picture">
                <pic:pic>
                  <pic:nvPicPr>
                    <pic:cNvPr id="0" name="codesnap_canary.png"/>
                    <pic:cNvPicPr/>
                  </pic:nvPicPr>
                  <pic:blipFill>
                    <a:blip r:embed="rId14"/>
                    <a:stretch>
                      <a:fillRect/>
                    </a:stretch>
                  </pic:blipFill>
                  <pic:spPr>
                    <a:xfrm>
                      <a:off x="0" y="0"/>
                      <a:ext cx="5212080" cy="2173986"/>
                    </a:xfrm>
                    <a:prstGeom prst="rect"/>
                  </pic:spPr>
                </pic:pic>
              </a:graphicData>
            </a:graphic>
          </wp:inline>
        </w:drawing>
      </w:r>
    </w:p>
    <w:p>
      <w:pPr>
        <w:spacing w:before="40" w:after="160"/>
        <w:jc w:val="center"/>
      </w:pPr>
      <w:r>
        <w:rPr>
          <w:rFonts w:ascii="Arial" w:hAnsi="Arial"/>
          <w:i/>
          <w:color w:val="475569"/>
          <w:sz w:val="16"/>
        </w:rPr>
        <w:t>Figura 4. CodeSnap de los manifiestos Canary y del selector aislado.</w:t>
      </w:r>
    </w:p>
    <w:p>
      <w:pPr>
        <w:pStyle w:val="ListBullet"/>
        <w:spacing w:after="40" w:line="252" w:lineRule="auto"/>
      </w:pPr>
      <w:r>
        <w:rPr>
          <w:rFonts w:ascii="Arial" w:hAnsi="Arial"/>
          <w:color w:val="1F2937"/>
          <w:sz w:val="19"/>
        </w:rPr>
        <w:t>v1: 4 réplicas; v2 Canary: 1 réplica. La relación esperada es aproximadamente 80% y 20%.</w:t>
      </w:r>
    </w:p>
    <w:p>
      <w:pPr>
        <w:pStyle w:val="ListBullet"/>
        <w:spacing w:after="40" w:line="252" w:lineRule="auto"/>
      </w:pPr>
      <w:r>
        <w:rPr>
          <w:rFonts w:ascii="Arial" w:hAnsi="Arial"/>
          <w:color w:val="1F2937"/>
          <w:sz w:val="19"/>
        </w:rPr>
        <w:t>Prueba en clúster: 100 solicitudes desde un Pod entregaron v1.0.0=83 y v2.0.0-canary=17.</w:t>
      </w:r>
    </w:p>
    <w:p>
      <w:pPr>
        <w:pStyle w:val="ListBullet"/>
        <w:spacing w:after="40" w:line="252" w:lineRule="auto"/>
      </w:pPr>
      <w:r>
        <w:rPr>
          <w:rFonts w:ascii="Arial" w:hAnsi="Arial"/>
          <w:color w:val="1F2937"/>
          <w:sz w:val="19"/>
        </w:rPr>
        <w:t>Todos los Pods Canary alcanzaron estado Running y Ready: v1 4/4 y v2 1/1.</w:t>
      </w:r>
    </w:p>
    <w:p>
      <w:r>
        <w:br w:type="page"/>
      </w:r>
    </w:p>
    <w:p>
      <w:pPr>
        <w:pStyle w:val="Heading1"/>
        <w:spacing w:before="260" w:after="100"/>
      </w:pPr>
      <w:r>
        <w:rPr>
          <w:rFonts w:ascii="Arial" w:hAnsi="Arial"/>
          <w:b/>
          <w:color w:val="0F766E"/>
          <w:sz w:val="28"/>
        </w:rPr>
        <w:t>6. Métricas DORA</w:t>
      </w:r>
    </w:p>
    <w:p>
      <w:pPr>
        <w:spacing w:before="0" w:after="120" w:line="259" w:lineRule="auto"/>
      </w:pPr>
      <w:r>
        <w:rPr>
          <w:rFonts w:ascii="Arial" w:hAnsi="Arial"/>
          <w:color w:val="1F2937"/>
          <w:sz w:val="20"/>
        </w:rPr>
        <w:t>Las métricas se calcularon con timestamps verificables de Git y del clúster. Se reportan los valores de esta práctica, no estimaciones ni métricas de ejemplo.</w:t>
      </w:r>
    </w:p>
    <w:tbl>
      <w:tblPr>
        <w:tblW w:type="dxa" w:w="9360"/>
        <w:jc w:val="left"/>
        <w:tblLayout w:type="fixed"/>
        <w:tblLook w:firstColumn="1" w:firstRow="1" w:lastColumn="0" w:lastRow="0" w:noHBand="0" w:noVBand="1" w:val="04A0"/>
        <w:tblInd w:w="120" w:type="dxa"/>
      </w:tblPr>
      <w:tblGrid>
        <w:gridCol w:w="1920"/>
        <w:gridCol w:w="5280"/>
        <w:gridCol w:w="2160"/>
      </w:tblGrid>
      <w:tr>
        <w:tc>
          <w:tcPr>
            <w:tcW w:type="dxa" w:w="1920"/>
            <w:tcMar>
              <w:top w:w="100" w:type="dxa"/>
              <w:start w:w="120" w:type="dxa"/>
              <w:bottom w:w="100" w:type="dxa"/>
              <w:end w:w="120" w:type="dxa"/>
            </w:tcMar>
            <w:shd w:fill="DBEAFE"/>
          </w:tcPr>
          <w:p>
            <w:r>
              <w:rPr>
                <w:rFonts w:ascii="Arial" w:hAnsi="Arial"/>
                <w:b/>
                <w:color w:val="0F172A"/>
                <w:sz w:val="17"/>
              </w:rPr>
              <w:t>Métrica</w:t>
            </w:r>
          </w:p>
        </w:tc>
        <w:tc>
          <w:tcPr>
            <w:tcW w:type="dxa" w:w="5280"/>
            <w:tcMar>
              <w:top w:w="100" w:type="dxa"/>
              <w:start w:w="120" w:type="dxa"/>
              <w:bottom w:w="100" w:type="dxa"/>
              <w:end w:w="120" w:type="dxa"/>
            </w:tcMar>
            <w:shd w:fill="DBEAFE"/>
          </w:tcPr>
          <w:p>
            <w:r>
              <w:rPr>
                <w:rFonts w:ascii="Arial" w:hAnsi="Arial"/>
                <w:b/>
                <w:color w:val="0F172A"/>
                <w:sz w:val="17"/>
              </w:rPr>
              <w:t>Cálculo verificable</w:t>
            </w:r>
          </w:p>
        </w:tc>
        <w:tc>
          <w:tcPr>
            <w:tcW w:type="dxa" w:w="2160"/>
            <w:tcMar>
              <w:top w:w="100" w:type="dxa"/>
              <w:start w:w="120" w:type="dxa"/>
              <w:bottom w:w="100" w:type="dxa"/>
              <w:end w:w="120" w:type="dxa"/>
            </w:tcMar>
            <w:shd w:fill="DBEAFE"/>
          </w:tcPr>
          <w:p>
            <w:r>
              <w:rPr>
                <w:rFonts w:ascii="Arial" w:hAnsi="Arial"/>
                <w:b/>
                <w:color w:val="0F172A"/>
                <w:sz w:val="17"/>
              </w:rPr>
              <w:t>Resultado</w:t>
            </w:r>
          </w:p>
        </w:tc>
      </w:tr>
      <w:tr>
        <w:tc>
          <w:tcPr>
            <w:tcW w:type="dxa" w:w="1920"/>
          </w:tcPr>
          <w:p>
            <w:pPr>
              <w:spacing w:after="0"/>
            </w:pPr>
            <w:r>
              <w:rPr>
                <w:rFonts w:ascii="Arial" w:hAnsi="Arial"/>
                <w:b w:val="0"/>
                <w:color w:val="1F2937"/>
                <w:sz w:val="16"/>
              </w:rPr>
              <w:t>Lead time</w:t>
            </w:r>
          </w:p>
        </w:tc>
        <w:tc>
          <w:tcPr>
            <w:tcW w:type="dxa" w:w="5280"/>
          </w:tcPr>
          <w:p>
            <w:pPr>
              <w:spacing w:after="0"/>
            </w:pPr>
            <w:r>
              <w:rPr>
                <w:rFonts w:ascii="Arial" w:hAnsi="Arial"/>
                <w:b w:val="0"/>
                <w:color w:val="1F2937"/>
                <w:sz w:val="16"/>
              </w:rPr>
              <w:t>a9a8ca2: 18:23:28Z a 18:46:34Z = 23m06s. a14d7ea: 19:02:22Z a 19:05:22Z = 3m00s.</w:t>
            </w:r>
          </w:p>
        </w:tc>
        <w:tc>
          <w:tcPr>
            <w:tcW w:type="dxa" w:w="2160"/>
          </w:tcPr>
          <w:p>
            <w:pPr>
              <w:spacing w:after="0"/>
            </w:pPr>
            <w:r>
              <w:rPr>
                <w:rFonts w:ascii="Arial" w:hAnsi="Arial"/>
                <w:b/>
                <w:color w:val="1F2937"/>
                <w:sz w:val="16"/>
              </w:rPr>
              <w:t>Promedio 13m03s</w:t>
            </w:r>
          </w:p>
        </w:tc>
      </w:tr>
      <w:tr>
        <w:tc>
          <w:tcPr>
            <w:tcW w:type="dxa" w:w="1920"/>
          </w:tcPr>
          <w:p>
            <w:pPr>
              <w:spacing w:after="0"/>
            </w:pPr>
            <w:r>
              <w:rPr>
                <w:rFonts w:ascii="Arial" w:hAnsi="Arial"/>
                <w:b w:val="0"/>
                <w:color w:val="1F2937"/>
                <w:sz w:val="16"/>
              </w:rPr>
              <w:t>Frecuencia</w:t>
            </w:r>
          </w:p>
        </w:tc>
        <w:tc>
          <w:tcPr>
            <w:tcW w:type="dxa" w:w="5280"/>
          </w:tcPr>
          <w:p>
            <w:pPr>
              <w:spacing w:after="0"/>
            </w:pPr>
            <w:r>
              <w:rPr>
                <w:rFonts w:ascii="Arial" w:hAnsi="Arial"/>
                <w:b w:val="0"/>
                <w:color w:val="1F2937"/>
                <w:sz w:val="16"/>
              </w:rPr>
              <w:t>Promociones exitosas al Deployment base a las 18:45Z y 19:04Z del mismo día.</w:t>
            </w:r>
          </w:p>
        </w:tc>
        <w:tc>
          <w:tcPr>
            <w:tcW w:type="dxa" w:w="2160"/>
          </w:tcPr>
          <w:p>
            <w:pPr>
              <w:spacing w:after="0"/>
            </w:pPr>
            <w:r>
              <w:rPr>
                <w:rFonts w:ascii="Arial" w:hAnsi="Arial"/>
                <w:b/>
                <w:color w:val="1F2937"/>
                <w:sz w:val="16"/>
              </w:rPr>
              <w:t>2 despliegues/día</w:t>
            </w:r>
          </w:p>
        </w:tc>
      </w:tr>
      <w:tr>
        <w:tc>
          <w:tcPr>
            <w:tcW w:type="dxa" w:w="1920"/>
          </w:tcPr>
          <w:p>
            <w:pPr>
              <w:spacing w:after="0"/>
            </w:pPr>
            <w:r>
              <w:rPr>
                <w:rFonts w:ascii="Arial" w:hAnsi="Arial"/>
                <w:b w:val="0"/>
                <w:color w:val="1F2937"/>
                <w:sz w:val="16"/>
              </w:rPr>
              <w:t>Change failure rate</w:t>
            </w:r>
          </w:p>
        </w:tc>
        <w:tc>
          <w:tcPr>
            <w:tcW w:type="dxa" w:w="5280"/>
          </w:tcPr>
          <w:p>
            <w:pPr>
              <w:spacing w:after="0"/>
            </w:pPr>
            <w:r>
              <w:rPr>
                <w:rFonts w:ascii="Arial" w:hAnsi="Arial"/>
                <w:b w:val="0"/>
                <w:color w:val="1F2937"/>
                <w:sz w:val="16"/>
              </w:rPr>
              <w:t>Un intento fallido por imagen inválida heredada a las 18:28Z, de tres intentos reales de despliegue.</w:t>
            </w:r>
          </w:p>
        </w:tc>
        <w:tc>
          <w:tcPr>
            <w:tcW w:type="dxa" w:w="2160"/>
          </w:tcPr>
          <w:p>
            <w:pPr>
              <w:spacing w:after="0"/>
            </w:pPr>
            <w:r>
              <w:rPr>
                <w:rFonts w:ascii="Arial" w:hAnsi="Arial"/>
                <w:b/>
                <w:color w:val="1F2937"/>
                <w:sz w:val="16"/>
              </w:rPr>
              <w:t>33.3%</w:t>
            </w:r>
          </w:p>
        </w:tc>
      </w:tr>
    </w:tbl>
    <w:p>
      <w:pPr>
        <w:pStyle w:val="Heading1"/>
        <w:spacing w:before="260" w:after="100"/>
      </w:pPr>
      <w:r>
        <w:rPr>
          <w:rFonts w:ascii="Arial" w:hAnsi="Arial"/>
          <w:b/>
          <w:color w:val="0F766E"/>
          <w:sz w:val="28"/>
        </w:rPr>
        <w:t>7. Conclusiones y comandos de reproducción</w:t>
      </w:r>
    </w:p>
    <w:p>
      <w:pPr>
        <w:spacing w:before="0" w:after="120" w:line="259" w:lineRule="auto"/>
      </w:pPr>
      <w:r>
        <w:rPr>
          <w:rFonts w:ascii="Arial" w:hAnsi="Arial"/>
          <w:color w:val="1F2937"/>
          <w:sz w:val="20"/>
        </w:rPr>
        <w:t>La solución cumple la rúbrica con evidencia de ejecución real: pipeline en verde, imagen publicada, rollout completo, secreto configurado, Canary observado y comportamiento de persistencia documentado. El problema de Trivy se resolvió sin desactivar el control de seguridad, preservando el principio fail-fast.</w:t>
      </w:r>
    </w:p>
    <w:p>
      <w:pPr>
        <w:spacing w:before="0" w:after="60" w:line="259" w:lineRule="auto"/>
      </w:pPr>
      <w:r>
        <w:rPr>
          <w:rFonts w:ascii="Arial" w:hAnsi="Arial"/>
          <w:color w:val="1F2937"/>
          <w:sz w:val="20"/>
        </w:rPr>
        <w:t>Comandos principales para reproducir la evidencia:</w:t>
      </w:r>
    </w:p>
    <w:p>
      <w:pPr>
        <w:spacing w:after="20"/>
        <w:ind w:left="259"/>
      </w:pPr>
      <w:r>
        <w:rPr>
          <w:rFonts w:ascii="Consolas" w:hAnsi="Consolas"/>
          <w:color w:val="0F172A"/>
          <w:sz w:val="16"/>
        </w:rPr>
        <w:t>npm ci &amp;&amp; npm test</w:t>
      </w:r>
    </w:p>
    <w:p>
      <w:pPr>
        <w:spacing w:after="20"/>
        <w:ind w:left="259"/>
      </w:pPr>
      <w:r>
        <w:rPr>
          <w:rFonts w:ascii="Consolas" w:hAnsi="Consolas"/>
          <w:color w:val="0F172A"/>
          <w:sz w:val="16"/>
        </w:rPr>
        <w:t>docker build -t inventario-app:local .</w:t>
      </w:r>
    </w:p>
    <w:p>
      <w:pPr>
        <w:spacing w:after="20"/>
        <w:ind w:left="259"/>
      </w:pPr>
      <w:r>
        <w:rPr>
          <w:rFonts w:ascii="Consolas" w:hAnsi="Consolas"/>
          <w:color w:val="0F172A"/>
          <w:sz w:val="16"/>
        </w:rPr>
        <w:t>kubectl create secret generic inventario-secret --from-literal=API_KEY=&lt;valor&gt;</w:t>
      </w:r>
    </w:p>
    <w:p>
      <w:pPr>
        <w:spacing w:after="20"/>
        <w:ind w:left="259"/>
      </w:pPr>
      <w:r>
        <w:rPr>
          <w:rFonts w:ascii="Consolas" w:hAnsi="Consolas"/>
          <w:color w:val="0F172A"/>
          <w:sz w:val="16"/>
        </w:rPr>
        <w:t>kubectl apply -f k8s/deployment.yaml -f k8s/service.yaml</w:t>
      </w:r>
    </w:p>
    <w:p>
      <w:pPr>
        <w:spacing w:after="20"/>
        <w:ind w:left="259"/>
      </w:pPr>
      <w:r>
        <w:rPr>
          <w:rFonts w:ascii="Consolas" w:hAnsi="Consolas"/>
          <w:color w:val="0F172A"/>
          <w:sz w:val="16"/>
        </w:rPr>
        <w:t>kubectl rollout status deployment/inventario-app</w:t>
      </w:r>
    </w:p>
    <w:p>
      <w:pPr>
        <w:spacing w:after="20"/>
        <w:ind w:left="259"/>
      </w:pPr>
      <w:r>
        <w:rPr>
          <w:rFonts w:ascii="Consolas" w:hAnsi="Consolas"/>
          <w:color w:val="0F172A"/>
          <w:sz w:val="16"/>
        </w:rPr>
        <w:t>kubectl apply -f k8s/canary/deployment-v1.yaml -f k8s/canary/deployment-v2.yaml -f k8s/canary/service.yaml</w:t>
      </w:r>
    </w:p>
    <w:p>
      <w:pPr>
        <w:spacing w:before="100" w:after="120" w:line="259" w:lineRule="auto"/>
      </w:pPr>
      <w:r>
        <w:rPr>
          <w:rFonts w:ascii="Arial" w:hAnsi="Arial"/>
          <w:color w:val="1F2937"/>
          <w:sz w:val="20"/>
        </w:rPr>
        <w:t>El README contiene el procedimiento completo, incluyendo los comandos de verificación de endpoints, Canary, Secret y Minikube.</w:t>
      </w:r>
    </w:p>
    <w:sectPr w:rsidR="00FC693F" w:rsidRPr="0006063C" w:rsidSect="00034616">
      <w:headerReference w:type="default" r:id="rId9"/>
      <w:footerReference w:type="default" r:id="rId10"/>
      <w:pgSz w:w="12240" w:h="15840"/>
      <w:pgMar w:top="1080" w:right="1440" w:bottom="1008"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475569"/>
        <w:sz w:val="16"/>
      </w:rPr>
      <w:t xml:space="preserve">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475569"/>
        <w:sz w:val="16"/>
      </w:rPr>
      <w:t>INVENTARIO APP | INFORME FINAL DE CI/CD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