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Transsion H Share IPO Trader Brief</w:t>
      </w:r>
    </w:p>
    <w:p>
      <w:pPr>
        <w:pStyle w:val="Subtitle"/>
      </w:pPr>
      <w:r>
        <w:t>7 October 2026   |   A 688036   H 02636   |   Prices and forecasts dated below</w:t>
      </w:r>
    </w:p>
    <w:p>
      <w:r>
        <w:rPr>
          <w:b/>
        </w:rPr>
        <w:t>Trader view:</w:t>
      </w:r>
      <w:r>
        <w:t xml:space="preserve"> the midpoint offers an attractive valuation for an earnings recovery at 12.5x trailing earnings and 11.0x 2026 consensus earnings. The debate is whether H1 margins survive replacement inventory costs. The roughly 41% discount to A is within the range of other dual-listed peers and does not establish mechanical upside.</w:t>
      </w:r>
    </w:p>
    <w:p>
      <w:r>
        <w:rPr>
          <w:sz w:val="19"/>
        </w:rPr>
        <w:t>The indicative offer is HK$35.30–38.80. Bookbuilding runs 7–12 October, pricing is expected on 13 October and trading on 15 October. The base issue adds 86.65m H shares, or 7.0% of enlarged capital. Final price and actual subscription demand remain to be established. [1]</w:t>
      </w:r>
    </w:p>
    <w:p>
      <w:r>
        <w:rPr>
          <w:b/>
          <w:sz w:val="24"/>
        </w:rPr>
        <w:t>Good points</w:t>
      </w:r>
      <w:r>
        <w:rPr>
          <w:sz w:val="24"/>
        </w:rPr>
      </w:r>
    </w:p>
    <w:p>
      <w:r>
        <w:t>Valuation provides room for recovery. The H midpoint is below Xiaomi’s 16.2x trailing multiple and the existing A share’s 19.7x. The 12-institution FY2026 profit mean is RMB3.557bn, versus RMB2.581bn reported in FY2025. Forecast recovery is priced at 11.0x, with a wide range of broker estimates. [1, 4]</w:t>
      </w:r>
    </w:p>
    <w:p>
      <w:r>
        <w:t>Earnings and margins have recovered. H1 revenue was RMB35.43bn and attributable profit RMB1.77bn, up 46.2%. Group gross margin recovered on both accounting bases. Pricing and product mix support the improvement, alongside cheaper inventory bought earlier. [1, 3, 5]</w:t>
      </w:r>
    </w:p>
    <w:p>
      <w:r>
        <w:t>Inventory buying has an operating rationale. Raw materials account for 62% of the stock increase. By August-end, 92.6% of April-end inventory had been sold or consumed. This supports utilisation rather than assuming all of the build is unsold phones. [1, 3]</w:t>
      </w:r>
    </w:p>
    <w:p>
      <w:r>
        <w:t>The franchise and funding support expansion. TECNO, Infinix and itel retain strong African distribution. Midpoint net proceeds of about HK$3.12bn are earmarked for AI R&amp;D 40%, marketing 30%, mobile internet and IoT 20%, and working capital 10%. [1]</w:t>
      </w:r>
    </w:p>
    <w:p>
      <w:r>
        <w:rPr>
          <w:b/>
          <w:sz w:val="24"/>
        </w:rPr>
        <w:t>Bad points</w:t>
      </w:r>
      <w:r>
        <w:rPr>
          <w:sz w:val="24"/>
        </w:rPr>
      </w:r>
    </w:p>
    <w:p>
      <w:r>
        <w:t>Replacement costs can pressure margins. Higher selling prices against cheaper old stock helped H1. Memory rose from 28.0% of cost of inventories sold in FY2025 to 48.4% in January–April 2026. This is an expense mix, not the memory share of inventory on hand. Sustainable margins after replenishment remain the key uncertainty. [1, 5]</w:t>
      </w:r>
    </w:p>
    <w:p>
      <w:r>
        <w:t>Affordability is hurting volumes. Q2 African smartphone shipments fell 7%; the sub-US$100 segment fell 34% and Transsion fell 14%. Samsung grew 15%. Xiaomi and OPPO fell 30% and 25%, so the old blanket claim that Xiaomi is currently growing much faster is outdated. [8]</w:t>
      </w:r>
    </w:p>
    <w:p>
      <w:r>
        <w:t>Cash is tied up and debt is real. H1 operating cash flow was −RMB5.86bn; inventory reached RMB18.94bn, including more finished goods. June cash equivalents were RMB11.64bn and bank borrowing RMB4.01bn. Inventory utilisation does not prove cash collection. [1, 3]</w:t>
      </w:r>
    </w:p>
    <w:p>
      <w:r>
        <w:t>Profit quality and legal costs need attention. H1 ex-nonrecurring profit was RMB1.48bn against RMB1.77bn reported. Internet gross margin was 80% in FY2025 but contributed only 1.44% of sales. Ericsson settled in July; other patent disputes remain unresolved. [1, 3, 9, 10]</w:t>
      </w:r>
    </w:p>
    <w:p>
      <w:r>
        <w:br w:type="page"/>
      </w:r>
    </w:p>
    <w:p>
      <w:r>
        <w:rPr>
          <w:b/>
        </w:rPr>
        <w:t>The H offer is below the closest listed handset peer, Xiaomi, on trailing earnings.</w:t>
      </w:r>
      <w:r>
        <w:t xml:space="preserve"> The comparison is strongest at the handset-brand level; ODMs and component suppliers are secondary benchmarks.</w:t>
      </w:r>
    </w:p>
    <w:p>
      <w:pPr>
        <w:pStyle w:val="Caption"/>
      </w:pPr>
      <w:r>
        <w:t>Transsion A and H valuation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8" w:type="dxa"/>
          <w:bottom w:w="88" w:type="dxa"/>
          <w:left w:w="110" w:type="dxa"/>
          <w:right w:w="110" w:type="dxa"/>
        </w:tblCellMar>
      </w:tblPr>
      <w:tblGrid>
        <w:gridCol w:w="1872"/>
        <w:gridCol w:w="1613"/>
        <w:gridCol w:w="1800"/>
        <w:gridCol w:w="1555"/>
        <w:gridCol w:w="1584"/>
        <w:gridCol w:w="1584"/>
      </w:tblGrid>
      <w:tr>
        <w:trPr>
          <w:tblHeader/>
          <w:cantSplit/>
        </w:trPr>
        <w:tc>
          <w:tcPr>
            <w:tcW w:type="dxa" w:w="1872"/>
            <w:vAlign w:val="center"/>
            <w:shd w:fill="233B53"/>
          </w:tcPr>
          <w:p>
            <w:pPr>
              <w:spacing w:after="0" w:before="0" w:line="250" w:lineRule="auto"/>
              <w:jc w:val="left"/>
            </w:pPr>
            <w:r>
              <w:rPr>
                <w:rFonts w:ascii="Arial" w:hAnsi="Arial"/>
                <w:b/>
                <w:color w:val="FFFFFF"/>
                <w:sz w:val="19"/>
              </w:rPr>
              <w:t>Listing</w:t>
            </w:r>
          </w:p>
        </w:tc>
        <w:tc>
          <w:tcPr>
            <w:tcW w:type="dxa" w:w="1613"/>
            <w:vAlign w:val="center"/>
            <w:shd w:fill="233B53"/>
          </w:tcPr>
          <w:p>
            <w:pPr>
              <w:spacing w:after="0" w:before="0" w:line="250" w:lineRule="auto"/>
              <w:jc w:val="center"/>
            </w:pPr>
            <w:r>
              <w:rPr>
                <w:rFonts w:ascii="Arial" w:hAnsi="Arial"/>
                <w:b/>
                <w:color w:val="FFFFFF"/>
                <w:sz w:val="19"/>
              </w:rPr>
              <w:t>Share price</w:t>
            </w:r>
          </w:p>
        </w:tc>
        <w:tc>
          <w:tcPr>
            <w:tcW w:type="dxa" w:w="1800"/>
            <w:vAlign w:val="center"/>
            <w:shd w:fill="233B53"/>
          </w:tcPr>
          <w:p>
            <w:pPr>
              <w:spacing w:after="0" w:before="0" w:line="250" w:lineRule="auto"/>
              <w:jc w:val="center"/>
            </w:pPr>
            <w:r>
              <w:rPr>
                <w:rFonts w:ascii="Arial" w:hAnsi="Arial"/>
                <w:b/>
                <w:color w:val="FFFFFF"/>
                <w:sz w:val="19"/>
              </w:rPr>
              <w:t>Equity value</w:t>
              <w:br/>
              <w:t>RMB bn</w:t>
            </w:r>
          </w:p>
        </w:tc>
        <w:tc>
          <w:tcPr>
            <w:tcW w:type="dxa" w:w="1555"/>
            <w:vAlign w:val="center"/>
            <w:shd w:fill="233B53"/>
          </w:tcPr>
          <w:p>
            <w:pPr>
              <w:spacing w:after="0" w:before="0" w:line="250" w:lineRule="auto"/>
              <w:jc w:val="center"/>
            </w:pPr>
            <w:r>
              <w:rPr>
                <w:rFonts w:ascii="Arial" w:hAnsi="Arial"/>
                <w:b/>
                <w:color w:val="FFFFFF"/>
                <w:sz w:val="19"/>
              </w:rPr>
              <w:t>FY2025</w:t>
              <w:br/>
              <w:t>P/E</w:t>
            </w:r>
          </w:p>
        </w:tc>
        <w:tc>
          <w:tcPr>
            <w:tcW w:type="dxa" w:w="1584"/>
            <w:vAlign w:val="center"/>
            <w:shd w:fill="233B53"/>
          </w:tcPr>
          <w:p>
            <w:pPr>
              <w:spacing w:after="0" w:before="0" w:line="250" w:lineRule="auto"/>
              <w:jc w:val="center"/>
            </w:pPr>
            <w:r>
              <w:rPr>
                <w:rFonts w:ascii="Arial" w:hAnsi="Arial"/>
                <w:b/>
                <w:color w:val="FFFFFF"/>
                <w:sz w:val="19"/>
              </w:rPr>
              <w:t>TTM</w:t>
              <w:br/>
              <w:t>P/E</w:t>
            </w:r>
          </w:p>
        </w:tc>
        <w:tc>
          <w:tcPr>
            <w:tcW w:type="dxa" w:w="1584"/>
            <w:vAlign w:val="center"/>
            <w:shd w:fill="233B53"/>
          </w:tcPr>
          <w:p>
            <w:pPr>
              <w:spacing w:after="0" w:before="0" w:line="250" w:lineRule="auto"/>
              <w:jc w:val="center"/>
            </w:pPr>
            <w:r>
              <w:rPr>
                <w:rFonts w:ascii="Arial" w:hAnsi="Arial"/>
                <w:b/>
                <w:color w:val="FFFFFF"/>
                <w:sz w:val="19"/>
              </w:rPr>
              <w:t>2026E</w:t>
              <w:br/>
              <w:t>P/E</w:t>
            </w:r>
          </w:p>
        </w:tc>
      </w:tr>
      <w:tr>
        <w:trPr>
          <w:cantSplit/>
        </w:trPr>
        <w:tc>
          <w:tcPr>
            <w:tcW w:type="dxa" w:w="1872"/>
            <w:vAlign w:val="center"/>
            <w:shd w:fill="FFFFFF"/>
          </w:tcPr>
          <w:p>
            <w:pPr>
              <w:spacing w:after="0" w:before="0" w:line="250" w:lineRule="auto"/>
              <w:jc w:val="left"/>
            </w:pPr>
            <w:r>
              <w:rPr>
                <w:rFonts w:ascii="Arial" w:hAnsi="Arial"/>
                <w:b w:val="0"/>
                <w:color w:val="000000"/>
                <w:sz w:val="19"/>
              </w:rPr>
              <w:t>Existing A</w:t>
            </w:r>
          </w:p>
        </w:tc>
        <w:tc>
          <w:tcPr>
            <w:tcW w:type="dxa" w:w="1613"/>
            <w:vAlign w:val="center"/>
            <w:shd w:fill="FFFFFF"/>
          </w:tcPr>
          <w:p>
            <w:pPr>
              <w:spacing w:after="0" w:before="0" w:line="250" w:lineRule="auto"/>
              <w:jc w:val="center"/>
            </w:pPr>
            <w:r>
              <w:rPr>
                <w:rFonts w:ascii="Arial" w:hAnsi="Arial"/>
                <w:b w:val="0"/>
                <w:color w:val="000000"/>
                <w:sz w:val="19"/>
              </w:rPr>
              <w:t>RMB53.80</w:t>
            </w:r>
          </w:p>
        </w:tc>
        <w:tc>
          <w:tcPr>
            <w:tcW w:type="dxa" w:w="1800"/>
            <w:vAlign w:val="center"/>
            <w:shd w:fill="FFFFFF"/>
          </w:tcPr>
          <w:p>
            <w:pPr>
              <w:spacing w:after="0" w:before="0" w:line="250" w:lineRule="auto"/>
              <w:jc w:val="center"/>
            </w:pPr>
            <w:r>
              <w:rPr>
                <w:rFonts w:ascii="Arial" w:hAnsi="Arial"/>
                <w:b w:val="0"/>
                <w:color w:val="000000"/>
                <w:sz w:val="19"/>
              </w:rPr>
              <w:t>61.9</w:t>
            </w:r>
          </w:p>
        </w:tc>
        <w:tc>
          <w:tcPr>
            <w:tcW w:type="dxa" w:w="1555"/>
            <w:vAlign w:val="center"/>
            <w:shd w:fill="FFFFFF"/>
          </w:tcPr>
          <w:p>
            <w:pPr>
              <w:spacing w:after="0" w:before="0" w:line="250" w:lineRule="auto"/>
              <w:jc w:val="center"/>
            </w:pPr>
            <w:r>
              <w:rPr>
                <w:rFonts w:ascii="Arial" w:hAnsi="Arial"/>
                <w:b w:val="0"/>
                <w:color w:val="000000"/>
                <w:sz w:val="19"/>
              </w:rPr>
              <w:t>24.0x</w:t>
            </w:r>
          </w:p>
        </w:tc>
        <w:tc>
          <w:tcPr>
            <w:tcW w:type="dxa" w:w="1584"/>
            <w:vAlign w:val="center"/>
            <w:shd w:fill="FFFFFF"/>
          </w:tcPr>
          <w:p>
            <w:pPr>
              <w:spacing w:after="0" w:before="0" w:line="250" w:lineRule="auto"/>
              <w:jc w:val="center"/>
            </w:pPr>
            <w:r>
              <w:rPr>
                <w:rFonts w:ascii="Arial" w:hAnsi="Arial"/>
                <w:b w:val="0"/>
                <w:color w:val="000000"/>
                <w:sz w:val="19"/>
              </w:rPr>
              <w:t>19.7x</w:t>
            </w:r>
          </w:p>
        </w:tc>
        <w:tc>
          <w:tcPr>
            <w:tcW w:type="dxa" w:w="1584"/>
            <w:vAlign w:val="center"/>
            <w:shd w:fill="FFFFFF"/>
          </w:tcPr>
          <w:p>
            <w:pPr>
              <w:spacing w:after="0" w:before="0" w:line="250" w:lineRule="auto"/>
              <w:jc w:val="center"/>
            </w:pPr>
            <w:r>
              <w:rPr>
                <w:rFonts w:ascii="Arial" w:hAnsi="Arial"/>
                <w:b w:val="0"/>
                <w:color w:val="000000"/>
                <w:sz w:val="19"/>
              </w:rPr>
              <w:t>17.4x</w:t>
            </w:r>
          </w:p>
        </w:tc>
      </w:tr>
      <w:tr>
        <w:trPr>
          <w:cantSplit/>
        </w:trPr>
        <w:tc>
          <w:tcPr>
            <w:tcW w:type="dxa" w:w="1872"/>
            <w:vAlign w:val="center"/>
            <w:shd w:fill="EEF3F7"/>
          </w:tcPr>
          <w:p>
            <w:pPr>
              <w:spacing w:after="0" w:before="0" w:line="250" w:lineRule="auto"/>
              <w:jc w:val="left"/>
            </w:pPr>
            <w:r>
              <w:rPr>
                <w:rFonts w:ascii="Arial" w:hAnsi="Arial"/>
                <w:b w:val="0"/>
                <w:color w:val="000000"/>
                <w:sz w:val="19"/>
              </w:rPr>
              <w:t>H offer low</w:t>
            </w:r>
          </w:p>
        </w:tc>
        <w:tc>
          <w:tcPr>
            <w:tcW w:type="dxa" w:w="1613"/>
            <w:vAlign w:val="center"/>
            <w:shd w:fill="EEF3F7"/>
          </w:tcPr>
          <w:p>
            <w:pPr>
              <w:spacing w:after="0" w:before="0" w:line="250" w:lineRule="auto"/>
              <w:jc w:val="center"/>
            </w:pPr>
            <w:r>
              <w:rPr>
                <w:rFonts w:ascii="Arial" w:hAnsi="Arial"/>
                <w:b w:val="0"/>
                <w:color w:val="000000"/>
                <w:sz w:val="19"/>
              </w:rPr>
              <w:t>HK$35.30</w:t>
            </w:r>
          </w:p>
        </w:tc>
        <w:tc>
          <w:tcPr>
            <w:tcW w:type="dxa" w:w="1800"/>
            <w:vAlign w:val="center"/>
            <w:shd w:fill="EEF3F7"/>
          </w:tcPr>
          <w:p>
            <w:pPr>
              <w:spacing w:after="0" w:before="0" w:line="250" w:lineRule="auto"/>
              <w:jc w:val="center"/>
            </w:pPr>
            <w:r>
              <w:rPr>
                <w:rFonts w:ascii="Arial" w:hAnsi="Arial"/>
                <w:b w:val="0"/>
                <w:color w:val="000000"/>
                <w:sz w:val="19"/>
              </w:rPr>
              <w:t>37.3</w:t>
            </w:r>
          </w:p>
        </w:tc>
        <w:tc>
          <w:tcPr>
            <w:tcW w:type="dxa" w:w="1555"/>
            <w:vAlign w:val="center"/>
            <w:shd w:fill="EEF3F7"/>
          </w:tcPr>
          <w:p>
            <w:pPr>
              <w:spacing w:after="0" w:before="0" w:line="250" w:lineRule="auto"/>
              <w:jc w:val="center"/>
            </w:pPr>
            <w:r>
              <w:rPr>
                <w:rFonts w:ascii="Arial" w:hAnsi="Arial"/>
                <w:b w:val="0"/>
                <w:color w:val="000000"/>
                <w:sz w:val="19"/>
              </w:rPr>
              <w:t>14.5x</w:t>
            </w:r>
          </w:p>
        </w:tc>
        <w:tc>
          <w:tcPr>
            <w:tcW w:type="dxa" w:w="1584"/>
            <w:vAlign w:val="center"/>
            <w:shd w:fill="EEF3F7"/>
          </w:tcPr>
          <w:p>
            <w:pPr>
              <w:spacing w:after="0" w:before="0" w:line="250" w:lineRule="auto"/>
              <w:jc w:val="center"/>
            </w:pPr>
            <w:r>
              <w:rPr>
                <w:rFonts w:ascii="Arial" w:hAnsi="Arial"/>
                <w:b w:val="0"/>
                <w:color w:val="000000"/>
                <w:sz w:val="19"/>
              </w:rPr>
              <w:t>11.9x</w:t>
            </w:r>
          </w:p>
        </w:tc>
        <w:tc>
          <w:tcPr>
            <w:tcW w:type="dxa" w:w="1584"/>
            <w:vAlign w:val="center"/>
            <w:shd w:fill="EEF3F7"/>
          </w:tcPr>
          <w:p>
            <w:pPr>
              <w:spacing w:after="0" w:before="0" w:line="250" w:lineRule="auto"/>
              <w:jc w:val="center"/>
            </w:pPr>
            <w:r>
              <w:rPr>
                <w:rFonts w:ascii="Arial" w:hAnsi="Arial"/>
                <w:b w:val="0"/>
                <w:color w:val="000000"/>
                <w:sz w:val="19"/>
              </w:rPr>
              <w:t>10.5x</w:t>
            </w:r>
          </w:p>
        </w:tc>
      </w:tr>
      <w:tr>
        <w:trPr>
          <w:cantSplit/>
        </w:trPr>
        <w:tc>
          <w:tcPr>
            <w:tcW w:type="dxa" w:w="1872"/>
            <w:vAlign w:val="center"/>
            <w:shd w:fill="FFFFFF"/>
          </w:tcPr>
          <w:p>
            <w:pPr>
              <w:spacing w:after="0" w:before="0" w:line="250" w:lineRule="auto"/>
              <w:jc w:val="left"/>
            </w:pPr>
            <w:r>
              <w:rPr>
                <w:rFonts w:ascii="Arial" w:hAnsi="Arial"/>
                <w:b w:val="0"/>
                <w:color w:val="000000"/>
                <w:sz w:val="19"/>
              </w:rPr>
              <w:t>H midpoint</w:t>
            </w:r>
          </w:p>
        </w:tc>
        <w:tc>
          <w:tcPr>
            <w:tcW w:type="dxa" w:w="1613"/>
            <w:vAlign w:val="center"/>
            <w:shd w:fill="FFFFFF"/>
          </w:tcPr>
          <w:p>
            <w:pPr>
              <w:spacing w:after="0" w:before="0" w:line="250" w:lineRule="auto"/>
              <w:jc w:val="center"/>
            </w:pPr>
            <w:r>
              <w:rPr>
                <w:rFonts w:ascii="Arial" w:hAnsi="Arial"/>
                <w:b w:val="0"/>
                <w:color w:val="000000"/>
                <w:sz w:val="19"/>
              </w:rPr>
              <w:t>HK$37.05</w:t>
            </w:r>
          </w:p>
        </w:tc>
        <w:tc>
          <w:tcPr>
            <w:tcW w:type="dxa" w:w="1800"/>
            <w:vAlign w:val="center"/>
            <w:shd w:fill="FFFFFF"/>
          </w:tcPr>
          <w:p>
            <w:pPr>
              <w:spacing w:after="0" w:before="0" w:line="250" w:lineRule="auto"/>
              <w:jc w:val="center"/>
            </w:pPr>
            <w:r>
              <w:rPr>
                <w:rFonts w:ascii="Arial" w:hAnsi="Arial"/>
                <w:b w:val="0"/>
                <w:color w:val="000000"/>
                <w:sz w:val="19"/>
              </w:rPr>
              <w:t>39.2</w:t>
            </w:r>
          </w:p>
        </w:tc>
        <w:tc>
          <w:tcPr>
            <w:tcW w:type="dxa" w:w="1555"/>
            <w:vAlign w:val="center"/>
            <w:shd w:fill="FFFFFF"/>
          </w:tcPr>
          <w:p>
            <w:pPr>
              <w:spacing w:after="0" w:before="0" w:line="250" w:lineRule="auto"/>
              <w:jc w:val="center"/>
            </w:pPr>
            <w:r>
              <w:rPr>
                <w:rFonts w:ascii="Arial" w:hAnsi="Arial"/>
                <w:b w:val="0"/>
                <w:color w:val="000000"/>
                <w:sz w:val="19"/>
              </w:rPr>
              <w:t>15.2x</w:t>
            </w:r>
          </w:p>
        </w:tc>
        <w:tc>
          <w:tcPr>
            <w:tcW w:type="dxa" w:w="1584"/>
            <w:vAlign w:val="center"/>
            <w:shd w:fill="FFFFFF"/>
          </w:tcPr>
          <w:p>
            <w:pPr>
              <w:spacing w:after="0" w:before="0" w:line="250" w:lineRule="auto"/>
              <w:jc w:val="center"/>
            </w:pPr>
            <w:r>
              <w:rPr>
                <w:rFonts w:ascii="Arial" w:hAnsi="Arial"/>
                <w:b w:val="0"/>
                <w:color w:val="000000"/>
                <w:sz w:val="19"/>
              </w:rPr>
              <w:t>12.5x</w:t>
            </w:r>
          </w:p>
        </w:tc>
        <w:tc>
          <w:tcPr>
            <w:tcW w:type="dxa" w:w="1584"/>
            <w:vAlign w:val="center"/>
            <w:shd w:fill="FFFFFF"/>
          </w:tcPr>
          <w:p>
            <w:pPr>
              <w:spacing w:after="0" w:before="0" w:line="250" w:lineRule="auto"/>
              <w:jc w:val="center"/>
            </w:pPr>
            <w:r>
              <w:rPr>
                <w:rFonts w:ascii="Arial" w:hAnsi="Arial"/>
                <w:b w:val="0"/>
                <w:color w:val="000000"/>
                <w:sz w:val="19"/>
              </w:rPr>
              <w:t>11.0x</w:t>
            </w:r>
          </w:p>
        </w:tc>
      </w:tr>
      <w:tr>
        <w:trPr>
          <w:cantSplit/>
        </w:trPr>
        <w:tc>
          <w:tcPr>
            <w:tcW w:type="dxa" w:w="1872"/>
            <w:vAlign w:val="center"/>
            <w:shd w:fill="EEF3F7"/>
          </w:tcPr>
          <w:p>
            <w:pPr>
              <w:spacing w:after="0" w:before="0" w:line="250" w:lineRule="auto"/>
              <w:jc w:val="left"/>
            </w:pPr>
            <w:r>
              <w:rPr>
                <w:rFonts w:ascii="Arial" w:hAnsi="Arial"/>
                <w:b w:val="0"/>
                <w:color w:val="000000"/>
                <w:sz w:val="19"/>
              </w:rPr>
              <w:t>H offer high</w:t>
            </w:r>
          </w:p>
        </w:tc>
        <w:tc>
          <w:tcPr>
            <w:tcW w:type="dxa" w:w="1613"/>
            <w:vAlign w:val="center"/>
            <w:shd w:fill="EEF3F7"/>
          </w:tcPr>
          <w:p>
            <w:pPr>
              <w:spacing w:after="0" w:before="0" w:line="250" w:lineRule="auto"/>
              <w:jc w:val="center"/>
            </w:pPr>
            <w:r>
              <w:rPr>
                <w:rFonts w:ascii="Arial" w:hAnsi="Arial"/>
                <w:b w:val="0"/>
                <w:color w:val="000000"/>
                <w:sz w:val="19"/>
              </w:rPr>
              <w:t>HK$38.80</w:t>
            </w:r>
          </w:p>
        </w:tc>
        <w:tc>
          <w:tcPr>
            <w:tcW w:type="dxa" w:w="1800"/>
            <w:vAlign w:val="center"/>
            <w:shd w:fill="EEF3F7"/>
          </w:tcPr>
          <w:p>
            <w:pPr>
              <w:spacing w:after="0" w:before="0" w:line="250" w:lineRule="auto"/>
              <w:jc w:val="center"/>
            </w:pPr>
            <w:r>
              <w:rPr>
                <w:rFonts w:ascii="Arial" w:hAnsi="Arial"/>
                <w:b w:val="0"/>
                <w:color w:val="000000"/>
                <w:sz w:val="19"/>
              </w:rPr>
              <w:t>41.0</w:t>
            </w:r>
          </w:p>
        </w:tc>
        <w:tc>
          <w:tcPr>
            <w:tcW w:type="dxa" w:w="1555"/>
            <w:vAlign w:val="center"/>
            <w:shd w:fill="EEF3F7"/>
          </w:tcPr>
          <w:p>
            <w:pPr>
              <w:spacing w:after="0" w:before="0" w:line="250" w:lineRule="auto"/>
              <w:jc w:val="center"/>
            </w:pPr>
            <w:r>
              <w:rPr>
                <w:rFonts w:ascii="Arial" w:hAnsi="Arial"/>
                <w:b w:val="0"/>
                <w:color w:val="000000"/>
                <w:sz w:val="19"/>
              </w:rPr>
              <w:t>15.9x</w:t>
            </w:r>
          </w:p>
        </w:tc>
        <w:tc>
          <w:tcPr>
            <w:tcW w:type="dxa" w:w="1584"/>
            <w:vAlign w:val="center"/>
            <w:shd w:fill="EEF3F7"/>
          </w:tcPr>
          <w:p>
            <w:pPr>
              <w:spacing w:after="0" w:before="0" w:line="250" w:lineRule="auto"/>
              <w:jc w:val="center"/>
            </w:pPr>
            <w:r>
              <w:rPr>
                <w:rFonts w:ascii="Arial" w:hAnsi="Arial"/>
                <w:b w:val="0"/>
                <w:color w:val="000000"/>
                <w:sz w:val="19"/>
              </w:rPr>
              <w:t>13.1x</w:t>
            </w:r>
          </w:p>
        </w:tc>
        <w:tc>
          <w:tcPr>
            <w:tcW w:type="dxa" w:w="1584"/>
            <w:vAlign w:val="center"/>
            <w:shd w:fill="EEF3F7"/>
          </w:tcPr>
          <w:p>
            <w:pPr>
              <w:spacing w:after="0" w:before="0" w:line="250" w:lineRule="auto"/>
              <w:jc w:val="center"/>
            </w:pPr>
            <w:r>
              <w:rPr>
                <w:rFonts w:ascii="Arial" w:hAnsi="Arial"/>
                <w:b w:val="0"/>
                <w:color w:val="000000"/>
                <w:sz w:val="19"/>
              </w:rPr>
              <w:t>11.5x</w:t>
            </w:r>
          </w:p>
        </w:tc>
      </w:tr>
    </w:tbl>
    <w:p>
      <w:pPr>
        <w:spacing w:after="0"/>
      </w:pPr>
    </w:p>
    <w:p>
      <w:r>
        <w:rPr>
          <w:sz w:val="19"/>
        </w:rPr>
        <w:t>The H valuation applies its offer price to all post-issue shares, excluding greenshoe. Existing A valuation uses pre-issue shares. At the same enlarged share count and an unchanged RMB53.80 A price, A valuation would be 21.2x TTM. The H per-share discount is 38.4–43.9%, or 41.2% at the midpoint. [1]</w:t>
      </w:r>
    </w:p>
    <w:p>
      <w:r>
        <w:rPr>
          <w:sz w:val="19"/>
        </w:rPr>
        <w:t>2026E uses the 12-institution mean attributable-profit forecast of RMB3.557bn as of 3 October. Forecasts range from RMB2.856bn to RMB4.228bn; the midpoint offer therefore spans 13.7x to 9.3x forward P/E across that range. [4]</w:t>
      </w:r>
    </w:p>
    <w:p>
      <w:pPr>
        <w:pStyle w:val="Caption"/>
      </w:pPr>
      <w:r>
        <w:t>Listed peers and their relevance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8" w:type="dxa"/>
          <w:bottom w:w="88" w:type="dxa"/>
          <w:left w:w="110" w:type="dxa"/>
          <w:right w:w="110" w:type="dxa"/>
        </w:tblCellMar>
      </w:tblPr>
      <w:tblGrid>
        <w:gridCol w:w="1987"/>
        <w:gridCol w:w="3298"/>
        <w:gridCol w:w="2347"/>
        <w:gridCol w:w="2376"/>
      </w:tblGrid>
      <w:tr>
        <w:trPr>
          <w:tblHeader/>
          <w:cantSplit/>
        </w:trPr>
        <w:tc>
          <w:tcPr>
            <w:tcW w:type="dxa" w:w="1987"/>
            <w:vAlign w:val="center"/>
            <w:shd w:fill="233B53"/>
          </w:tcPr>
          <w:p>
            <w:pPr>
              <w:spacing w:after="0" w:before="0" w:line="250" w:lineRule="auto"/>
              <w:jc w:val="left"/>
            </w:pPr>
            <w:r>
              <w:rPr>
                <w:rFonts w:ascii="Arial" w:hAnsi="Arial"/>
                <w:b/>
                <w:color w:val="FFFFFF"/>
                <w:sz w:val="19"/>
              </w:rPr>
              <w:t>Company and ticker</w:t>
            </w:r>
          </w:p>
        </w:tc>
        <w:tc>
          <w:tcPr>
            <w:tcW w:type="dxa" w:w="3298"/>
            <w:vAlign w:val="center"/>
            <w:shd w:fill="233B53"/>
          </w:tcPr>
          <w:p>
            <w:pPr>
              <w:spacing w:after="0" w:before="0" w:line="250" w:lineRule="auto"/>
              <w:jc w:val="left"/>
            </w:pPr>
            <w:r>
              <w:rPr>
                <w:rFonts w:ascii="Arial" w:hAnsi="Arial"/>
                <w:b/>
                <w:color w:val="FFFFFF"/>
                <w:sz w:val="19"/>
              </w:rPr>
              <w:t>Relationship to Transsion</w:t>
            </w:r>
          </w:p>
        </w:tc>
        <w:tc>
          <w:tcPr>
            <w:tcW w:type="dxa" w:w="2347"/>
            <w:vAlign w:val="center"/>
            <w:shd w:fill="233B53"/>
          </w:tcPr>
          <w:p>
            <w:pPr>
              <w:spacing w:after="0" w:before="0" w:line="250" w:lineRule="auto"/>
              <w:jc w:val="center"/>
            </w:pPr>
            <w:r>
              <w:rPr>
                <w:rFonts w:ascii="Arial" w:hAnsi="Arial"/>
                <w:b/>
                <w:color w:val="FFFFFF"/>
                <w:sz w:val="19"/>
              </w:rPr>
              <w:t>A close /</w:t>
              <w:br/>
              <w:t>TTM P/E</w:t>
            </w:r>
          </w:p>
        </w:tc>
        <w:tc>
          <w:tcPr>
            <w:tcW w:type="dxa" w:w="2376"/>
            <w:vAlign w:val="center"/>
            <w:shd w:fill="233B53"/>
          </w:tcPr>
          <w:p>
            <w:pPr>
              <w:spacing w:after="0" w:before="0" w:line="250" w:lineRule="auto"/>
              <w:jc w:val="center"/>
            </w:pPr>
            <w:r>
              <w:rPr>
                <w:rFonts w:ascii="Arial" w:hAnsi="Arial"/>
                <w:b/>
                <w:color w:val="FFFFFF"/>
                <w:sz w:val="19"/>
              </w:rPr>
              <w:t>H close /</w:t>
              <w:br/>
              <w:t>TTM P/E</w:t>
            </w:r>
          </w:p>
        </w:tc>
      </w:tr>
      <w:tr>
        <w:trPr>
          <w:cantSplit/>
        </w:trPr>
        <w:tc>
          <w:tcPr>
            <w:tcW w:type="dxa" w:w="1987"/>
            <w:vAlign w:val="center"/>
            <w:shd w:fill="FFFFFF"/>
          </w:tcPr>
          <w:p>
            <w:pPr>
              <w:spacing w:after="0" w:before="0" w:line="250" w:lineRule="auto"/>
              <w:jc w:val="left"/>
            </w:pPr>
            <w:r>
              <w:rPr>
                <w:rFonts w:ascii="Arial" w:hAnsi="Arial"/>
                <w:b w:val="0"/>
                <w:color w:val="000000"/>
                <w:sz w:val="19"/>
              </w:rPr>
              <w:t>Xiaomi</w:t>
              <w:br/>
              <w:t>1810 HK</w:t>
            </w:r>
          </w:p>
        </w:tc>
        <w:tc>
          <w:tcPr>
            <w:tcW w:type="dxa" w:w="3298"/>
            <w:vAlign w:val="center"/>
            <w:shd w:fill="FFFFFF"/>
          </w:tcPr>
          <w:p>
            <w:pPr>
              <w:spacing w:after="0" w:before="0" w:line="250" w:lineRule="auto"/>
              <w:jc w:val="left"/>
            </w:pPr>
            <w:r>
              <w:rPr>
                <w:rFonts w:ascii="Arial" w:hAnsi="Arial"/>
                <w:b w:val="0"/>
                <w:color w:val="000000"/>
                <w:sz w:val="19"/>
              </w:rPr>
              <w:t>Closest listed handset brand; internet, IoT and EVs also material</w:t>
            </w:r>
          </w:p>
        </w:tc>
        <w:tc>
          <w:tcPr>
            <w:tcW w:type="dxa" w:w="2347"/>
            <w:vAlign w:val="center"/>
            <w:shd w:fill="FFFFFF"/>
          </w:tcPr>
          <w:p>
            <w:pPr>
              <w:spacing w:after="0" w:before="0" w:line="250" w:lineRule="auto"/>
              <w:jc w:val="center"/>
            </w:pPr>
            <w:r>
              <w:rPr>
                <w:rFonts w:ascii="Arial" w:hAnsi="Arial"/>
                <w:b w:val="0"/>
                <w:color w:val="000000"/>
                <w:sz w:val="19"/>
              </w:rPr>
              <w:t>—</w:t>
            </w:r>
          </w:p>
        </w:tc>
        <w:tc>
          <w:tcPr>
            <w:tcW w:type="dxa" w:w="2376"/>
            <w:vAlign w:val="center"/>
            <w:shd w:fill="FFFFFF"/>
          </w:tcPr>
          <w:p>
            <w:pPr>
              <w:spacing w:after="0" w:before="0" w:line="250" w:lineRule="auto"/>
              <w:jc w:val="center"/>
            </w:pPr>
            <w:r>
              <w:rPr>
                <w:rFonts w:ascii="Arial" w:hAnsi="Arial"/>
                <w:b w:val="0"/>
                <w:color w:val="000000"/>
                <w:sz w:val="19"/>
              </w:rPr>
              <w:t>HK$24.26</w:t>
              <w:br/>
              <w:t>16.2x</w:t>
            </w:r>
          </w:p>
        </w:tc>
      </w:tr>
      <w:tr>
        <w:trPr>
          <w:cantSplit/>
        </w:trPr>
        <w:tc>
          <w:tcPr>
            <w:tcW w:type="dxa" w:w="1987"/>
            <w:vAlign w:val="center"/>
            <w:shd w:fill="EEF3F7"/>
          </w:tcPr>
          <w:p>
            <w:pPr>
              <w:spacing w:after="0" w:before="0" w:line="250" w:lineRule="auto"/>
              <w:jc w:val="left"/>
            </w:pPr>
            <w:r>
              <w:rPr>
                <w:rFonts w:ascii="Arial" w:hAnsi="Arial"/>
                <w:b w:val="0"/>
                <w:color w:val="000000"/>
                <w:sz w:val="19"/>
              </w:rPr>
              <w:t>Lenovo</w:t>
              <w:br/>
              <w:t>0992 HK</w:t>
            </w:r>
          </w:p>
        </w:tc>
        <w:tc>
          <w:tcPr>
            <w:tcW w:type="dxa" w:w="3298"/>
            <w:vAlign w:val="center"/>
            <w:shd w:fill="EEF3F7"/>
          </w:tcPr>
          <w:p>
            <w:pPr>
              <w:spacing w:after="0" w:before="0" w:line="250" w:lineRule="auto"/>
              <w:jc w:val="left"/>
            </w:pPr>
            <w:r>
              <w:rPr>
                <w:rFonts w:ascii="Arial" w:hAnsi="Arial"/>
                <w:b w:val="0"/>
                <w:color w:val="000000"/>
                <w:sz w:val="19"/>
              </w:rPr>
              <w:t>Motorola competes directly; PCs and servers dominate group mix</w:t>
            </w:r>
          </w:p>
        </w:tc>
        <w:tc>
          <w:tcPr>
            <w:tcW w:type="dxa" w:w="2347"/>
            <w:vAlign w:val="center"/>
            <w:shd w:fill="EEF3F7"/>
          </w:tcPr>
          <w:p>
            <w:pPr>
              <w:spacing w:after="0" w:before="0" w:line="250" w:lineRule="auto"/>
              <w:jc w:val="center"/>
            </w:pPr>
            <w:r>
              <w:rPr>
                <w:rFonts w:ascii="Arial" w:hAnsi="Arial"/>
                <w:b w:val="0"/>
                <w:color w:val="000000"/>
                <w:sz w:val="19"/>
              </w:rPr>
              <w:t>—</w:t>
            </w:r>
          </w:p>
        </w:tc>
        <w:tc>
          <w:tcPr>
            <w:tcW w:type="dxa" w:w="2376"/>
            <w:vAlign w:val="center"/>
            <w:shd w:fill="EEF3F7"/>
          </w:tcPr>
          <w:p>
            <w:pPr>
              <w:spacing w:after="0" w:before="0" w:line="250" w:lineRule="auto"/>
              <w:jc w:val="center"/>
            </w:pPr>
            <w:r>
              <w:rPr>
                <w:rFonts w:ascii="Arial" w:hAnsi="Arial"/>
                <w:b w:val="0"/>
                <w:color w:val="000000"/>
                <w:sz w:val="19"/>
              </w:rPr>
              <w:t>HK$35.40</w:t>
              <w:br/>
              <w:t>72.5x / 21.2x*</w:t>
            </w:r>
          </w:p>
        </w:tc>
      </w:tr>
      <w:tr>
        <w:trPr>
          <w:cantSplit/>
        </w:trPr>
        <w:tc>
          <w:tcPr>
            <w:tcW w:type="dxa" w:w="1987"/>
            <w:vAlign w:val="center"/>
            <w:shd w:fill="FFFFFF"/>
          </w:tcPr>
          <w:p>
            <w:pPr>
              <w:spacing w:after="0" w:before="0" w:line="250" w:lineRule="auto"/>
              <w:jc w:val="left"/>
            </w:pPr>
            <w:r>
              <w:rPr>
                <w:rFonts w:ascii="Arial" w:hAnsi="Arial"/>
                <w:b w:val="0"/>
                <w:color w:val="000000"/>
                <w:sz w:val="19"/>
              </w:rPr>
              <w:t>ZTE</w:t>
              <w:br/>
              <w:t>000063 SZ / 0763 HK</w:t>
            </w:r>
          </w:p>
        </w:tc>
        <w:tc>
          <w:tcPr>
            <w:tcW w:type="dxa" w:w="3298"/>
            <w:vAlign w:val="center"/>
            <w:shd w:fill="FFFFFF"/>
          </w:tcPr>
          <w:p>
            <w:pPr>
              <w:spacing w:after="0" w:before="0" w:line="250" w:lineRule="auto"/>
              <w:jc w:val="left"/>
            </w:pPr>
            <w:r>
              <w:rPr>
                <w:rFonts w:ascii="Arial" w:hAnsi="Arial"/>
                <w:b w:val="0"/>
                <w:color w:val="000000"/>
                <w:sz w:val="19"/>
              </w:rPr>
              <w:t>Partial handset overlap; substantial telecom equipment</w:t>
            </w:r>
          </w:p>
        </w:tc>
        <w:tc>
          <w:tcPr>
            <w:tcW w:type="dxa" w:w="2347"/>
            <w:vAlign w:val="center"/>
            <w:shd w:fill="FFFFFF"/>
          </w:tcPr>
          <w:p>
            <w:pPr>
              <w:spacing w:after="0" w:before="0" w:line="250" w:lineRule="auto"/>
              <w:jc w:val="center"/>
            </w:pPr>
            <w:r>
              <w:rPr>
                <w:rFonts w:ascii="Arial" w:hAnsi="Arial"/>
                <w:b w:val="0"/>
                <w:color w:val="000000"/>
                <w:sz w:val="19"/>
              </w:rPr>
              <w:t>RMB30.58</w:t>
              <w:br/>
              <w:t>44.2x</w:t>
            </w:r>
          </w:p>
        </w:tc>
        <w:tc>
          <w:tcPr>
            <w:tcW w:type="dxa" w:w="2376"/>
            <w:vAlign w:val="center"/>
            <w:shd w:fill="FFFFFF"/>
          </w:tcPr>
          <w:p>
            <w:pPr>
              <w:spacing w:after="0" w:before="0" w:line="250" w:lineRule="auto"/>
              <w:jc w:val="center"/>
            </w:pPr>
            <w:r>
              <w:rPr>
                <w:rFonts w:ascii="Arial" w:hAnsi="Arial"/>
                <w:b w:val="0"/>
                <w:color w:val="000000"/>
                <w:sz w:val="19"/>
              </w:rPr>
              <w:t>HK$21.80</w:t>
              <w:br/>
              <w:t>26.9x</w:t>
            </w:r>
          </w:p>
        </w:tc>
      </w:tr>
      <w:tr>
        <w:trPr>
          <w:cantSplit/>
        </w:trPr>
        <w:tc>
          <w:tcPr>
            <w:tcW w:type="dxa" w:w="1987"/>
            <w:vAlign w:val="center"/>
            <w:shd w:fill="EEF3F7"/>
          </w:tcPr>
          <w:p>
            <w:pPr>
              <w:spacing w:after="0" w:before="0" w:line="250" w:lineRule="auto"/>
              <w:jc w:val="left"/>
            </w:pPr>
            <w:r>
              <w:rPr>
                <w:rFonts w:ascii="Arial" w:hAnsi="Arial"/>
                <w:b w:val="0"/>
                <w:color w:val="000000"/>
                <w:sz w:val="19"/>
              </w:rPr>
              <w:t>Huaqin</w:t>
              <w:br/>
              <w:t>603296 SH / 3296 HK</w:t>
            </w:r>
          </w:p>
        </w:tc>
        <w:tc>
          <w:tcPr>
            <w:tcW w:type="dxa" w:w="3298"/>
            <w:vAlign w:val="center"/>
            <w:shd w:fill="EEF3F7"/>
          </w:tcPr>
          <w:p>
            <w:pPr>
              <w:spacing w:after="0" w:before="0" w:line="250" w:lineRule="auto"/>
              <w:jc w:val="left"/>
            </w:pPr>
            <w:r>
              <w:rPr>
                <w:rFonts w:ascii="Arial" w:hAnsi="Arial"/>
                <w:b w:val="0"/>
                <w:color w:val="000000"/>
                <w:sz w:val="19"/>
              </w:rPr>
              <w:t>ODM manufacturing comparable</w:t>
            </w:r>
          </w:p>
        </w:tc>
        <w:tc>
          <w:tcPr>
            <w:tcW w:type="dxa" w:w="2347"/>
            <w:vAlign w:val="center"/>
            <w:shd w:fill="EEF3F7"/>
          </w:tcPr>
          <w:p>
            <w:pPr>
              <w:spacing w:after="0" w:before="0" w:line="250" w:lineRule="auto"/>
              <w:jc w:val="center"/>
            </w:pPr>
            <w:r>
              <w:rPr>
                <w:rFonts w:ascii="Arial" w:hAnsi="Arial"/>
                <w:b w:val="0"/>
                <w:color w:val="000000"/>
                <w:sz w:val="19"/>
              </w:rPr>
              <w:t>RMB74.49</w:t>
              <w:br/>
              <w:t>21.9x</w:t>
            </w:r>
          </w:p>
        </w:tc>
        <w:tc>
          <w:tcPr>
            <w:tcW w:type="dxa" w:w="2376"/>
            <w:vAlign w:val="center"/>
            <w:shd w:fill="EEF3F7"/>
          </w:tcPr>
          <w:p>
            <w:pPr>
              <w:spacing w:after="0" w:before="0" w:line="250" w:lineRule="auto"/>
              <w:jc w:val="center"/>
            </w:pPr>
            <w:r>
              <w:rPr>
                <w:rFonts w:ascii="Arial" w:hAnsi="Arial"/>
                <w:b w:val="0"/>
                <w:color w:val="000000"/>
                <w:sz w:val="19"/>
              </w:rPr>
              <w:t>HK$65.10</w:t>
              <w:br/>
              <w:t>16.3x</w:t>
            </w:r>
          </w:p>
        </w:tc>
      </w:tr>
      <w:tr>
        <w:trPr>
          <w:cantSplit/>
        </w:trPr>
        <w:tc>
          <w:tcPr>
            <w:tcW w:type="dxa" w:w="1987"/>
            <w:vAlign w:val="center"/>
            <w:shd w:fill="FFFFFF"/>
          </w:tcPr>
          <w:p>
            <w:pPr>
              <w:spacing w:after="0" w:before="0" w:line="250" w:lineRule="auto"/>
              <w:jc w:val="left"/>
            </w:pPr>
            <w:r>
              <w:rPr>
                <w:rFonts w:ascii="Arial" w:hAnsi="Arial"/>
                <w:b w:val="0"/>
                <w:color w:val="000000"/>
                <w:sz w:val="19"/>
              </w:rPr>
              <w:t>Longcheer</w:t>
              <w:br/>
              <w:t>603341 SH / 9611 HK</w:t>
            </w:r>
          </w:p>
        </w:tc>
        <w:tc>
          <w:tcPr>
            <w:tcW w:type="dxa" w:w="3298"/>
            <w:vAlign w:val="center"/>
            <w:shd w:fill="FFFFFF"/>
          </w:tcPr>
          <w:p>
            <w:pPr>
              <w:spacing w:after="0" w:before="0" w:line="250" w:lineRule="auto"/>
              <w:jc w:val="left"/>
            </w:pPr>
            <w:r>
              <w:rPr>
                <w:rFonts w:ascii="Arial" w:hAnsi="Arial"/>
                <w:b w:val="0"/>
                <w:color w:val="000000"/>
                <w:sz w:val="19"/>
              </w:rPr>
              <w:t>ODM manufacturing comparable</w:t>
            </w:r>
          </w:p>
        </w:tc>
        <w:tc>
          <w:tcPr>
            <w:tcW w:type="dxa" w:w="2347"/>
            <w:vAlign w:val="center"/>
            <w:shd w:fill="FFFFFF"/>
          </w:tcPr>
          <w:p>
            <w:pPr>
              <w:spacing w:after="0" w:before="0" w:line="250" w:lineRule="auto"/>
              <w:jc w:val="center"/>
            </w:pPr>
            <w:r>
              <w:rPr>
                <w:rFonts w:ascii="Arial" w:hAnsi="Arial"/>
                <w:b w:val="0"/>
                <w:color w:val="000000"/>
                <w:sz w:val="19"/>
              </w:rPr>
              <w:t>RMB35.21</w:t>
              <w:br/>
              <w:t>38.7x</w:t>
            </w:r>
          </w:p>
        </w:tc>
        <w:tc>
          <w:tcPr>
            <w:tcW w:type="dxa" w:w="2376"/>
            <w:vAlign w:val="center"/>
            <w:shd w:fill="FFFFFF"/>
          </w:tcPr>
          <w:p>
            <w:pPr>
              <w:spacing w:after="0" w:before="0" w:line="250" w:lineRule="auto"/>
              <w:jc w:val="center"/>
            </w:pPr>
            <w:r>
              <w:rPr>
                <w:rFonts w:ascii="Arial" w:hAnsi="Arial"/>
                <w:b w:val="0"/>
                <w:color w:val="000000"/>
                <w:sz w:val="19"/>
              </w:rPr>
              <w:t>HK$20.20</w:t>
              <w:br/>
              <w:t>19.0x</w:t>
            </w:r>
          </w:p>
        </w:tc>
      </w:tr>
      <w:tr>
        <w:trPr>
          <w:cantSplit/>
        </w:trPr>
        <w:tc>
          <w:tcPr>
            <w:tcW w:type="dxa" w:w="1987"/>
            <w:vAlign w:val="center"/>
            <w:shd w:fill="EEF3F7"/>
          </w:tcPr>
          <w:p>
            <w:pPr>
              <w:spacing w:after="0" w:before="0" w:line="250" w:lineRule="auto"/>
              <w:jc w:val="left"/>
            </w:pPr>
            <w:r>
              <w:rPr>
                <w:rFonts w:ascii="Arial" w:hAnsi="Arial"/>
                <w:b w:val="0"/>
                <w:color w:val="000000"/>
                <w:sz w:val="19"/>
              </w:rPr>
              <w:t>BYD Electronic</w:t>
              <w:br/>
              <w:t>0285 HK</w:t>
            </w:r>
          </w:p>
        </w:tc>
        <w:tc>
          <w:tcPr>
            <w:tcW w:type="dxa" w:w="3298"/>
            <w:vAlign w:val="center"/>
            <w:shd w:fill="EEF3F7"/>
          </w:tcPr>
          <w:p>
            <w:pPr>
              <w:spacing w:after="0" w:before="0" w:line="250" w:lineRule="auto"/>
              <w:jc w:val="left"/>
            </w:pPr>
            <w:r>
              <w:rPr>
                <w:rFonts w:ascii="Arial" w:hAnsi="Arial"/>
                <w:b w:val="0"/>
                <w:color w:val="000000"/>
                <w:sz w:val="19"/>
              </w:rPr>
              <w:t>Electronics assembly comparable</w:t>
            </w:r>
          </w:p>
        </w:tc>
        <w:tc>
          <w:tcPr>
            <w:tcW w:type="dxa" w:w="2347"/>
            <w:vAlign w:val="center"/>
            <w:shd w:fill="EEF3F7"/>
          </w:tcPr>
          <w:p>
            <w:pPr>
              <w:spacing w:after="0" w:before="0" w:line="250" w:lineRule="auto"/>
              <w:jc w:val="center"/>
            </w:pPr>
            <w:r>
              <w:rPr>
                <w:rFonts w:ascii="Arial" w:hAnsi="Arial"/>
                <w:b w:val="0"/>
                <w:color w:val="000000"/>
                <w:sz w:val="19"/>
              </w:rPr>
              <w:t>—</w:t>
            </w:r>
          </w:p>
        </w:tc>
        <w:tc>
          <w:tcPr>
            <w:tcW w:type="dxa" w:w="2376"/>
            <w:vAlign w:val="center"/>
            <w:shd w:fill="EEF3F7"/>
          </w:tcPr>
          <w:p>
            <w:pPr>
              <w:spacing w:after="0" w:before="0" w:line="250" w:lineRule="auto"/>
              <w:jc w:val="center"/>
            </w:pPr>
            <w:r>
              <w:rPr>
                <w:rFonts w:ascii="Arial" w:hAnsi="Arial"/>
                <w:b w:val="0"/>
                <w:color w:val="000000"/>
                <w:sz w:val="19"/>
              </w:rPr>
              <w:t>HK$23.90</w:t>
              <w:br/>
              <w:t>20.8x</w:t>
            </w:r>
          </w:p>
        </w:tc>
      </w:tr>
      <w:tr>
        <w:trPr>
          <w:cantSplit/>
        </w:trPr>
        <w:tc>
          <w:tcPr>
            <w:tcW w:type="dxa" w:w="1987"/>
            <w:vAlign w:val="center"/>
            <w:shd w:fill="FFFFFF"/>
          </w:tcPr>
          <w:p>
            <w:pPr>
              <w:spacing w:after="0" w:before="0" w:line="250" w:lineRule="auto"/>
              <w:jc w:val="left"/>
            </w:pPr>
            <w:r>
              <w:rPr>
                <w:rFonts w:ascii="Arial" w:hAnsi="Arial"/>
                <w:b w:val="0"/>
                <w:color w:val="000000"/>
                <w:sz w:val="19"/>
              </w:rPr>
              <w:t>Sunny Optical</w:t>
              <w:br/>
              <w:t>2382 HK</w:t>
            </w:r>
          </w:p>
        </w:tc>
        <w:tc>
          <w:tcPr>
            <w:tcW w:type="dxa" w:w="3298"/>
            <w:vAlign w:val="center"/>
            <w:shd w:fill="FFFFFF"/>
          </w:tcPr>
          <w:p>
            <w:pPr>
              <w:spacing w:after="0" w:before="0" w:line="250" w:lineRule="auto"/>
              <w:jc w:val="left"/>
            </w:pPr>
            <w:r>
              <w:rPr>
                <w:rFonts w:ascii="Arial" w:hAnsi="Arial"/>
                <w:b w:val="0"/>
                <w:color w:val="000000"/>
                <w:sz w:val="19"/>
              </w:rPr>
              <w:t>Optical components; weaker business comparable</w:t>
            </w:r>
          </w:p>
        </w:tc>
        <w:tc>
          <w:tcPr>
            <w:tcW w:type="dxa" w:w="2347"/>
            <w:vAlign w:val="center"/>
            <w:shd w:fill="FFFFFF"/>
          </w:tcPr>
          <w:p>
            <w:pPr>
              <w:spacing w:after="0" w:before="0" w:line="250" w:lineRule="auto"/>
              <w:jc w:val="center"/>
            </w:pPr>
            <w:r>
              <w:rPr>
                <w:rFonts w:ascii="Arial" w:hAnsi="Arial"/>
                <w:b w:val="0"/>
                <w:color w:val="000000"/>
                <w:sz w:val="19"/>
              </w:rPr>
              <w:t>—</w:t>
            </w:r>
          </w:p>
        </w:tc>
        <w:tc>
          <w:tcPr>
            <w:tcW w:type="dxa" w:w="2376"/>
            <w:vAlign w:val="center"/>
            <w:shd w:fill="FFFFFF"/>
          </w:tcPr>
          <w:p>
            <w:pPr>
              <w:spacing w:after="0" w:before="0" w:line="250" w:lineRule="auto"/>
              <w:jc w:val="center"/>
            </w:pPr>
            <w:r>
              <w:rPr>
                <w:rFonts w:ascii="Arial" w:hAnsi="Arial"/>
                <w:b w:val="0"/>
                <w:color w:val="000000"/>
                <w:sz w:val="19"/>
              </w:rPr>
              <w:t>HK$64.10</w:t>
              <w:br/>
              <w:t>12.3x</w:t>
            </w:r>
          </w:p>
        </w:tc>
      </w:tr>
    </w:tbl>
    <w:p>
      <w:pPr>
        <w:spacing w:after="0"/>
      </w:pPr>
    </w:p>
    <w:p>
      <w:r>
        <w:rPr>
          <w:sz w:val="18"/>
        </w:rPr>
        <w:t>* Lenovo: reported / adjusted non-GAAP P/E. A large warrant fair-value charge distorts reported earnings. All other ratios use reported attributable profit. Financial filings and price sources are linked on the final page.</w:t>
      </w:r>
    </w:p>
    <w:p>
      <w:r>
        <w:rPr>
          <w:sz w:val="18"/>
        </w:rPr>
        <w:t>A prices are 30 September closes; H prices are 6 October closes. FX is RMB1 = HK$1.1705 and US$1 = HK$7.848. TTM equals FY2025 + H1 2026 − H1 2025, except Lenovo, whose TTM ends June 2026 under its March year end. Ratios use latest disclosed issued shares and may differ slightly from terminal EPS-based multiples. [19]</w:t>
      </w:r>
    </w:p>
    <w:p>
      <w:r>
        <w:rPr>
          <w:sz w:val="19"/>
        </w:rPr>
        <w:t>Xiaomi should carry the most weight. Huaqin, Longcheer and ZTE trade at approximately 25%, 51% and 39% H discounts to A on these observations, so Transsion’s discount is within the peer range. A and H shares are not freely interchangeable.</w:t>
      </w:r>
    </w:p>
    <w:p>
      <w:r>
        <w:br w:type="page"/>
      </w:r>
    </w:p>
    <w:p>
      <w:r>
        <w:rPr>
          <w:b/>
        </w:rPr>
        <w:t>The numbers reconcile once profit ownership and the A versus H margin presentation are separated.</w:t>
      </w:r>
      <w:r/>
    </w:p>
    <w:p>
      <w:pPr>
        <w:pStyle w:val="Caption"/>
      </w:pPr>
      <w:r>
        <w:t>Operating figures and the margin correction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8" w:type="dxa"/>
          <w:bottom w:w="88" w:type="dxa"/>
          <w:left w:w="110" w:type="dxa"/>
          <w:right w:w="110" w:type="dxa"/>
        </w:tblCellMar>
      </w:tblPr>
      <w:tblGrid>
        <w:gridCol w:w="5976"/>
        <w:gridCol w:w="2016"/>
        <w:gridCol w:w="2016"/>
      </w:tblGrid>
      <w:tr>
        <w:trPr>
          <w:tblHeader/>
          <w:cantSplit/>
        </w:trPr>
        <w:tc>
          <w:tcPr>
            <w:tcW w:type="dxa" w:w="5976"/>
            <w:vAlign w:val="center"/>
            <w:shd w:fill="233B53"/>
          </w:tcPr>
          <w:p>
            <w:pPr>
              <w:spacing w:after="0" w:before="0" w:line="250" w:lineRule="auto"/>
              <w:jc w:val="left"/>
            </w:pPr>
            <w:r>
              <w:rPr>
                <w:rFonts w:ascii="Arial" w:hAnsi="Arial"/>
                <w:b/>
                <w:color w:val="FFFFFF"/>
                <w:sz w:val="19"/>
              </w:rPr>
              <w:t>RMB bn except margins</w:t>
            </w:r>
          </w:p>
        </w:tc>
        <w:tc>
          <w:tcPr>
            <w:tcW w:type="dxa" w:w="2016"/>
            <w:vAlign w:val="center"/>
            <w:shd w:fill="233B53"/>
          </w:tcPr>
          <w:p>
            <w:pPr>
              <w:spacing w:after="0" w:before="0" w:line="250" w:lineRule="auto"/>
              <w:jc w:val="center"/>
            </w:pPr>
            <w:r>
              <w:rPr>
                <w:rFonts w:ascii="Arial" w:hAnsi="Arial"/>
                <w:b/>
                <w:color w:val="FFFFFF"/>
                <w:sz w:val="19"/>
              </w:rPr>
              <w:t>FY2025</w:t>
            </w:r>
          </w:p>
        </w:tc>
        <w:tc>
          <w:tcPr>
            <w:tcW w:type="dxa" w:w="2016"/>
            <w:vAlign w:val="center"/>
            <w:shd w:fill="233B53"/>
          </w:tcPr>
          <w:p>
            <w:pPr>
              <w:spacing w:after="0" w:before="0" w:line="250" w:lineRule="auto"/>
              <w:jc w:val="center"/>
            </w:pPr>
            <w:r>
              <w:rPr>
                <w:rFonts w:ascii="Arial" w:hAnsi="Arial"/>
                <w:b/>
                <w:color w:val="FFFFFF"/>
                <w:sz w:val="19"/>
              </w:rPr>
              <w:t>H1 2026</w:t>
            </w:r>
          </w:p>
        </w:tc>
      </w:tr>
      <w:tr>
        <w:trPr>
          <w:cantSplit/>
        </w:trPr>
        <w:tc>
          <w:tcPr>
            <w:tcW w:type="dxa" w:w="5976"/>
            <w:vAlign w:val="center"/>
            <w:shd w:fill="FFFFFF"/>
          </w:tcPr>
          <w:p>
            <w:pPr>
              <w:spacing w:after="0" w:before="0" w:line="250" w:lineRule="auto"/>
              <w:jc w:val="left"/>
            </w:pPr>
            <w:r>
              <w:rPr>
                <w:rFonts w:ascii="Arial" w:hAnsi="Arial"/>
                <w:b w:val="0"/>
                <w:color w:val="000000"/>
                <w:sz w:val="19"/>
              </w:rPr>
              <w:t>Revenue</w:t>
            </w:r>
          </w:p>
        </w:tc>
        <w:tc>
          <w:tcPr>
            <w:tcW w:type="dxa" w:w="2016"/>
            <w:vAlign w:val="center"/>
            <w:shd w:fill="FFFFFF"/>
          </w:tcPr>
          <w:p>
            <w:pPr>
              <w:spacing w:after="0" w:before="0" w:line="250" w:lineRule="auto"/>
              <w:jc w:val="center"/>
            </w:pPr>
            <w:r>
              <w:rPr>
                <w:rFonts w:ascii="Arial" w:hAnsi="Arial"/>
                <w:b w:val="0"/>
                <w:color w:val="000000"/>
                <w:sz w:val="19"/>
              </w:rPr>
              <w:t>65.59</w:t>
            </w:r>
          </w:p>
        </w:tc>
        <w:tc>
          <w:tcPr>
            <w:tcW w:type="dxa" w:w="2016"/>
            <w:vAlign w:val="center"/>
            <w:shd w:fill="FFFFFF"/>
          </w:tcPr>
          <w:p>
            <w:pPr>
              <w:spacing w:after="0" w:before="0" w:line="250" w:lineRule="auto"/>
              <w:jc w:val="center"/>
            </w:pPr>
            <w:r>
              <w:rPr>
                <w:rFonts w:ascii="Arial" w:hAnsi="Arial"/>
                <w:b w:val="0"/>
                <w:color w:val="000000"/>
                <w:sz w:val="19"/>
              </w:rPr>
              <w:t>35.43</w:t>
            </w:r>
          </w:p>
        </w:tc>
      </w:tr>
      <w:tr>
        <w:trPr>
          <w:cantSplit/>
        </w:trPr>
        <w:tc>
          <w:tcPr>
            <w:tcW w:type="dxa" w:w="5976"/>
            <w:vAlign w:val="center"/>
            <w:shd w:fill="EEF3F7"/>
          </w:tcPr>
          <w:p>
            <w:pPr>
              <w:spacing w:after="0" w:before="0" w:line="250" w:lineRule="auto"/>
              <w:jc w:val="left"/>
            </w:pPr>
            <w:r>
              <w:rPr>
                <w:rFonts w:ascii="Arial" w:hAnsi="Arial"/>
                <w:b w:val="0"/>
                <w:color w:val="000000"/>
                <w:sz w:val="19"/>
              </w:rPr>
              <w:t>Profit attributable to shareholders</w:t>
            </w:r>
          </w:p>
        </w:tc>
        <w:tc>
          <w:tcPr>
            <w:tcW w:type="dxa" w:w="2016"/>
            <w:vAlign w:val="center"/>
            <w:shd w:fill="EEF3F7"/>
          </w:tcPr>
          <w:p>
            <w:pPr>
              <w:spacing w:after="0" w:before="0" w:line="250" w:lineRule="auto"/>
              <w:jc w:val="center"/>
            </w:pPr>
            <w:r>
              <w:rPr>
                <w:rFonts w:ascii="Arial" w:hAnsi="Arial"/>
                <w:b w:val="0"/>
                <w:color w:val="000000"/>
                <w:sz w:val="19"/>
              </w:rPr>
              <w:t>2.58</w:t>
            </w:r>
          </w:p>
        </w:tc>
        <w:tc>
          <w:tcPr>
            <w:tcW w:type="dxa" w:w="2016"/>
            <w:vAlign w:val="center"/>
            <w:shd w:fill="EEF3F7"/>
          </w:tcPr>
          <w:p>
            <w:pPr>
              <w:spacing w:after="0" w:before="0" w:line="250" w:lineRule="auto"/>
              <w:jc w:val="center"/>
            </w:pPr>
            <w:r>
              <w:rPr>
                <w:rFonts w:ascii="Arial" w:hAnsi="Arial"/>
                <w:b w:val="0"/>
                <w:color w:val="000000"/>
                <w:sz w:val="19"/>
              </w:rPr>
              <w:t>1.77</w:t>
            </w:r>
          </w:p>
        </w:tc>
      </w:tr>
      <w:tr>
        <w:trPr>
          <w:cantSplit/>
        </w:trPr>
        <w:tc>
          <w:tcPr>
            <w:tcW w:type="dxa" w:w="5976"/>
            <w:vAlign w:val="center"/>
            <w:shd w:fill="FFFFFF"/>
          </w:tcPr>
          <w:p>
            <w:pPr>
              <w:spacing w:after="0" w:before="0" w:line="250" w:lineRule="auto"/>
              <w:jc w:val="left"/>
            </w:pPr>
            <w:r>
              <w:rPr>
                <w:rFonts w:ascii="Arial" w:hAnsi="Arial"/>
                <w:b w:val="0"/>
                <w:color w:val="000000"/>
                <w:sz w:val="19"/>
              </w:rPr>
              <w:t>Group gross margin in A accounts</w:t>
            </w:r>
          </w:p>
        </w:tc>
        <w:tc>
          <w:tcPr>
            <w:tcW w:type="dxa" w:w="2016"/>
            <w:vAlign w:val="center"/>
            <w:shd w:fill="FFFFFF"/>
          </w:tcPr>
          <w:p>
            <w:pPr>
              <w:spacing w:after="0" w:before="0" w:line="250" w:lineRule="auto"/>
              <w:jc w:val="center"/>
            </w:pPr>
            <w:r>
              <w:rPr>
                <w:rFonts w:ascii="Arial" w:hAnsi="Arial"/>
                <w:b w:val="0"/>
                <w:color w:val="000000"/>
                <w:sz w:val="19"/>
              </w:rPr>
              <w:t>19.15%</w:t>
            </w:r>
          </w:p>
        </w:tc>
        <w:tc>
          <w:tcPr>
            <w:tcW w:type="dxa" w:w="2016"/>
            <w:vAlign w:val="center"/>
            <w:shd w:fill="FFFFFF"/>
          </w:tcPr>
          <w:p>
            <w:pPr>
              <w:spacing w:after="0" w:before="0" w:line="250" w:lineRule="auto"/>
              <w:jc w:val="center"/>
            </w:pPr>
            <w:r>
              <w:rPr>
                <w:rFonts w:ascii="Arial" w:hAnsi="Arial"/>
                <w:b w:val="0"/>
                <w:color w:val="000000"/>
                <w:sz w:val="19"/>
              </w:rPr>
              <w:t>22.63%</w:t>
            </w:r>
          </w:p>
        </w:tc>
      </w:tr>
      <w:tr>
        <w:trPr>
          <w:cantSplit/>
        </w:trPr>
        <w:tc>
          <w:tcPr>
            <w:tcW w:type="dxa" w:w="5976"/>
            <w:vAlign w:val="center"/>
            <w:shd w:fill="EEF3F7"/>
          </w:tcPr>
          <w:p>
            <w:pPr>
              <w:spacing w:after="0" w:before="0" w:line="250" w:lineRule="auto"/>
              <w:jc w:val="left"/>
            </w:pPr>
            <w:r>
              <w:rPr>
                <w:rFonts w:ascii="Arial" w:hAnsi="Arial"/>
                <w:b w:val="0"/>
                <w:color w:val="000000"/>
                <w:sz w:val="19"/>
              </w:rPr>
              <w:t>Group gross margin in H accounts</w:t>
            </w:r>
          </w:p>
        </w:tc>
        <w:tc>
          <w:tcPr>
            <w:tcW w:type="dxa" w:w="2016"/>
            <w:vAlign w:val="center"/>
            <w:shd w:fill="EEF3F7"/>
          </w:tcPr>
          <w:p>
            <w:pPr>
              <w:spacing w:after="0" w:before="0" w:line="250" w:lineRule="auto"/>
              <w:jc w:val="center"/>
            </w:pPr>
            <w:r>
              <w:rPr>
                <w:rFonts w:ascii="Arial" w:hAnsi="Arial"/>
                <w:b w:val="0"/>
                <w:color w:val="000000"/>
                <w:sz w:val="19"/>
              </w:rPr>
              <w:t>18.72%</w:t>
            </w:r>
          </w:p>
        </w:tc>
        <w:tc>
          <w:tcPr>
            <w:tcW w:type="dxa" w:w="2016"/>
            <w:vAlign w:val="center"/>
            <w:shd w:fill="EEF3F7"/>
          </w:tcPr>
          <w:p>
            <w:pPr>
              <w:spacing w:after="0" w:before="0" w:line="250" w:lineRule="auto"/>
              <w:jc w:val="center"/>
            </w:pPr>
            <w:r>
              <w:rPr>
                <w:rFonts w:ascii="Arial" w:hAnsi="Arial"/>
                <w:b w:val="0"/>
                <w:color w:val="000000"/>
                <w:sz w:val="19"/>
              </w:rPr>
              <w:t>21.58%</w:t>
            </w:r>
          </w:p>
        </w:tc>
      </w:tr>
    </w:tbl>
    <w:p>
      <w:pPr>
        <w:spacing w:after="0"/>
      </w:pPr>
    </w:p>
    <w:p>
      <w:r>
        <w:rPr>
          <w:sz w:val="19"/>
        </w:rPr>
        <w:t>Inventory write-downs explain the gross-margin gap: H cost of sales includes them; A accounts show them separately under impairment. Net profit is unchanged. The FY2025 18.43% figure is the A phone-segment margin. RMB2.605bn consolidated profit includes minority interests; P/E uses RMB2.581bn attributable profit. FY2025 selling expense RMB5.204bn and R&amp;D RMB2.950bn are correct. [1–3]</w:t>
      </w:r>
    </w:p>
    <w:p>
      <w:pPr>
        <w:pStyle w:val="Caption"/>
      </w:pPr>
      <w:r>
        <w:t>Inventory and the operating cash drain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8" w:type="dxa"/>
          <w:bottom w:w="88" w:type="dxa"/>
          <w:left w:w="110" w:type="dxa"/>
          <w:right w:w="110" w:type="dxa"/>
        </w:tblCellMar>
      </w:tblPr>
      <w:tblGrid>
        <w:gridCol w:w="4608"/>
        <w:gridCol w:w="1800"/>
        <w:gridCol w:w="1800"/>
        <w:gridCol w:w="1800"/>
      </w:tblGrid>
      <w:tr>
        <w:trPr>
          <w:tblHeader/>
          <w:cantSplit/>
        </w:trPr>
        <w:tc>
          <w:tcPr>
            <w:tcW w:type="dxa" w:w="4608"/>
            <w:vAlign w:val="center"/>
            <w:shd w:fill="233B53"/>
          </w:tcPr>
          <w:p>
            <w:pPr>
              <w:spacing w:after="0" w:before="0" w:line="250" w:lineRule="auto"/>
              <w:jc w:val="left"/>
            </w:pPr>
            <w:r>
              <w:rPr>
                <w:rFonts w:ascii="Arial" w:hAnsi="Arial"/>
                <w:b/>
                <w:color w:val="FFFFFF"/>
                <w:sz w:val="19"/>
              </w:rPr>
              <w:t>Net carrying value RMB bn</w:t>
            </w:r>
          </w:p>
        </w:tc>
        <w:tc>
          <w:tcPr>
            <w:tcW w:type="dxa" w:w="1800"/>
            <w:vAlign w:val="center"/>
            <w:shd w:fill="233B53"/>
          </w:tcPr>
          <w:p>
            <w:pPr>
              <w:spacing w:after="0" w:before="0" w:line="250" w:lineRule="auto"/>
              <w:jc w:val="center"/>
            </w:pPr>
            <w:r>
              <w:rPr>
                <w:rFonts w:ascii="Arial" w:hAnsi="Arial"/>
                <w:b/>
                <w:color w:val="FFFFFF"/>
                <w:sz w:val="19"/>
              </w:rPr>
              <w:t>Dec 2025</w:t>
            </w:r>
          </w:p>
        </w:tc>
        <w:tc>
          <w:tcPr>
            <w:tcW w:type="dxa" w:w="1800"/>
            <w:vAlign w:val="center"/>
            <w:shd w:fill="233B53"/>
          </w:tcPr>
          <w:p>
            <w:pPr>
              <w:spacing w:after="0" w:before="0" w:line="250" w:lineRule="auto"/>
              <w:jc w:val="center"/>
            </w:pPr>
            <w:r>
              <w:rPr>
                <w:rFonts w:ascii="Arial" w:hAnsi="Arial"/>
                <w:b/>
                <w:color w:val="FFFFFF"/>
                <w:sz w:val="19"/>
              </w:rPr>
              <w:t>June 2026</w:t>
            </w:r>
          </w:p>
        </w:tc>
        <w:tc>
          <w:tcPr>
            <w:tcW w:type="dxa" w:w="1800"/>
            <w:vAlign w:val="center"/>
            <w:shd w:fill="233B53"/>
          </w:tcPr>
          <w:p>
            <w:pPr>
              <w:spacing w:after="0" w:before="0" w:line="250" w:lineRule="auto"/>
              <w:jc w:val="center"/>
            </w:pPr>
            <w:r>
              <w:rPr>
                <w:rFonts w:ascii="Arial" w:hAnsi="Arial"/>
                <w:b/>
                <w:color w:val="FFFFFF"/>
                <w:sz w:val="19"/>
              </w:rPr>
              <w:t>Increase</w:t>
            </w:r>
          </w:p>
        </w:tc>
      </w:tr>
      <w:tr>
        <w:trPr>
          <w:cantSplit/>
        </w:trPr>
        <w:tc>
          <w:tcPr>
            <w:tcW w:type="dxa" w:w="4608"/>
            <w:vAlign w:val="center"/>
            <w:shd w:fill="FFFFFF"/>
          </w:tcPr>
          <w:p>
            <w:pPr>
              <w:spacing w:after="0" w:before="0" w:line="250" w:lineRule="auto"/>
              <w:jc w:val="left"/>
            </w:pPr>
            <w:r>
              <w:rPr>
                <w:rFonts w:ascii="Arial" w:hAnsi="Arial"/>
                <w:b w:val="0"/>
                <w:color w:val="000000"/>
                <w:sz w:val="19"/>
              </w:rPr>
              <w:t>Total inventory</w:t>
            </w:r>
          </w:p>
        </w:tc>
        <w:tc>
          <w:tcPr>
            <w:tcW w:type="dxa" w:w="1800"/>
            <w:vAlign w:val="center"/>
            <w:shd w:fill="FFFFFF"/>
          </w:tcPr>
          <w:p>
            <w:pPr>
              <w:spacing w:after="0" w:before="0" w:line="250" w:lineRule="auto"/>
              <w:jc w:val="center"/>
            </w:pPr>
            <w:r>
              <w:rPr>
                <w:rFonts w:ascii="Arial" w:hAnsi="Arial"/>
                <w:b w:val="0"/>
                <w:color w:val="000000"/>
                <w:sz w:val="19"/>
              </w:rPr>
              <w:t>8.90</w:t>
            </w:r>
          </w:p>
        </w:tc>
        <w:tc>
          <w:tcPr>
            <w:tcW w:type="dxa" w:w="1800"/>
            <w:vAlign w:val="center"/>
            <w:shd w:fill="FFFFFF"/>
          </w:tcPr>
          <w:p>
            <w:pPr>
              <w:spacing w:after="0" w:before="0" w:line="250" w:lineRule="auto"/>
              <w:jc w:val="center"/>
            </w:pPr>
            <w:r>
              <w:rPr>
                <w:rFonts w:ascii="Arial" w:hAnsi="Arial"/>
                <w:b w:val="0"/>
                <w:color w:val="000000"/>
                <w:sz w:val="19"/>
              </w:rPr>
              <w:t>18.94</w:t>
            </w:r>
          </w:p>
        </w:tc>
        <w:tc>
          <w:tcPr>
            <w:tcW w:type="dxa" w:w="1800"/>
            <w:vAlign w:val="center"/>
            <w:shd w:fill="FFFFFF"/>
          </w:tcPr>
          <w:p>
            <w:pPr>
              <w:spacing w:after="0" w:before="0" w:line="250" w:lineRule="auto"/>
              <w:jc w:val="center"/>
            </w:pPr>
            <w:r>
              <w:rPr>
                <w:rFonts w:ascii="Arial" w:hAnsi="Arial"/>
                <w:b w:val="0"/>
                <w:color w:val="000000"/>
                <w:sz w:val="19"/>
              </w:rPr>
              <w:t>10.03</w:t>
            </w:r>
          </w:p>
        </w:tc>
      </w:tr>
      <w:tr>
        <w:trPr>
          <w:cantSplit/>
        </w:trPr>
        <w:tc>
          <w:tcPr>
            <w:tcW w:type="dxa" w:w="4608"/>
            <w:vAlign w:val="center"/>
            <w:shd w:fill="EEF3F7"/>
          </w:tcPr>
          <w:p>
            <w:pPr>
              <w:spacing w:after="0" w:before="0" w:line="250" w:lineRule="auto"/>
              <w:jc w:val="left"/>
            </w:pPr>
            <w:r>
              <w:rPr>
                <w:rFonts w:ascii="Arial" w:hAnsi="Arial"/>
                <w:b w:val="0"/>
                <w:color w:val="000000"/>
                <w:sz w:val="19"/>
              </w:rPr>
              <w:t>Raw materials</w:t>
            </w:r>
          </w:p>
        </w:tc>
        <w:tc>
          <w:tcPr>
            <w:tcW w:type="dxa" w:w="1800"/>
            <w:vAlign w:val="center"/>
            <w:shd w:fill="EEF3F7"/>
          </w:tcPr>
          <w:p>
            <w:pPr>
              <w:spacing w:after="0" w:before="0" w:line="250" w:lineRule="auto"/>
              <w:jc w:val="center"/>
            </w:pPr>
            <w:r>
              <w:rPr>
                <w:rFonts w:ascii="Arial" w:hAnsi="Arial"/>
                <w:b w:val="0"/>
                <w:color w:val="000000"/>
                <w:sz w:val="19"/>
              </w:rPr>
              <w:t>3.72</w:t>
            </w:r>
          </w:p>
        </w:tc>
        <w:tc>
          <w:tcPr>
            <w:tcW w:type="dxa" w:w="1800"/>
            <w:vAlign w:val="center"/>
            <w:shd w:fill="EEF3F7"/>
          </w:tcPr>
          <w:p>
            <w:pPr>
              <w:spacing w:after="0" w:before="0" w:line="250" w:lineRule="auto"/>
              <w:jc w:val="center"/>
            </w:pPr>
            <w:r>
              <w:rPr>
                <w:rFonts w:ascii="Arial" w:hAnsi="Arial"/>
                <w:b w:val="0"/>
                <w:color w:val="000000"/>
                <w:sz w:val="19"/>
              </w:rPr>
              <w:t>9.97</w:t>
            </w:r>
          </w:p>
        </w:tc>
        <w:tc>
          <w:tcPr>
            <w:tcW w:type="dxa" w:w="1800"/>
            <w:vAlign w:val="center"/>
            <w:shd w:fill="EEF3F7"/>
          </w:tcPr>
          <w:p>
            <w:pPr>
              <w:spacing w:after="0" w:before="0" w:line="250" w:lineRule="auto"/>
              <w:jc w:val="center"/>
            </w:pPr>
            <w:r>
              <w:rPr>
                <w:rFonts w:ascii="Arial" w:hAnsi="Arial"/>
                <w:b w:val="0"/>
                <w:color w:val="000000"/>
                <w:sz w:val="19"/>
              </w:rPr>
              <w:t>6.25</w:t>
            </w:r>
          </w:p>
        </w:tc>
      </w:tr>
      <w:tr>
        <w:trPr>
          <w:cantSplit/>
        </w:trPr>
        <w:tc>
          <w:tcPr>
            <w:tcW w:type="dxa" w:w="4608"/>
            <w:vAlign w:val="center"/>
            <w:shd w:fill="FFFFFF"/>
          </w:tcPr>
          <w:p>
            <w:pPr>
              <w:spacing w:after="0" w:before="0" w:line="250" w:lineRule="auto"/>
              <w:jc w:val="left"/>
            </w:pPr>
            <w:r>
              <w:rPr>
                <w:rFonts w:ascii="Arial" w:hAnsi="Arial"/>
                <w:b w:val="0"/>
                <w:color w:val="000000"/>
                <w:sz w:val="19"/>
              </w:rPr>
              <w:t>Finished goods</w:t>
            </w:r>
          </w:p>
        </w:tc>
        <w:tc>
          <w:tcPr>
            <w:tcW w:type="dxa" w:w="1800"/>
            <w:vAlign w:val="center"/>
            <w:shd w:fill="FFFFFF"/>
          </w:tcPr>
          <w:p>
            <w:pPr>
              <w:spacing w:after="0" w:before="0" w:line="250" w:lineRule="auto"/>
              <w:jc w:val="center"/>
            </w:pPr>
            <w:r>
              <w:rPr>
                <w:rFonts w:ascii="Arial" w:hAnsi="Arial"/>
                <w:b w:val="0"/>
                <w:color w:val="000000"/>
                <w:sz w:val="19"/>
              </w:rPr>
              <w:t>2.68</w:t>
            </w:r>
          </w:p>
        </w:tc>
        <w:tc>
          <w:tcPr>
            <w:tcW w:type="dxa" w:w="1800"/>
            <w:vAlign w:val="center"/>
            <w:shd w:fill="FFFFFF"/>
          </w:tcPr>
          <w:p>
            <w:pPr>
              <w:spacing w:after="0" w:before="0" w:line="250" w:lineRule="auto"/>
              <w:jc w:val="center"/>
            </w:pPr>
            <w:r>
              <w:rPr>
                <w:rFonts w:ascii="Arial" w:hAnsi="Arial"/>
                <w:b w:val="0"/>
                <w:color w:val="000000"/>
                <w:sz w:val="19"/>
              </w:rPr>
              <w:t>4.37</w:t>
            </w:r>
          </w:p>
        </w:tc>
        <w:tc>
          <w:tcPr>
            <w:tcW w:type="dxa" w:w="1800"/>
            <w:vAlign w:val="center"/>
            <w:shd w:fill="FFFFFF"/>
          </w:tcPr>
          <w:p>
            <w:pPr>
              <w:spacing w:after="0" w:before="0" w:line="250" w:lineRule="auto"/>
              <w:jc w:val="center"/>
            </w:pPr>
            <w:r>
              <w:rPr>
                <w:rFonts w:ascii="Arial" w:hAnsi="Arial"/>
                <w:b w:val="0"/>
                <w:color w:val="000000"/>
                <w:sz w:val="19"/>
              </w:rPr>
              <w:t>1.69</w:t>
            </w:r>
          </w:p>
        </w:tc>
      </w:tr>
    </w:tbl>
    <w:p>
      <w:pPr>
        <w:spacing w:after="0"/>
      </w:pPr>
    </w:p>
    <w:p>
      <w:r>
        <w:rPr>
          <w:sz w:val="19"/>
        </w:rPr>
        <w:t>The H1 cash bridge includes inventory −RMB10.41bn, operating receivables −RMB1.66bn and payables +RMB3.53bn. Strategic purchasing explains much of the drain, but the accounts do not disclose the memory portion of raw materials. [3]</w:t>
      </w:r>
    </w:p>
    <w:p>
      <w:r>
        <w:rPr>
          <w:b/>
        </w:rPr>
        <w:t>Good points raised by brokers and retail bulls</w:t>
      </w:r>
      <w:r/>
    </w:p>
    <w:p>
      <w:r>
        <w:rPr>
          <w:sz w:val="19"/>
        </w:rPr>
        <w:t>Kaiyuan maintains Buy with RMB3.683bn FY2026 profit; Guolian Minsheng recommends the stock with RMB3.750bn; Zhongtai maintains Buy with about RMB3.187bn. Xueqiu bullish posts dated 9 May and 28 April argue for valuation recovery and highlight Q1 recovery and prebuying. Their positive case is cyclical recovery supported by the African channel franchise. [5–7, 11, 13]</w:t>
      </w:r>
    </w:p>
    <w:p>
      <w:r>
        <w:rPr>
          <w:b/>
        </w:rPr>
        <w:t>Bad points raised by retail bears</w:t>
      </w:r>
      <w:r/>
    </w:p>
    <w:p>
      <w:r>
        <w:rPr>
          <w:sz w:val="19"/>
        </w:rPr>
        <w:t>A bearish Xueqiu post dated 11 May questions sustainable profits under memory-price and competitive pressure. A July discussion flags inventory. One bullish post’s zero-debt claim is incorrect. The sample is anecdotal and mostly predates H bookbuilding. [3, 11, 12, 14]</w:t>
      </w:r>
    </w:p>
    <w:p>
      <w:r>
        <w:rPr>
          <w:sz w:val="19"/>
        </w:rPr>
        <w:t>Niuniu evidence is limited: the public H community showed no comments on 7 October and A discussion required login. Bamboo Works and IPO Jiema are media accounts rather than individual retail evidence. These pages do not establish an IPO retail consensus. [15–18]</w:t>
      </w:r>
    </w:p>
    <w:p>
      <w:r>
        <w:rPr>
          <w:b/>
          <w:sz w:val="19"/>
        </w:rPr>
        <w:t>Trading checks before sizing:</w:t>
      </w:r>
      <w:r>
        <w:rPr>
          <w:sz w:val="19"/>
        </w:rPr>
        <w:t xml:space="preserve"> establish the final offer price and actual book demand; watch whether the A close moves; assess H2 gross margins on replacement stock, inventory cash release and patent costs. Strong cash conversion would reinforce the bull case. Falling margins with inventory still elevated would reinforce the bear case.</w:t>
      </w:r>
    </w:p>
    <w:p>
      <w:r>
        <w:br w:type="page"/>
      </w:r>
    </w:p>
    <w:p>
      <w:r>
        <w:rPr>
          <w:b/>
        </w:rPr>
        <w:t>Source references</w:t>
      </w:r>
      <w:r/>
    </w:p>
    <w:p>
      <w:r>
        <w:rPr>
          <w:sz w:val="19"/>
        </w:rPr>
        <w:t>Company filings establish the financial figures. Broker and forum links identify opinions. Price histories and FX observations support the valuation calculations.</w:t>
      </w:r>
    </w:p>
    <w:p>
      <w:pPr>
        <w:spacing w:after="60" w:line="247" w:lineRule="auto"/>
      </w:pPr>
      <w:r>
        <w:rPr>
          <w:sz w:val="18"/>
        </w:rPr>
        <w:t xml:space="preserve">[1] </w:t>
      </w:r>
      <w:hyperlink r:id="rId9">
        <w:r>
          <w:rPr>
            <w:color w:val="175F99"/>
            <w:u w:val="single"/>
          </w:rPr>
          <w:t>Transsion final prospectus and offer terms</w:t>
        </w:r>
      </w:hyperlink>
    </w:p>
    <w:p>
      <w:pPr>
        <w:spacing w:after="60" w:line="247" w:lineRule="auto"/>
      </w:pPr>
      <w:r>
        <w:rPr>
          <w:sz w:val="18"/>
        </w:rPr>
        <w:t xml:space="preserve">[2] </w:t>
      </w:r>
      <w:hyperlink r:id="rId10">
        <w:r>
          <w:rPr>
            <w:color w:val="175F99"/>
            <w:u w:val="single"/>
          </w:rPr>
          <w:t>Transsion FY2025 annual report</w:t>
        </w:r>
      </w:hyperlink>
    </w:p>
    <w:p>
      <w:pPr>
        <w:spacing w:after="60" w:line="247" w:lineRule="auto"/>
      </w:pPr>
      <w:r>
        <w:rPr>
          <w:sz w:val="18"/>
        </w:rPr>
        <w:t xml:space="preserve">[3] </w:t>
      </w:r>
      <w:hyperlink r:id="rId11">
        <w:r>
          <w:rPr>
            <w:color w:val="175F99"/>
            <w:u w:val="single"/>
          </w:rPr>
          <w:t>Transsion H1 2026 report reproduction</w:t>
        </w:r>
      </w:hyperlink>
    </w:p>
    <w:p>
      <w:pPr>
        <w:spacing w:after="60" w:line="247" w:lineRule="auto"/>
      </w:pPr>
      <w:r>
        <w:rPr>
          <w:sz w:val="18"/>
        </w:rPr>
        <w:t xml:space="preserve">[4] </w:t>
      </w:r>
      <w:hyperlink r:id="rId12">
        <w:r>
          <w:rPr>
            <w:color w:val="175F99"/>
            <w:u w:val="single"/>
          </w:rPr>
          <w:t>Tonghuashun consensus as of 3 October</w:t>
        </w:r>
      </w:hyperlink>
    </w:p>
    <w:p>
      <w:pPr>
        <w:spacing w:after="60" w:line="247" w:lineRule="auto"/>
      </w:pPr>
      <w:r>
        <w:rPr>
          <w:sz w:val="18"/>
        </w:rPr>
        <w:t xml:space="preserve">[5] </w:t>
      </w:r>
      <w:hyperlink r:id="rId13">
        <w:r>
          <w:rPr>
            <w:color w:val="175F99"/>
            <w:u w:val="single"/>
          </w:rPr>
          <w:t>Kaiyuan H1 results commentary</w:t>
        </w:r>
      </w:hyperlink>
    </w:p>
    <w:p>
      <w:pPr>
        <w:spacing w:after="60" w:line="247" w:lineRule="auto"/>
      </w:pPr>
      <w:r>
        <w:rPr>
          <w:sz w:val="18"/>
        </w:rPr>
        <w:t xml:space="preserve">[6] </w:t>
      </w:r>
      <w:hyperlink r:id="rId14">
        <w:r>
          <w:rPr>
            <w:color w:val="175F99"/>
            <w:u w:val="single"/>
          </w:rPr>
          <w:t>Guolian Minsheng H1 commentary</w:t>
        </w:r>
      </w:hyperlink>
    </w:p>
    <w:p>
      <w:pPr>
        <w:spacing w:after="60" w:line="247" w:lineRule="auto"/>
      </w:pPr>
      <w:r>
        <w:rPr>
          <w:sz w:val="18"/>
        </w:rPr>
        <w:t xml:space="preserve">[7] </w:t>
      </w:r>
      <w:hyperlink r:id="rId15">
        <w:r>
          <w:rPr>
            <w:color w:val="175F99"/>
            <w:u w:val="single"/>
          </w:rPr>
          <w:t>Zhongtai H1 commentary</w:t>
        </w:r>
      </w:hyperlink>
    </w:p>
    <w:p>
      <w:pPr>
        <w:spacing w:after="60" w:line="247" w:lineRule="auto"/>
      </w:pPr>
      <w:r>
        <w:rPr>
          <w:sz w:val="18"/>
        </w:rPr>
        <w:t xml:space="preserve">[8] </w:t>
      </w:r>
      <w:hyperlink r:id="rId16">
        <w:r>
          <w:rPr>
            <w:color w:val="175F99"/>
            <w:u w:val="single"/>
          </w:rPr>
          <w:t>Omdia African smartphone market Q2 2026</w:t>
        </w:r>
      </w:hyperlink>
    </w:p>
    <w:p>
      <w:pPr>
        <w:spacing w:after="60" w:line="247" w:lineRule="auto"/>
      </w:pPr>
      <w:r>
        <w:rPr>
          <w:sz w:val="18"/>
        </w:rPr>
        <w:t xml:space="preserve">[9] </w:t>
      </w:r>
      <w:hyperlink r:id="rId17">
        <w:r>
          <w:rPr>
            <w:color w:val="175F99"/>
            <w:u w:val="single"/>
          </w:rPr>
          <w:t>Ericsson settlement announcement 8 July</w:t>
        </w:r>
      </w:hyperlink>
    </w:p>
    <w:p>
      <w:pPr>
        <w:spacing w:after="60" w:line="247" w:lineRule="auto"/>
      </w:pPr>
      <w:r>
        <w:rPr>
          <w:sz w:val="18"/>
        </w:rPr>
        <w:t xml:space="preserve">[10] </w:t>
      </w:r>
      <w:hyperlink r:id="rId18">
        <w:r>
          <w:rPr>
            <w:color w:val="175F99"/>
            <w:u w:val="single"/>
          </w:rPr>
          <w:t>InterDigital Brazil injunction announcement</w:t>
        </w:r>
      </w:hyperlink>
    </w:p>
    <w:p>
      <w:pPr>
        <w:spacing w:after="60" w:line="247" w:lineRule="auto"/>
      </w:pPr>
      <w:r>
        <w:rPr>
          <w:sz w:val="18"/>
        </w:rPr>
        <w:t xml:space="preserve">[11] </w:t>
      </w:r>
      <w:hyperlink r:id="rId19">
        <w:r>
          <w:rPr>
            <w:color w:val="175F99"/>
            <w:u w:val="single"/>
          </w:rPr>
          <w:t>Xueqiu bullish valuation post 9 May</w:t>
        </w:r>
      </w:hyperlink>
    </w:p>
    <w:p>
      <w:pPr>
        <w:spacing w:after="60" w:line="247" w:lineRule="auto"/>
      </w:pPr>
      <w:r>
        <w:rPr>
          <w:sz w:val="18"/>
        </w:rPr>
        <w:t xml:space="preserve">[12] </w:t>
      </w:r>
      <w:hyperlink r:id="rId20">
        <w:r>
          <w:rPr>
            <w:color w:val="175F99"/>
            <w:u w:val="single"/>
          </w:rPr>
          <w:t>Xueqiu bearish earnings post 11 May</w:t>
        </w:r>
      </w:hyperlink>
    </w:p>
    <w:p>
      <w:pPr>
        <w:spacing w:after="60" w:line="247" w:lineRule="auto"/>
      </w:pPr>
      <w:r>
        <w:rPr>
          <w:sz w:val="18"/>
        </w:rPr>
        <w:t xml:space="preserve">[13] </w:t>
      </w:r>
      <w:hyperlink r:id="rId21">
        <w:r>
          <w:rPr>
            <w:color w:val="175F99"/>
            <w:u w:val="single"/>
          </w:rPr>
          <w:t>Xueqiu Q1 recovery post 28 April</w:t>
        </w:r>
      </w:hyperlink>
    </w:p>
    <w:p>
      <w:pPr>
        <w:spacing w:after="60" w:line="247" w:lineRule="auto"/>
      </w:pPr>
      <w:r>
        <w:rPr>
          <w:sz w:val="18"/>
        </w:rPr>
        <w:t xml:space="preserve">[14] </w:t>
      </w:r>
      <w:hyperlink r:id="rId22">
        <w:r>
          <w:rPr>
            <w:color w:val="175F99"/>
            <w:u w:val="single"/>
          </w:rPr>
          <w:t>Xueqiu July inventory discussion</w:t>
        </w:r>
      </w:hyperlink>
    </w:p>
    <w:p>
      <w:pPr>
        <w:spacing w:after="60" w:line="247" w:lineRule="auto"/>
      </w:pPr>
      <w:r>
        <w:rPr>
          <w:sz w:val="18"/>
        </w:rPr>
        <w:t xml:space="preserve">[15] </w:t>
      </w:r>
      <w:hyperlink r:id="rId23">
        <w:r>
          <w:rPr>
            <w:color w:val="175F99"/>
            <w:u w:val="single"/>
          </w:rPr>
          <w:t>Niuniu Bamboo Works media commentary</w:t>
        </w:r>
      </w:hyperlink>
    </w:p>
    <w:p>
      <w:pPr>
        <w:spacing w:after="60" w:line="247" w:lineRule="auto"/>
      </w:pPr>
      <w:r>
        <w:rPr>
          <w:sz w:val="18"/>
        </w:rPr>
        <w:t xml:space="preserve">[16] </w:t>
      </w:r>
      <w:hyperlink r:id="rId24">
        <w:r>
          <w:rPr>
            <w:color w:val="175F99"/>
            <w:u w:val="single"/>
          </w:rPr>
          <w:t>Xueqiu IPO Jiema media commentary</w:t>
        </w:r>
      </w:hyperlink>
    </w:p>
    <w:p>
      <w:pPr>
        <w:spacing w:after="60" w:line="247" w:lineRule="auto"/>
      </w:pPr>
      <w:r>
        <w:rPr>
          <w:sz w:val="18"/>
        </w:rPr>
        <w:t xml:space="preserve">[17] </w:t>
      </w:r>
      <w:hyperlink r:id="rId25">
        <w:r>
          <w:rPr>
            <w:color w:val="175F99"/>
            <w:u w:val="single"/>
          </w:rPr>
          <w:t>Niuniu H community public page</w:t>
        </w:r>
      </w:hyperlink>
    </w:p>
    <w:p>
      <w:pPr>
        <w:spacing w:after="60" w:line="247" w:lineRule="auto"/>
      </w:pPr>
      <w:r>
        <w:rPr>
          <w:sz w:val="18"/>
        </w:rPr>
        <w:t xml:space="preserve">[18] </w:t>
      </w:r>
      <w:hyperlink r:id="rId26">
        <w:r>
          <w:rPr>
            <w:color w:val="175F99"/>
            <w:u w:val="single"/>
          </w:rPr>
          <w:t>Niuniu A community page</w:t>
        </w:r>
      </w:hyperlink>
    </w:p>
    <w:p>
      <w:pPr>
        <w:spacing w:after="100"/>
      </w:pPr>
      <w:r>
        <w:rPr>
          <w:sz w:val="18"/>
        </w:rPr>
        <w:t xml:space="preserve">[19] Closing-price and currency inputs </w:t>
      </w:r>
      <w:hyperlink r:id="rId27">
        <w:r>
          <w:rPr>
            <w:color w:val="175F99"/>
            <w:u w:val="single"/>
          </w:rPr>
          <w:t>Transsion A</w:t>
        </w:r>
      </w:hyperlink>
      <w:r>
        <w:t xml:space="preserve"> | </w:t>
      </w:r>
      <w:hyperlink r:id="rId28">
        <w:r>
          <w:rPr>
            <w:color w:val="175F99"/>
            <w:u w:val="single"/>
          </w:rPr>
          <w:t>CNY HKD</w:t>
        </w:r>
      </w:hyperlink>
      <w:r>
        <w:t xml:space="preserve"> | </w:t>
      </w:r>
      <w:hyperlink r:id="rId29">
        <w:r>
          <w:rPr>
            <w:color w:val="175F99"/>
            <w:u w:val="single"/>
          </w:rPr>
          <w:t>USD HKD</w:t>
        </w:r>
      </w:hyperlink>
    </w:p>
    <w:p>
      <w:r>
        <w:rPr>
          <w:b/>
          <w:sz w:val="19"/>
        </w:rPr>
        <w:t>Peer financial filings and closing prices</w:t>
      </w:r>
      <w:r>
        <w:rPr>
          <w:sz w:val="19"/>
        </w:rPr>
      </w:r>
    </w:p>
    <w:p>
      <w:pPr>
        <w:spacing w:after="120" w:line="250" w:lineRule="auto"/>
      </w:pPr>
      <w:r>
        <w:rPr>
          <w:b/>
          <w:sz w:val="18"/>
        </w:rPr>
        <w:t xml:space="preserve">Xiaomi   </w:t>
      </w:r>
      <w:hyperlink r:id="rId30">
        <w:r>
          <w:rPr>
            <w:color w:val="175F99"/>
            <w:u w:val="single"/>
          </w:rPr>
          <w:t>FY25</w:t>
        </w:r>
      </w:hyperlink>
      <w:r>
        <w:t xml:space="preserve"> | </w:t>
      </w:r>
      <w:hyperlink r:id="rId31">
        <w:r>
          <w:rPr>
            <w:color w:val="175F99"/>
            <w:u w:val="single"/>
          </w:rPr>
          <w:t>H1</w:t>
        </w:r>
      </w:hyperlink>
      <w:r>
        <w:t xml:space="preserve"> | </w:t>
      </w:r>
      <w:hyperlink r:id="rId32">
        <w:r>
          <w:rPr>
            <w:color w:val="175F99"/>
            <w:u w:val="single"/>
          </w:rPr>
          <w:t>H close</w:t>
        </w:r>
      </w:hyperlink>
    </w:p>
    <w:p>
      <w:pPr>
        <w:spacing w:after="120" w:line="250" w:lineRule="auto"/>
      </w:pPr>
      <w:r>
        <w:rPr>
          <w:b/>
          <w:sz w:val="18"/>
        </w:rPr>
        <w:t xml:space="preserve">Lenovo   </w:t>
      </w:r>
      <w:hyperlink r:id="rId33">
        <w:r>
          <w:rPr>
            <w:color w:val="175F99"/>
            <w:u w:val="single"/>
          </w:rPr>
          <w:t>FY to Mar26</w:t>
        </w:r>
      </w:hyperlink>
      <w:r>
        <w:t xml:space="preserve"> | </w:t>
      </w:r>
      <w:hyperlink r:id="rId34">
        <w:r>
          <w:rPr>
            <w:color w:val="175F99"/>
            <w:u w:val="single"/>
          </w:rPr>
          <w:t>Jun quarter</w:t>
        </w:r>
      </w:hyperlink>
      <w:r>
        <w:t xml:space="preserve"> | </w:t>
      </w:r>
      <w:hyperlink r:id="rId35">
        <w:r>
          <w:rPr>
            <w:color w:val="175F99"/>
            <w:u w:val="single"/>
          </w:rPr>
          <w:t>Shares</w:t>
        </w:r>
      </w:hyperlink>
      <w:r>
        <w:t xml:space="preserve"> | </w:t>
      </w:r>
      <w:hyperlink r:id="rId36">
        <w:r>
          <w:rPr>
            <w:color w:val="175F99"/>
            <w:u w:val="single"/>
          </w:rPr>
          <w:t>H close</w:t>
        </w:r>
      </w:hyperlink>
    </w:p>
    <w:p>
      <w:pPr>
        <w:spacing w:after="120" w:line="250" w:lineRule="auto"/>
      </w:pPr>
      <w:r>
        <w:rPr>
          <w:b/>
          <w:sz w:val="18"/>
        </w:rPr>
        <w:t xml:space="preserve">ZTE   </w:t>
      </w:r>
      <w:hyperlink r:id="rId37">
        <w:r>
          <w:rPr>
            <w:color w:val="175F99"/>
            <w:u w:val="single"/>
          </w:rPr>
          <w:t>FY25</w:t>
        </w:r>
      </w:hyperlink>
      <w:r>
        <w:t xml:space="preserve"> | </w:t>
      </w:r>
      <w:hyperlink r:id="rId38">
        <w:r>
          <w:rPr>
            <w:color w:val="175F99"/>
            <w:u w:val="single"/>
          </w:rPr>
          <w:t>H1</w:t>
        </w:r>
      </w:hyperlink>
      <w:r>
        <w:t xml:space="preserve"> | </w:t>
      </w:r>
      <w:hyperlink r:id="rId39">
        <w:r>
          <w:rPr>
            <w:color w:val="175F99"/>
            <w:u w:val="single"/>
          </w:rPr>
          <w:t>A close</w:t>
        </w:r>
      </w:hyperlink>
      <w:r>
        <w:t xml:space="preserve"> | </w:t>
      </w:r>
      <w:hyperlink r:id="rId40">
        <w:r>
          <w:rPr>
            <w:color w:val="175F99"/>
            <w:u w:val="single"/>
          </w:rPr>
          <w:t>H close</w:t>
        </w:r>
      </w:hyperlink>
    </w:p>
    <w:p>
      <w:pPr>
        <w:spacing w:after="120" w:line="250" w:lineRule="auto"/>
      </w:pPr>
      <w:r>
        <w:rPr>
          <w:b/>
          <w:sz w:val="18"/>
        </w:rPr>
        <w:t xml:space="preserve">Huaqin   </w:t>
      </w:r>
      <w:hyperlink r:id="rId41">
        <w:r>
          <w:rPr>
            <w:color w:val="175F99"/>
            <w:u w:val="single"/>
          </w:rPr>
          <w:t>FY25</w:t>
        </w:r>
      </w:hyperlink>
      <w:r>
        <w:t xml:space="preserve"> | </w:t>
      </w:r>
      <w:hyperlink r:id="rId42">
        <w:r>
          <w:rPr>
            <w:color w:val="175F99"/>
            <w:u w:val="single"/>
          </w:rPr>
          <w:t>H1</w:t>
        </w:r>
      </w:hyperlink>
      <w:r>
        <w:t xml:space="preserve"> | </w:t>
      </w:r>
      <w:hyperlink r:id="rId43">
        <w:r>
          <w:rPr>
            <w:color w:val="175F99"/>
            <w:u w:val="single"/>
          </w:rPr>
          <w:t>A close</w:t>
        </w:r>
      </w:hyperlink>
      <w:r>
        <w:t xml:space="preserve"> | </w:t>
      </w:r>
      <w:hyperlink r:id="rId44">
        <w:r>
          <w:rPr>
            <w:color w:val="175F99"/>
            <w:u w:val="single"/>
          </w:rPr>
          <w:t>H close</w:t>
        </w:r>
      </w:hyperlink>
    </w:p>
    <w:p>
      <w:pPr>
        <w:spacing w:after="120" w:line="250" w:lineRule="auto"/>
      </w:pPr>
      <w:r>
        <w:rPr>
          <w:b/>
          <w:sz w:val="18"/>
        </w:rPr>
        <w:t xml:space="preserve">Longcheer   </w:t>
      </w:r>
      <w:hyperlink r:id="rId45">
        <w:r>
          <w:rPr>
            <w:color w:val="175F99"/>
            <w:u w:val="single"/>
          </w:rPr>
          <w:t>FY25</w:t>
        </w:r>
      </w:hyperlink>
      <w:r>
        <w:t xml:space="preserve"> | </w:t>
      </w:r>
      <w:hyperlink r:id="rId46">
        <w:r>
          <w:rPr>
            <w:color w:val="175F99"/>
            <w:u w:val="single"/>
          </w:rPr>
          <w:t>H1</w:t>
        </w:r>
      </w:hyperlink>
      <w:r>
        <w:t xml:space="preserve"> | </w:t>
      </w:r>
      <w:hyperlink r:id="rId47">
        <w:r>
          <w:rPr>
            <w:color w:val="175F99"/>
            <w:u w:val="single"/>
          </w:rPr>
          <w:t>A close</w:t>
        </w:r>
      </w:hyperlink>
      <w:r>
        <w:t xml:space="preserve"> | </w:t>
      </w:r>
      <w:hyperlink r:id="rId48">
        <w:r>
          <w:rPr>
            <w:color w:val="175F99"/>
            <w:u w:val="single"/>
          </w:rPr>
          <w:t>H close</w:t>
        </w:r>
      </w:hyperlink>
    </w:p>
    <w:p>
      <w:pPr>
        <w:spacing w:after="120" w:line="250" w:lineRule="auto"/>
      </w:pPr>
      <w:r>
        <w:rPr>
          <w:b/>
          <w:sz w:val="18"/>
        </w:rPr>
        <w:t xml:space="preserve">BYD Electronic   </w:t>
      </w:r>
      <w:hyperlink r:id="rId49">
        <w:r>
          <w:rPr>
            <w:color w:val="175F99"/>
            <w:u w:val="single"/>
          </w:rPr>
          <w:t>FY25</w:t>
        </w:r>
      </w:hyperlink>
      <w:r>
        <w:t xml:space="preserve"> | </w:t>
      </w:r>
      <w:hyperlink r:id="rId50">
        <w:r>
          <w:rPr>
            <w:color w:val="175F99"/>
            <w:u w:val="single"/>
          </w:rPr>
          <w:t>H1</w:t>
        </w:r>
      </w:hyperlink>
      <w:r>
        <w:t xml:space="preserve"> | </w:t>
      </w:r>
      <w:hyperlink r:id="rId51">
        <w:r>
          <w:rPr>
            <w:color w:val="175F99"/>
            <w:u w:val="single"/>
          </w:rPr>
          <w:t>H close</w:t>
        </w:r>
      </w:hyperlink>
    </w:p>
    <w:p>
      <w:pPr>
        <w:spacing w:after="120" w:line="250" w:lineRule="auto"/>
      </w:pPr>
      <w:r>
        <w:rPr>
          <w:b/>
          <w:sz w:val="18"/>
        </w:rPr>
        <w:t xml:space="preserve">Sunny Optical   </w:t>
      </w:r>
      <w:hyperlink r:id="rId52">
        <w:r>
          <w:rPr>
            <w:color w:val="175F99"/>
            <w:u w:val="single"/>
          </w:rPr>
          <w:t>FY25</w:t>
        </w:r>
      </w:hyperlink>
      <w:r>
        <w:t xml:space="preserve"> | </w:t>
      </w:r>
      <w:hyperlink r:id="rId53">
        <w:r>
          <w:rPr>
            <w:color w:val="175F99"/>
            <w:u w:val="single"/>
          </w:rPr>
          <w:t>H1</w:t>
        </w:r>
      </w:hyperlink>
      <w:r>
        <w:t xml:space="preserve"> | </w:t>
      </w:r>
      <w:hyperlink r:id="rId54">
        <w:r>
          <w:rPr>
            <w:color w:val="175F99"/>
            <w:u w:val="single"/>
          </w:rPr>
          <w:t>H close</w:t>
        </w:r>
      </w:hyperlink>
    </w:p>
    <w:sectPr w:rsidR="00FC693F" w:rsidRPr="0006063C" w:rsidSect="00034616">
      <w:footerReference w:type="default" r:id="rId55"/>
      <w:pgSz w:w="11905" w:h="16838"/>
      <w:pgMar w:top="893" w:right="936" w:bottom="893" w:left="936"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7 October 2026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Arial" w:hAnsi="Arial" w:eastAsia="PingFang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PingFang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PingFang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eastAsia="PingFang S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w:hAnsi="Arial" w:eastAsia="PingFang SC"/>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40" w:after="100"/>
    </w:pPr>
    <w:rPr>
      <w:rFonts w:ascii="Arial" w:hAnsi="Arial" w:eastAsia="PingFang SC"/>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1.hkexnews.hk/listedco/listconews/sehk/2026/1007/2026100700008_c.pdf" TargetMode="External"/><Relationship Id="rId10" Type="http://schemas.openxmlformats.org/officeDocument/2006/relationships/hyperlink" Target="https://stockmc.xueqiu.com/202603/688036_20260328_3XNE.pdf" TargetMode="External"/><Relationship Id="rId11" Type="http://schemas.openxmlformats.org/officeDocument/2006/relationships/hyperlink" Target="https://stock.stockstar.com/notice/SN2026081800000013.shtml" TargetMode="External"/><Relationship Id="rId12" Type="http://schemas.openxmlformats.org/officeDocument/2006/relationships/hyperlink" Target="https://basic.10jqka.com.cn/688036/worth.html" TargetMode="External"/><Relationship Id="rId13" Type="http://schemas.openxmlformats.org/officeDocument/2006/relationships/hyperlink" Target="https://data.eastmoney.com/report/info/AP202608191828142060.html" TargetMode="External"/><Relationship Id="rId14" Type="http://schemas.openxmlformats.org/officeDocument/2006/relationships/hyperlink" Target="https://stock.finance.sina.com.cn/stock/go.php/vReport_Show/kind/search/rptid/840635377506/index.phtml" TargetMode="External"/><Relationship Id="rId15" Type="http://schemas.openxmlformats.org/officeDocument/2006/relationships/hyperlink" Target="https://quote.cfi.cn/ybdata.aspx?id=20260820000148" TargetMode="External"/><Relationship Id="rId16" Type="http://schemas.openxmlformats.org/officeDocument/2006/relationships/hyperlink" Target="https://omdia.tech.informa.com/pr/2026/aug/africa-smartphone-market-expected-to-decline-26percent-in-2026-following-first-contraction-in-three-years" TargetMode="External"/><Relationship Id="rId17" Type="http://schemas.openxmlformats.org/officeDocument/2006/relationships/hyperlink" Target="https://www.ericsson.com/en/news/2026/7/ericsson-and-transsion-settle-global-patent-litigation" TargetMode="External"/><Relationship Id="rId18" Type="http://schemas.openxmlformats.org/officeDocument/2006/relationships/hyperlink" Target="https://ir.interdigital.com/news-events/press-releases/news-details/2026/InterDigital-awarded-injunction-against-Transsion/default.aspx" TargetMode="External"/><Relationship Id="rId19" Type="http://schemas.openxmlformats.org/officeDocument/2006/relationships/hyperlink" Target="https://xueqiu.com/8551238858/387949807" TargetMode="External"/><Relationship Id="rId20" Type="http://schemas.openxmlformats.org/officeDocument/2006/relationships/hyperlink" Target="https://xueqiu.com/7606230459/388231289" TargetMode="External"/><Relationship Id="rId21" Type="http://schemas.openxmlformats.org/officeDocument/2006/relationships/hyperlink" Target="https://xueqiu.com/9573317305/386315790" TargetMode="External"/><Relationship Id="rId22" Type="http://schemas.openxmlformats.org/officeDocument/2006/relationships/hyperlink" Target="https://xueqiu.com/7736772877" TargetMode="External"/><Relationship Id="rId23" Type="http://schemas.openxmlformats.org/officeDocument/2006/relationships/hyperlink" Target="https://q.futunn.com/feed/116792408932756" TargetMode="External"/><Relationship Id="rId24" Type="http://schemas.openxmlformats.org/officeDocument/2006/relationships/hyperlink" Target="https://www.xueqiu.com/2389993040/410954970" TargetMode="External"/><Relationship Id="rId25" Type="http://schemas.openxmlformats.org/officeDocument/2006/relationships/hyperlink" Target="https://www.futunn.com/stock/02636-HK/community" TargetMode="External"/><Relationship Id="rId26" Type="http://schemas.openxmlformats.org/officeDocument/2006/relationships/hyperlink" Target="https://www.futunn.com/stock/688036-SH/community" TargetMode="External"/><Relationship Id="rId27" Type="http://schemas.openxmlformats.org/officeDocument/2006/relationships/hyperlink" Target="https://www.futunn.com/stock/688036-SH" TargetMode="External"/><Relationship Id="rId28" Type="http://schemas.openxmlformats.org/officeDocument/2006/relationships/hyperlink" Target="https://www.exchangerates.org.uk/CNY-HKD-exchange-rate-history.html" TargetMode="External"/><Relationship Id="rId29" Type="http://schemas.openxmlformats.org/officeDocument/2006/relationships/hyperlink" Target="https://ycharts.com/indicators/us_dollar_to_hong_kong_dollar_exchange_rate" TargetMode="External"/><Relationship Id="rId30" Type="http://schemas.openxmlformats.org/officeDocument/2006/relationships/hyperlink" Target="https://financialfilings.com/filings/xiaomi-corporation/annual-report/2026/37918501/" TargetMode="External"/><Relationship Id="rId31" Type="http://schemas.openxmlformats.org/officeDocument/2006/relationships/hyperlink" Target="https://ir.mi.com/static-files/b903a881-8143-44a3-b759-703653bbb043" TargetMode="External"/><Relationship Id="rId32" Type="http://schemas.openxmlformats.org/officeDocument/2006/relationships/hyperlink" Target="https://cn.investing.com/equities/xiaomi-historical-data" TargetMode="External"/><Relationship Id="rId33" Type="http://schemas.openxmlformats.org/officeDocument/2006/relationships/hyperlink" Target="https://doc.irasia.com/listco/hk/lenovo/annual/2026/cres.pdf" TargetMode="External"/><Relationship Id="rId34" Type="http://schemas.openxmlformats.org/officeDocument/2006/relationships/hyperlink" Target="https://doc.irasia.com/listco/hk/lenovo/interim/2027/int1qc.pdf" TargetMode="External"/><Relationship Id="rId35" Type="http://schemas.openxmlformats.org/officeDocument/2006/relationships/hyperlink" Target="https://doc.irasia.com/listco/hk/lenovo/announcement/ca261006.pdf" TargetMode="External"/><Relationship Id="rId36" Type="http://schemas.openxmlformats.org/officeDocument/2006/relationships/hyperlink" Target="https://hk.investing.com/equities/lenovo-group-ltd-historical-data" TargetMode="External"/><Relationship Id="rId37" Type="http://schemas.openxmlformats.org/officeDocument/2006/relationships/hyperlink" Target="https://www.zte.com.cn/content/dam/zte-site/investorrelations/cn_annual_report/2025%E5%B9%B4%E5%B9%B4%E5%BA%A6%E6%8A%A5%E5%91%8A.pdf" TargetMode="External"/><Relationship Id="rId38" Type="http://schemas.openxmlformats.org/officeDocument/2006/relationships/hyperlink" Target="https://vip.stock.finance.sina.com.cn/corp/view/vCB_AllBulletinDetail.php?id=12517314&amp;stockid=000063" TargetMode="External"/><Relationship Id="rId39" Type="http://schemas.openxmlformats.org/officeDocument/2006/relationships/hyperlink" Target="https://cn.investing.com/equities/zte-a-historical-data" TargetMode="External"/><Relationship Id="rId40" Type="http://schemas.openxmlformats.org/officeDocument/2006/relationships/hyperlink" Target="https://cn.investing.com/equities/zte-corp.-historical-data" TargetMode="External"/><Relationship Id="rId41" Type="http://schemas.openxmlformats.org/officeDocument/2006/relationships/hyperlink" Target="https://static.cninfo.com.cn/finalpage/2026-03-24/1225025934.PDF" TargetMode="External"/><Relationship Id="rId42" Type="http://schemas.openxmlformats.org/officeDocument/2006/relationships/hyperlink" Target="https://vip.stock.finance.sina.com.cn/corp/view/vCB_AllBulletinDetail.php?id=12533310&amp;stockid=603296" TargetMode="External"/><Relationship Id="rId43" Type="http://schemas.openxmlformats.org/officeDocument/2006/relationships/hyperlink" Target="https://www.futunn.com/stock/603296-SH" TargetMode="External"/><Relationship Id="rId44" Type="http://schemas.openxmlformats.org/officeDocument/2006/relationships/hyperlink" Target="https://cn.investing.com/equities/huaqin-co-ltd-historical-data" TargetMode="External"/><Relationship Id="rId45" Type="http://schemas.openxmlformats.org/officeDocument/2006/relationships/hyperlink" Target="https://vip.stock.finance.sina.com.cn/corp/view/vCB_AllBulletinDetail.php?CompanyCode=80147122&amp;gather=1&amp;id=12043474" TargetMode="External"/><Relationship Id="rId46" Type="http://schemas.openxmlformats.org/officeDocument/2006/relationships/hyperlink" Target="https://money.finance.sina.com.cn/corp/view/vCB_AllBulletinDetail.php?id=12556259&amp;stockid=603341" TargetMode="External"/><Relationship Id="rId47" Type="http://schemas.openxmlformats.org/officeDocument/2006/relationships/hyperlink" Target="https://cn.investing.com/equities/shanghai-longcheer-tech-historical-data" TargetMode="External"/><Relationship Id="rId48" Type="http://schemas.openxmlformats.org/officeDocument/2006/relationships/hyperlink" Target="https://hk.investing.com/equities/shanghai-longcheer-technology-co-lt-historical-data" TargetMode="External"/><Relationship Id="rId49" Type="http://schemas.openxmlformats.org/officeDocument/2006/relationships/hyperlink" Target="https://www1.hkexnews.hk/listedco/listconews/sehk/2026/0422/2026042200748.pdf" TargetMode="External"/><Relationship Id="rId50" Type="http://schemas.openxmlformats.org/officeDocument/2006/relationships/hyperlink" Target="https://www1.hkexnews.hk/listedco/listconews/sehk/2026/0828/2026082801253.pdf" TargetMode="External"/><Relationship Id="rId51" Type="http://schemas.openxmlformats.org/officeDocument/2006/relationships/hyperlink" Target="https://cn.investing.com/equities/byd-electronic-historical-data" TargetMode="External"/><Relationship Id="rId52" Type="http://schemas.openxmlformats.org/officeDocument/2006/relationships/hyperlink" Target="https://www.sunnyoptical.com/webfile/temps/202603222321113617.pdf" TargetMode="External"/><Relationship Id="rId53" Type="http://schemas.openxmlformats.org/officeDocument/2006/relationships/hyperlink" Target="https://www.sunnyoptical.com/webfile/temps/20260981213275389.pdf" TargetMode="External"/><Relationship Id="rId54" Type="http://schemas.openxmlformats.org/officeDocument/2006/relationships/hyperlink" Target="https://jp.investing.com/equities/sunny-optical-hk-historical-data" TargetMode="External"/><Relationship Id="rId5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Transsion H Share IPO Trader Brief</dc:title>
  <dc:subject>Valuation, cash flow, margins and investor views</dc:subject>
  <dc:creator/>
  <cp:keywords>Transsion, IPO, A shares, H shares, valuation</cp:keywords>
  <dc:description>generated by python-docx</dc:description>
  <cp:lastModifiedBy/>
  <cp:revision>1</cp:revision>
  <dcterms:created xsi:type="dcterms:W3CDTF">2013-12-23T23:15:00Z</dcterms:created>
  <dcterms:modified xsi:type="dcterms:W3CDTF">2013-12-23T23:15:00Z</dcterms:modified>
  <cp:category/>
</cp:coreProperties>
</file>