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both prospectus-filed)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A: 300223.SZ) — fundamentals, and Saturday's earnings</w:t>
      </w:r>
    </w:p>
    <w:p>
      <w:pPr>
        <w:pStyle w:val="Heading2"/>
      </w:pPr>
      <w:r>
        <w:t>What this company actually is</w:t>
      </w:r>
    </w:p>
    <w:p>
      <w:r>
        <w:t xml:space="preserve">Beijing chip designer, on ChiNext since 2011, added the H-share line on Aug 25. The business most people miss: this isn't really a CPU company anymore. </w:t>
      </w:r>
      <w:r>
        <w:rPr>
          <w:b/>
        </w:rPr>
        <w:t>Memory is 61% of revenue</w:t>
      </w:r>
      <w:r>
        <w:t xml:space="preserve"> — the ISSI business it bought in 2020, selling automotive and industrial SRAM, niche DRAM and NOR flash. Computing chips (IP-camera SoCs, the XBurst MPUs) are 27%, analog the last 11%. By end market it's consumer 35%, auto 34%, industrial and the rest 31%.</w:t>
      </w:r>
    </w:p>
    <w:p>
      <w:pPr>
        <w:pStyle w:val="ListBullet"/>
      </w:pPr>
      <w:r>
        <w:t>The niches are real. Global #1 in automotive SRAM — roughly 60% of that pocket — #2 in SRAM overall, #5 in auto niche DRAM, #2 in IP-camera SoCs. Auto-grade memory takes years to qualify, and once you're designed into a car platform you stay there. Small ponds, but it owns them.</w:t>
      </w:r>
    </w:p>
    <w:p>
      <w:pPr>
        <w:pStyle w:val="ListBullet"/>
      </w:pPr>
      <w:r>
        <w:t>The last three years were a grind: revenue RMB 4.53bn → 4.21bn → 4.74bn, profit 516m → 364m → 375m, gross margin drifting down to ~33%. Nothing wrong with the company — memory prices just fell for three years.</w:t>
      </w:r>
    </w:p>
    <w:p>
      <w:pPr>
        <w:pStyle w:val="ListBullet"/>
      </w:pPr>
      <w:r>
        <w:t xml:space="preserve">Then the cycle turned, hard. Samsung, Hynix and Micron moved ~93% of DRAM output to HBM and DDR5, and legacy DDR4/niche DRAM — exactly what Ingenic sells — went into shortage. Spot DDR4 rose another 17% in July alone and is printing all-time highs. And Ingenic walked into this holding </w:t>
      </w:r>
      <w:r>
        <w:rPr>
          <w:b/>
        </w:rPr>
        <w:t>323 days of inventory bought at old prices</w:t>
      </w:r>
      <w:r>
        <w:t>, repricing quarterly with a lag. While prices rise, that combination is a margin machine.</w:t>
      </w:r>
    </w:p>
    <w:p>
      <w:pPr>
        <w:pStyle w:val="ListBullet"/>
      </w:pPr>
      <w:r>
        <w:t xml:space="preserve">The result so far: Q1 revenue +47%, profit +332% (RMB 319m), gross margin 43% — a ten-year high. Segment level: memory 38.9%, compute 51.9%, analog 50.9%. H1 is pre-announced: revenue RMB 3.99bn, +77% (disclosed Aug 10), profit guided </w:t>
      </w:r>
      <w:r>
        <w:rPr>
          <w:b/>
        </w:rPr>
        <w:t>RMB 1.08–1.28bn, up 431–531%</w:t>
      </w:r>
      <w:r>
        <w:t>. Do the subtraction and Q2 alone is RMB 760–963m — two-and-a-half to three times Q1, in one quarter.</w:t>
      </w:r>
    </w:p>
    <w:p>
      <w:pPr>
        <w:pStyle w:val="Heading2"/>
      </w:pPr>
      <w:r>
        <w:t>Saturday's print — what's actually new, what the whisper is, and our forecast</w:t>
      </w:r>
    </w:p>
    <w:p>
      <w:r>
        <w:t xml:space="preserve">First, the date: the interim is </w:t>
      </w:r>
      <w:r>
        <w:rPr>
          <w:b/>
        </w:rPr>
        <w:t>scheduled for Saturday Aug 29</w:t>
      </w:r>
      <w:r>
        <w:t xml:space="preserve"> (exchange appointment calendar; nothing filed as of Wednesday night — the 'Aug 27' on some data sites is a stale estimate). So the A-share reacts Monday Aug 31; the H trades Friday and could move first if the report lands Friday evening.</w:t>
      </w:r>
    </w:p>
    <w:p>
      <w:r>
        <w:t>Second, what's genuinely news. Revenue and the profit range are already public — the report can't surprise on those. It settles three things:</w:t>
      </w:r>
    </w:p>
    <w:p>
      <w:pPr>
        <w:pStyle w:val="ListNumber"/>
      </w:pPr>
      <w:r>
        <w:rPr>
          <w:b/>
        </w:rPr>
        <w:t>Q2 gross margin.</w:t>
      </w:r>
      <w:r>
        <w:t xml:space="preserve"> This is the number. Memory GM was 38.9% in Q1; the hikes landed through Q2 while old-cost inventory was still flowing through COGS. Nanya just printed 79.5% in the same trade, so the market knows what's theoretically possible. Anything in the mid-40s for memory reads as confirmation the machine is working; stuck near 40 and the story wobbles.</w:t>
      </w:r>
    </w:p>
    <w:p>
      <w:pPr>
        <w:pStyle w:val="ListNumber"/>
      </w:pPr>
      <w:r>
        <w:rPr>
          <w:b/>
        </w:rPr>
        <w:t>Inventory.</w:t>
      </w:r>
      <w:r>
        <w:t xml:space="preserve"> 323 days was a windfall on the way up. The report shows whether it's being sold down into strength or still building — the Shanghai Securities News is already running 'the B-side of the memory beats' pieces about exactly this across the sector.</w:t>
      </w:r>
    </w:p>
    <w:p>
      <w:pPr>
        <w:pStyle w:val="ListNumber"/>
      </w:pPr>
      <w:r>
        <w:rPr>
          <w:b/>
        </w:rPr>
        <w:t>The Q3/Q4 language.</w:t>
      </w:r>
      <w:r>
        <w:t xml:space="preserve"> Management said in July that its hikes lag the industry and there's room left in Q3, possibly Q4. Taiwan is already whispering about a Q4 'margin defence war' as the low-cost-inventory benefit fades. Whichever tone this report takes probably sets the stock's next month.</w:t>
      </w:r>
    </w:p>
    <w:p>
      <w:r>
        <w:t>Third, positioning — and this is the interesting part, because it's not a crowded long anymore. The A-share is ~36% below its mid-July peak (~RMB 220). Margin balances got flushed from RMB 4.8bn to ~3.3bn. Two pre-IPO funds cut more than RMB 1bn of stock. And when the +77% revenue number dropped on Aug 10, the stock *fell* 3.9% on heavy volume — the good news was sold. Retail boards tonight are openly in 'great print = sell the fact' mode. Meanwhile sell-side consensus is stale to the point of useless: the terminal still shows FY2026 at RMB 1.43bn when H1 alone could be 1.28bn; the one post-guidance note we found models RMB 3.8bn for the year.</w:t>
      </w:r>
    </w:p>
    <w:p>
      <w:r>
        <w:rPr>
          <w:b/>
        </w:rPr>
        <w:t>Our forecast</w:t>
      </w:r>
      <w:r>
        <w:t xml:space="preserve">: H1 profit near the top of the range — call it </w:t>
      </w:r>
      <w:r>
        <w:rPr>
          <w:b/>
        </w:rPr>
        <w:t>RMB 1.20–1.25bn</w:t>
      </w:r>
      <w:r>
        <w:t xml:space="preserve"> (Q2 ~880–930m). The range was set on Jul 13; DDR4 spot rose another ~17% *after* that, and the lag-repricing-plus-old-inventory setup means late-quarter sales carry the fattest margins. Q2 blended GM </w:t>
      </w:r>
      <w:r>
        <w:rPr>
          <w:b/>
        </w:rPr>
        <w:t>~46–48%</w:t>
      </w:r>
      <w:r>
        <w:t>, memory into the mid-40s. On the reaction: with this much de-risking already done, the setup echoes GigaDevice — which fell seven straight days into its print and then went limit-up on the actual numbers. Top-of-range profit plus confident Q3 language and that script runs again; mid-range profit with memory GM stuck near 40 and the sell-the-fact crowd wins. We'd lean slightly positive into Monday, knowing the bar is the whisper (top of range), not the printed consensus.</w:t>
      </w:r>
    </w:p>
    <w:p>
      <w:pPr>
        <w:pStyle w:val="Heading2"/>
      </w:pPr>
      <w:r>
        <w:t>Valuation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736"/>
          </w:tcPr>
          <w:p>
            <w:r/>
            <w:r>
              <w:rPr>
                <w:b/>
                <w:sz w:val="19"/>
              </w:rPr>
            </w:r>
          </w:p>
        </w:tc>
        <w:tc>
          <w:tcPr>
            <w:tcW w:type="dxa" w:w="3168"/>
          </w:tcPr>
          <w:p>
            <w:r/>
            <w:r>
              <w:rPr>
                <w:b/>
                <w:sz w:val="19"/>
              </w:rPr>
              <w:t>P/E basis</w:t>
            </w:r>
          </w:p>
        </w:tc>
        <w:tc>
          <w:tcPr>
            <w:tcW w:type="dxa" w:w="2160"/>
          </w:tcPr>
          <w:p>
            <w:r/>
            <w:r>
              <w:rPr>
                <w:b/>
                <w:sz w:val="19"/>
              </w:rPr>
              <w:t>Level</w:t>
            </w:r>
          </w:p>
        </w:tc>
        <w:tc>
          <w:tcPr>
            <w:tcW w:type="dxa" w:w="3312"/>
          </w:tcPr>
          <w:p>
            <w:r/>
            <w:r>
              <w:rPr>
                <w:b/>
                <w:sz w:val="19"/>
              </w:rPr>
              <w:t>Note</w:t>
            </w:r>
          </w:p>
        </w:tc>
      </w:tr>
      <w:tr>
        <w:tc>
          <w:tcPr>
            <w:tcW w:type="dxa" w:w="2736"/>
          </w:tcPr>
          <w:p>
            <w:r>
              <w:rPr>
                <w:sz w:val="19"/>
              </w:rPr>
            </w:r>
            <w:r>
              <w:rPr>
                <w:b/>
                <w:sz w:val="19"/>
              </w:rPr>
              <w:t>Ingenic H @ 101.10</w:t>
            </w:r>
          </w:p>
        </w:tc>
        <w:tc>
          <w:tcPr>
            <w:tcW w:type="dxa" w:w="3168"/>
          </w:tcPr>
          <w:p>
            <w:r>
              <w:rPr>
                <w:sz w:val="19"/>
              </w:rPr>
            </w:r>
            <w:r>
              <w:rPr>
                <w:sz w:val="19"/>
              </w:rPr>
              <w:t>FY2025 trailing / TTM-thru-H1 / 2026E annualised</w:t>
            </w:r>
          </w:p>
        </w:tc>
        <w:tc>
          <w:tcPr>
            <w:tcW w:type="dxa" w:w="2160"/>
          </w:tcPr>
          <w:p>
            <w:r>
              <w:rPr>
                <w:sz w:val="19"/>
              </w:rPr>
            </w:r>
            <w:r>
              <w:rPr>
                <w:b/>
                <w:sz w:val="19"/>
              </w:rPr>
              <w:t>~119x / ~33x / ~19x</w:t>
            </w:r>
          </w:p>
        </w:tc>
        <w:tc>
          <w:tcPr>
            <w:tcW w:type="dxa" w:w="3312"/>
          </w:tcPr>
          <w:p>
            <w:r>
              <w:rPr>
                <w:sz w:val="19"/>
              </w:rPr>
            </w:r>
            <w:r>
              <w:rPr>
                <w:sz w:val="19"/>
              </w:rPr>
              <w:t>the multiple collapses as the cycle earnings land</w:t>
            </w:r>
          </w:p>
        </w:tc>
      </w:tr>
      <w:tr>
        <w:tc>
          <w:tcPr>
            <w:tcW w:type="dxa" w:w="2736"/>
          </w:tcPr>
          <w:p>
            <w:r>
              <w:rPr>
                <w:sz w:val="19"/>
              </w:rPr>
            </w:r>
            <w:r>
              <w:rPr>
                <w:sz w:val="19"/>
              </w:rPr>
              <w:t>Ingenic A @ RMB 140.48</w:t>
            </w:r>
          </w:p>
        </w:tc>
        <w:tc>
          <w:tcPr>
            <w:tcW w:type="dxa" w:w="3168"/>
          </w:tcPr>
          <w:p>
            <w:r>
              <w:rPr>
                <w:sz w:val="19"/>
              </w:rPr>
            </w:r>
            <w:r>
              <w:rPr>
                <w:sz w:val="19"/>
              </w:rPr>
              <w:t>TTM-thru-Q1 / 2026E annualised</w:t>
            </w:r>
          </w:p>
        </w:tc>
        <w:tc>
          <w:tcPr>
            <w:tcW w:type="dxa" w:w="2160"/>
          </w:tcPr>
          <w:p>
            <w:r>
              <w:rPr>
                <w:sz w:val="19"/>
              </w:rPr>
            </w:r>
            <w:r>
              <w:rPr>
                <w:sz w:val="19"/>
              </w:rPr>
              <w:t>116x / ~31x</w:t>
            </w:r>
          </w:p>
        </w:tc>
        <w:tc>
          <w:tcPr>
            <w:tcW w:type="dxa" w:w="3312"/>
          </w:tcPr>
          <w:p>
            <w:r>
              <w:rPr>
                <w:sz w:val="19"/>
              </w:rPr>
            </w:r>
            <w:r>
              <w:rPr>
                <w:sz w:val="19"/>
              </w:rPr>
              <w:t>ChiNext pricing of the same cash flows</w:t>
            </w:r>
          </w:p>
        </w:tc>
      </w:tr>
      <w:tr>
        <w:tc>
          <w:tcPr>
            <w:tcW w:type="dxa" w:w="2736"/>
          </w:tcPr>
          <w:p>
            <w:r>
              <w:rPr>
                <w:sz w:val="19"/>
              </w:rPr>
            </w:r>
            <w:r>
              <w:rPr>
                <w:sz w:val="19"/>
              </w:rPr>
              <w:t>GigaDevice (A)</w:t>
            </w:r>
          </w:p>
        </w:tc>
        <w:tc>
          <w:tcPr>
            <w:tcW w:type="dxa" w:w="3168"/>
          </w:tcPr>
          <w:p>
            <w:r>
              <w:rPr>
                <w:sz w:val="19"/>
              </w:rPr>
            </w:r>
            <w:r>
              <w:rPr>
                <w:sz w:val="19"/>
              </w:rPr>
              <w:t>TTM incl. H1 blowout</w:t>
            </w:r>
          </w:p>
        </w:tc>
        <w:tc>
          <w:tcPr>
            <w:tcW w:type="dxa" w:w="2160"/>
          </w:tcPr>
          <w:p>
            <w:r>
              <w:rPr>
                <w:sz w:val="19"/>
              </w:rPr>
            </w:r>
            <w:r>
              <w:rPr>
                <w:sz w:val="19"/>
              </w:rPr>
              <w:t>36x</w:t>
            </w:r>
          </w:p>
        </w:tc>
        <w:tc>
          <w:tcPr>
            <w:tcW w:type="dxa" w:w="3312"/>
          </w:tcPr>
          <w:p>
            <w:r>
              <w:rPr>
                <w:sz w:val="19"/>
              </w:rPr>
            </w:r>
            <w:r>
              <w:rPr>
                <w:sz w:val="19"/>
              </w:rPr>
              <w:t>H1'26 profit +1,092% — same cycle</w:t>
            </w:r>
          </w:p>
        </w:tc>
      </w:tr>
      <w:tr>
        <w:tc>
          <w:tcPr>
            <w:tcW w:type="dxa" w:w="2736"/>
          </w:tcPr>
          <w:p>
            <w:r>
              <w:rPr>
                <w:sz w:val="19"/>
              </w:rPr>
            </w:r>
            <w:r>
              <w:rPr>
                <w:sz w:val="19"/>
              </w:rPr>
              <w:t>Rockchip (A)</w:t>
            </w:r>
          </w:p>
        </w:tc>
        <w:tc>
          <w:tcPr>
            <w:tcW w:type="dxa" w:w="3168"/>
          </w:tcPr>
          <w:p>
            <w:r>
              <w:rPr>
                <w:sz w:val="19"/>
              </w:rPr>
            </w:r>
            <w:r>
              <w:rPr>
                <w:sz w:val="19"/>
              </w:rPr>
              <w:t>TTM</w:t>
            </w:r>
          </w:p>
        </w:tc>
        <w:tc>
          <w:tcPr>
            <w:tcW w:type="dxa" w:w="2160"/>
          </w:tcPr>
          <w:p>
            <w:r>
              <w:rPr>
                <w:sz w:val="19"/>
              </w:rPr>
            </w:r>
            <w:r>
              <w:rPr>
                <w:sz w:val="19"/>
              </w:rPr>
              <w:t>56x</w:t>
            </w:r>
          </w:p>
        </w:tc>
        <w:tc>
          <w:tcPr>
            <w:tcW w:type="dxa" w:w="3312"/>
          </w:tcPr>
          <w:p>
            <w:r>
              <w:rPr>
                <w:sz w:val="19"/>
              </w:rPr>
            </w:r>
          </w:p>
        </w:tc>
      </w:tr>
      <w:tr>
        <w:tc>
          <w:tcPr>
            <w:tcW w:type="dxa" w:w="2736"/>
          </w:tcPr>
          <w:p>
            <w:r>
              <w:rPr>
                <w:sz w:val="19"/>
              </w:rPr>
            </w:r>
            <w:r>
              <w:rPr>
                <w:sz w:val="19"/>
              </w:rPr>
              <w:t>Montage (A)</w:t>
            </w:r>
          </w:p>
        </w:tc>
        <w:tc>
          <w:tcPr>
            <w:tcW w:type="dxa" w:w="3168"/>
          </w:tcPr>
          <w:p>
            <w:r>
              <w:rPr>
                <w:sz w:val="19"/>
              </w:rPr>
            </w:r>
            <w:r>
              <w:rPr>
                <w:sz w:val="19"/>
              </w:rPr>
              <w:t>TTM</w:t>
            </w:r>
          </w:p>
        </w:tc>
        <w:tc>
          <w:tcPr>
            <w:tcW w:type="dxa" w:w="2160"/>
          </w:tcPr>
          <w:p>
            <w:r>
              <w:rPr>
                <w:sz w:val="19"/>
              </w:rPr>
            </w:r>
            <w:r>
              <w:rPr>
                <w:sz w:val="19"/>
              </w:rPr>
              <w:t>106x</w:t>
            </w:r>
          </w:p>
        </w:tc>
        <w:tc>
          <w:tcPr>
            <w:tcW w:type="dxa" w:w="3312"/>
          </w:tcPr>
          <w:p>
            <w:r>
              <w:rPr>
                <w:sz w:val="19"/>
              </w:rPr>
            </w:r>
          </w:p>
        </w:tc>
      </w:tr>
      <w:tr>
        <w:tc>
          <w:tcPr>
            <w:tcW w:type="dxa" w:w="2736"/>
          </w:tcPr>
          <w:p>
            <w:r>
              <w:rPr>
                <w:sz w:val="19"/>
              </w:rPr>
            </w:r>
            <w:r>
              <w:rPr>
                <w:sz w:val="19"/>
              </w:rPr>
              <w:t>SG Micro (A)</w:t>
            </w:r>
          </w:p>
        </w:tc>
        <w:tc>
          <w:tcPr>
            <w:tcW w:type="dxa" w:w="3168"/>
          </w:tcPr>
          <w:p>
            <w:r>
              <w:rPr>
                <w:sz w:val="19"/>
              </w:rPr>
            </w:r>
            <w:r>
              <w:rPr>
                <w:sz w:val="19"/>
              </w:rPr>
              <w:t>TTM</w:t>
            </w:r>
          </w:p>
        </w:tc>
        <w:tc>
          <w:tcPr>
            <w:tcW w:type="dxa" w:w="2160"/>
          </w:tcPr>
          <w:p>
            <w:r>
              <w:rPr>
                <w:sz w:val="19"/>
              </w:rPr>
            </w:r>
            <w:r>
              <w:rPr>
                <w:sz w:val="19"/>
              </w:rPr>
              <w:t>131x</w:t>
            </w:r>
          </w:p>
        </w:tc>
        <w:tc>
          <w:tcPr>
            <w:tcW w:type="dxa" w:w="3312"/>
          </w:tcPr>
          <w:p>
            <w:r>
              <w:rPr>
                <w:sz w:val="19"/>
              </w:rPr>
            </w:r>
          </w:p>
        </w:tc>
      </w:tr>
      <w:tr>
        <w:tc>
          <w:tcPr>
            <w:tcW w:type="dxa" w:w="2736"/>
          </w:tcPr>
          <w:p>
            <w:r>
              <w:rPr>
                <w:sz w:val="19"/>
              </w:rPr>
            </w:r>
            <w:r>
              <w:rPr>
                <w:sz w:val="19"/>
              </w:rPr>
              <w:t>Fudan Micro (A)</w:t>
            </w:r>
          </w:p>
        </w:tc>
        <w:tc>
          <w:tcPr>
            <w:tcW w:type="dxa" w:w="3168"/>
          </w:tcPr>
          <w:p>
            <w:r>
              <w:rPr>
                <w:sz w:val="19"/>
              </w:rPr>
            </w:r>
            <w:r>
              <w:rPr>
                <w:sz w:val="19"/>
              </w:rPr>
              <w:t>TTM</w:t>
            </w:r>
          </w:p>
        </w:tc>
        <w:tc>
          <w:tcPr>
            <w:tcW w:type="dxa" w:w="2160"/>
          </w:tcPr>
          <w:p>
            <w:r>
              <w:rPr>
                <w:sz w:val="19"/>
              </w:rPr>
            </w:r>
            <w:r>
              <w:rPr>
                <w:sz w:val="19"/>
              </w:rPr>
              <w:t>51x</w:t>
            </w:r>
          </w:p>
        </w:tc>
        <w:tc>
          <w:tcPr>
            <w:tcW w:type="dxa" w:w="3312"/>
          </w:tcPr>
          <w:p>
            <w:r>
              <w:rPr>
                <w:sz w:val="19"/>
              </w:rPr>
            </w:r>
          </w:p>
        </w:tc>
      </w:tr>
    </w:tbl>
    <w:p/>
    <w:tbl>
      <w:tblPr>
        <w:tblStyle w:val="LightGrid-Accent1"/>
        <w:tblW w:type="auto" w:w="0"/>
        <w:tblLook w:firstColumn="1" w:firstRow="1" w:lastColumn="0" w:lastRow="0" w:noHBand="0" w:noVBand="1" w:val="04A0"/>
      </w:tblPr>
      <w:tblGrid>
        <w:gridCol w:w="4320"/>
        <w:gridCol w:w="4320"/>
      </w:tblGrid>
      <w:tr>
        <w:tc>
          <w:tcPr>
            <w:tcW w:type="dxa" w:w="4608"/>
          </w:tcPr>
          <w:p>
            <w:r/>
            <w:r>
              <w:rPr>
                <w:b/>
                <w:sz w:val="19"/>
              </w:rPr>
              <w:t>A+H semi pair</w:t>
            </w:r>
          </w:p>
        </w:tc>
        <w:tc>
          <w:tcPr>
            <w:tcW w:type="dxa" w:w="4608"/>
          </w:tcPr>
          <w:p>
            <w:r/>
            <w:r>
              <w:rPr>
                <w:b/>
                <w:sz w:val="19"/>
              </w:rPr>
              <w:t>H discount to A (27 Aug)</w:t>
            </w:r>
          </w:p>
        </w:tc>
      </w:tr>
      <w:tr>
        <w:tc>
          <w:tcPr>
            <w:tcW w:type="dxa" w:w="4608"/>
          </w:tcPr>
          <w:p>
            <w:r>
              <w:rPr>
                <w:sz w:val="19"/>
              </w:rPr>
            </w:r>
            <w:r>
              <w:rPr>
                <w:sz w:val="19"/>
              </w:rPr>
              <w:t>Fudan Micro</w:t>
            </w:r>
          </w:p>
        </w:tc>
        <w:tc>
          <w:tcPr>
            <w:tcW w:type="dxa" w:w="4608"/>
          </w:tcPr>
          <w:p>
            <w:r>
              <w:rPr>
                <w:sz w:val="19"/>
              </w:rPr>
            </w:r>
            <w:r>
              <w:rPr>
                <w:sz w:val="19"/>
              </w:rPr>
              <w:t>58%</w:t>
            </w:r>
          </w:p>
        </w:tc>
      </w:tr>
      <w:tr>
        <w:tc>
          <w:tcPr>
            <w:tcW w:type="dxa" w:w="4608"/>
          </w:tcPr>
          <w:p>
            <w:r>
              <w:rPr>
                <w:sz w:val="19"/>
              </w:rPr>
            </w:r>
            <w:r>
              <w:rPr>
                <w:sz w:val="19"/>
              </w:rPr>
              <w:t>SMIC</w:t>
            </w:r>
          </w:p>
        </w:tc>
        <w:tc>
          <w:tcPr>
            <w:tcW w:type="dxa" w:w="4608"/>
          </w:tcPr>
          <w:p>
            <w:r>
              <w:rPr>
                <w:sz w:val="19"/>
              </w:rPr>
            </w:r>
            <w:r>
              <w:rPr>
                <w:sz w:val="19"/>
              </w:rPr>
              <w:t>52%</w:t>
            </w:r>
          </w:p>
        </w:tc>
      </w:tr>
      <w:tr>
        <w:tc>
          <w:tcPr>
            <w:tcW w:type="dxa" w:w="4608"/>
          </w:tcPr>
          <w:p>
            <w:r>
              <w:rPr>
                <w:sz w:val="19"/>
              </w:rPr>
            </w:r>
            <w:r>
              <w:rPr>
                <w:sz w:val="19"/>
              </w:rPr>
              <w:t>Novosense (listed Dec '25)</w:t>
            </w:r>
          </w:p>
        </w:tc>
        <w:tc>
          <w:tcPr>
            <w:tcW w:type="dxa" w:w="4608"/>
          </w:tcPr>
          <w:p>
            <w:r>
              <w:rPr>
                <w:sz w:val="19"/>
              </w:rPr>
            </w:r>
            <w:r>
              <w:rPr>
                <w:sz w:val="19"/>
              </w:rPr>
              <w:t>43%</w:t>
            </w:r>
          </w:p>
        </w:tc>
      </w:tr>
      <w:tr>
        <w:tc>
          <w:tcPr>
            <w:tcW w:type="dxa" w:w="4608"/>
          </w:tcPr>
          <w:p>
            <w:r>
              <w:rPr>
                <w:sz w:val="19"/>
              </w:rPr>
            </w:r>
            <w:r>
              <w:rPr>
                <w:b/>
                <w:sz w:val="19"/>
              </w:rPr>
              <w:t>Ingenic</w:t>
            </w:r>
          </w:p>
        </w:tc>
        <w:tc>
          <w:tcPr>
            <w:tcW w:type="dxa" w:w="4608"/>
          </w:tcPr>
          <w:p>
            <w:r>
              <w:rPr>
                <w:sz w:val="19"/>
              </w:rPr>
            </w:r>
            <w:r>
              <w:rPr>
                <w:b/>
                <w:sz w:val="19"/>
              </w:rPr>
              <w:t>38% — already the tightest of the set</w:t>
            </w:r>
          </w:p>
        </w:tc>
      </w:tr>
    </w:tbl>
    <w:p/>
    <w:p>
      <w:r>
        <w:t xml:space="preserve">How we read this, step by step. Start with what you're paying: the H at 101.10 works out to roughly </w:t>
      </w:r>
      <w:r>
        <w:rPr>
          <w:b/>
        </w:rPr>
        <w:t>19x annualised 2026 earnings</w:t>
      </w:r>
      <w:r>
        <w:t xml:space="preserve"> — for a company still guiding price hikes into Q4, that looks cheap on its face. But walk through why it's priced there before calling it a bargain.</w:t>
      </w:r>
    </w:p>
    <w:p>
      <w:pPr>
        <w:pStyle w:val="ListNumber"/>
      </w:pPr>
      <w:r>
        <w:t xml:space="preserve">The '38% discount to A' pitch is backwards. The discount isn't the H being cheap — it's </w:t>
      </w:r>
      <w:r>
        <w:rPr>
          <w:b/>
        </w:rPr>
        <w:t>the A being expensive</w:t>
      </w:r>
      <w:r>
        <w:t>. 116x trailing is ChiNext speculative pricing, and international investors simply won't pay it. The flat H debut despite a 927x-subscribed book was global money telling you exactly that. The H is the honest price for these cash flows; the A is the exuberant one.</w:t>
      </w:r>
    </w:p>
    <w:p>
      <w:pPr>
        <w:pStyle w:val="ListNumber"/>
      </w:pPr>
      <w:r>
        <w:t xml:space="preserve">Nor is there a convergence trade hiding here. Within the A/H semi set, Ingenic's 38% is already the </w:t>
      </w:r>
      <w:r>
        <w:rPr>
          <w:b/>
        </w:rPr>
        <w:t>tightest</w:t>
      </w:r>
      <w:r>
        <w:t xml:space="preserve"> discount — tighter than Novosense at 43%, far tighter than SMIC's 52%, which has sat there for years without closing. If the gap ever narrows it'll be a flow event (southbound inclusion, the way Novosense tightened) or the A coming down — not the H re-rating to ChiNext levels.</w:t>
      </w:r>
    </w:p>
    <w:p>
      <w:pPr>
        <w:pStyle w:val="ListNumber"/>
      </w:pPr>
      <w:r>
        <w:t>And there's no absolute-value case from global anchors either: Micron and Winbond trade around 20x forward in the same cycle. What supports the H is China-semis cohort pricing (GigaDevice 36x, Montage 106x), nothing more.</w:t>
      </w:r>
    </w:p>
    <w:p>
      <w:pPr>
        <w:pStyle w:val="ListNumber"/>
      </w:pPr>
      <w:r>
        <w:t xml:space="preserve">So what you actually own at 19x is a </w:t>
      </w:r>
      <w:r>
        <w:rPr>
          <w:b/>
        </w:rPr>
        <w:t>memory-cycle position, not a valuation anomaly</w:t>
      </w:r>
      <w:r>
        <w:t>. It works if legacy-DRAM pricing holds into 2027 — and the company itself says visibility ends around H2 2027, CXMT/Winbond/Nanya are filling the vacuum, and the same 323 days of inventory that's a windfall today becomes the writedown when prices roll. Buy it for the cycle at 19x versus GigaDevice's 36x if that's the trade you want. Never for 'the discount must close.'</w:t>
      </w:r>
    </w:p>
    <w:p>
      <w:pPr>
        <w:pStyle w:val="Heading1"/>
      </w:pPr>
      <w:r>
        <w:t>4. The head-to-head: does either deserve a premium to its anchor?</w:t>
      </w:r>
    </w:p>
    <w:p>
      <w:r>
        <w:t xml:space="preserve">Before the two verdicts, the frame we're using. A multiple is compressed DCF — a business deserves to trade richer than its comp only if at least one of three things is true: </w:t>
      </w:r>
      <w:r>
        <w:rPr>
          <w:b/>
        </w:rPr>
        <w:t>(1)</w:t>
      </w:r>
      <w:r>
        <w:t xml:space="preserve"> each revenue dollar converts to more cash (margin/returns); </w:t>
      </w:r>
      <w:r>
        <w:rPr>
          <w:b/>
        </w:rPr>
        <w:t>(2)</w:t>
      </w:r>
      <w:r>
        <w:t xml:space="preserve"> the cash grows faster for longer (duration); </w:t>
      </w:r>
      <w:r>
        <w:rPr>
          <w:b/>
        </w:rPr>
        <w:t>(3)</w:t>
      </w:r>
      <w:r>
        <w:t xml:space="preserve"> the cash is safer (risk). Worse on all three means it must trade at a discount. Everything else is narrative.</w:t>
      </w:r>
    </w:p>
    <w:p>
      <w:pPr>
        <w:pStyle w:val="Heading2"/>
      </w:pPr>
      <w:r>
        <w:t>SHEIN vs PDD — no premium deserved. Walk the three drivers:</w:t>
      </w:r>
    </w:p>
    <w:p>
      <w:pPr>
        <w:pStyle w:val="ListNumber"/>
      </w:pPr>
      <w:r>
        <w:rPr>
          <w:b/>
        </w:rPr>
        <w:t>Earnings quality — what is a dollar of SHEIN's profit worth versus a dollar of PDD's?</w:t>
      </w:r>
      <w:r>
        <w:t xml:space="preserve"> PDD's dollar is a take-rate on other people's inventory: ~20% net margin, negative working capital, no fulfilment asset at risk. SHEIN's dollar comes from goods it must manufacture and ship across a border: 4.9% net margin — and that margin </w:t>
      </w:r>
      <w:r>
        <w:rPr>
          <w:b/>
        </w:rPr>
        <w:t>halved in one year because one customs rule changed</w:t>
      </w:r>
      <w:r>
        <w:t>. A profit stream that one regulatory decision can cut in half is worth less per dollar, full stop.</w:t>
      </w:r>
    </w:p>
    <w:p>
      <w:pPr>
        <w:pStyle w:val="ListNumber"/>
      </w:pPr>
      <w:r>
        <w:rPr>
          <w:b/>
        </w:rPr>
        <w:t>Growth — will SHEIN's dollar grow faster?</w:t>
      </w:r>
      <w:r>
        <w:t xml:space="preserve"> PDD compounds ~10% with category breadth working for it. SHEIN went +8% → +1%, and the ceiling logic in section 1 shows all three growth levers (frequency, basket, new users) are exhausted. Worse: the fourth force — ad-auction inflation — is a headwind that </w:t>
      </w:r>
      <w:r>
        <w:rPr>
          <w:b/>
        </w:rPr>
        <w:t>PDD causes and SHEIN suffers</w:t>
      </w:r>
      <w:r>
        <w:t>. Temu's spending is literally why SHEIN paid +48.9% for +8% revenue. Paying a premium here means paying more for the victim than the aggressor.</w:t>
      </w:r>
    </w:p>
    <w:p>
      <w:pPr>
        <w:pStyle w:val="ListNumber"/>
      </w:pPr>
      <w:r>
        <w:rPr>
          <w:b/>
        </w:rPr>
        <w:t>Risk — anything offsetting?</w:t>
      </w:r>
      <w:r>
        <w:t xml:space="preserve"> The China/tariff haircut applies to both, so it cancels. SHEIN then adds three risks PDD doesn't carry: WVR (no southbound buyer for six months), the US$3.5bn ratchet leakage, and a register of made-whole sellers sitting exactly at your cost basis. Strike three.</w:t>
      </w:r>
    </w:p>
    <w:p>
      <w:pPr>
        <w:pStyle w:val="ListNumber"/>
      </w:pPr>
      <w:r>
        <w:rPr>
          <w:b/>
        </w:rPr>
        <w:t>So why does the deal still ask 12.9x against PDD's 9.5x?</w:t>
      </w:r>
      <w:r>
        <w:t xml:space="preserve"> Only one honest answer: the denominator. The syndicate wants you to capitalise 2027 *normalised* earnings (BI's US$1.67bn rebound), not the depressed 2025/Q1 prints. Legitimate argument — but see what it implies: </w:t>
      </w:r>
      <w:r>
        <w:rPr>
          <w:b/>
        </w:rPr>
        <w:t>the entire 35% premium IS the recovery bet, with zero margin of safety left over.</w:t>
      </w:r>
      <w:r>
        <w:t xml:space="preserve"> The rule it breaks: don't pay in advance for a normalisation the company hasn't printed, when the anchor comp gives you a structurally better business without needing the bet. If recovery lands, PDD probably re-rates too, so you don't even win relative; if it misses, SHEIN converges to PDD's multiple ≈ US$20bn, about –25%. Heads you roughly tie, tails you lose a quarter.</w:t>
      </w:r>
    </w:p>
    <w:p>
      <w:pPr>
        <w:pStyle w:val="Heading2"/>
      </w:pPr>
      <w:r>
        <w:t>Mech-Mind vs Rokae — premium deserved. Same three drivers:</w:t>
      </w:r>
    </w:p>
    <w:p>
      <w:pPr>
        <w:pStyle w:val="ListNumber"/>
      </w:pPr>
      <w:r>
        <w:rPr>
          <w:b/>
        </w:rPr>
        <w:t>Fix the unit first.</w:t>
      </w:r>
      <w:r>
        <w:t xml:space="preserve"> P/S assumes every revenue dollar is equal; it isn't. Mech-Mind keeps 65 cents of gross profit per revenue dollar, Rokae keeps 22. If the two ever reach similar opex efficiency, steady-state earnings power per revenue dollar is ~3x higher at Mech-Mind — so the *neutral* condition is equal price-to-</w:t>
      </w:r>
      <w:r>
        <w:rPr>
          <w:b/>
        </w:rPr>
        <w:t>gross-profit</w:t>
      </w:r>
      <w:r>
        <w:t xml:space="preserve">, not equal P/S. At par P/S (29x each): Mech-Mind ≈ </w:t>
      </w:r>
      <w:r>
        <w:rPr>
          <w:b/>
        </w:rPr>
        <w:t>45x gross profit</w:t>
      </w:r>
      <w:r>
        <w:t xml:space="preserve">, Rokae ≈ </w:t>
      </w:r>
      <w:r>
        <w:rPr>
          <w:b/>
        </w:rPr>
        <w:t>130x</w:t>
      </w:r>
      <w:r>
        <w:t xml:space="preserve"> (~85x on H1-annualised). So parity in P/S already hands Mech-Mind a ~65% relative discount on the honest unit — the premium case starts as arithmetic, not opinion.</w:t>
      </w:r>
    </w:p>
    <w:p>
      <w:pPr>
        <w:pStyle w:val="ListNumber"/>
      </w:pPr>
      <w:r>
        <w:rPr>
          <w:b/>
        </w:rPr>
        <w:t>Margin trajectory — who is on the right side of the price war?</w:t>
      </w:r>
      <w:r>
        <w:t xml:space="preserve"> Rokae sells arms: hardware against 300+ Chinese arm makers, embodied segment gross margin 10.7%, price war confirmed by the NDRC and Caixin. Its margin has a hardware ceiling. Mech-Mind sells perception </w:t>
      </w:r>
      <w:r>
        <w:rPr>
          <w:b/>
        </w:rPr>
        <w:t>to every arm maker</w:t>
      </w:r>
      <w:r>
        <w:t xml:space="preserve"> — a price war among arm makers increases the volume of eyes sold while squeezing the people selling arms. Its gross margin went 39% → 65% *while the war started*. When a value chain commoditises, whoever owns the differentiating component collects what the commodity layer gives up.</w:t>
      </w:r>
    </w:p>
    <w:p>
      <w:pPr>
        <w:pStyle w:val="ListNumber"/>
      </w:pPr>
      <w:r>
        <w:rPr>
          <w:b/>
        </w:rPr>
        <w:t>Durability — which #1 decays slower?</w:t>
      </w:r>
      <w:r>
        <w:t xml:space="preserve"> Rokae is #1 in a domestic niche (47% of China cobots by volume) but 5.8% in light industrial and only 9% overseas — a local leader in a crowded commodity field. Mech-Mind is #1 </w:t>
      </w:r>
      <w:r>
        <w:rPr>
          <w:b/>
        </w:rPr>
        <w:t>globally</w:t>
      </w:r>
      <w:r>
        <w:t xml:space="preserve"> (27% of shipments, more than the next four combined), #1 in China, Japan and North America simultaneously, 50% overseas at better margin, 86% repeat revenue, and a 27,000-unit data flywheel a copycat cannot shortcut. A global #1 with data lock-in fades a lot slower than a domestic niche #1 in commodity hardware.</w:t>
      </w:r>
    </w:p>
    <w:p>
      <w:pPr>
        <w:pStyle w:val="ListNumber"/>
      </w:pPr>
      <w:r>
        <w:rPr>
          <w:b/>
        </w:rPr>
        <w:t>Then why does Rokae get parity today at all?</w:t>
      </w:r>
      <w:r>
        <w:t xml:space="preserve"> Because it has the one thing markets pay cash for: a </w:t>
      </w:r>
      <w:r>
        <w:rPr>
          <w:b/>
        </w:rPr>
        <w:t>printed</w:t>
      </w:r>
      <w:r>
        <w:t xml:space="preserve"> inflection — the 30 Jul alert (adjusted profit positive, revenue +127%). Mech-Mind offers a trajectory (adjusted loss 334 → 109 → 33) but no print yet. That proof-premium explains why Rokae *holds* par today; it never justifies Mech-Mind trading below Rokae, and it converts into an explicit Mech-Mind premium the day the first post-listing print confirms the trajectory. The deal at parity therefore hands you the deserved premium for free — payable, or not, at the first print.</w:t>
      </w:r>
    </w:p>
    <w:p>
      <w:r>
        <w:t xml:space="preserve">Honesty check a PM would demand: this is a </w:t>
      </w:r>
      <w:r>
        <w:rPr>
          <w:b/>
        </w:rPr>
        <w:t>relative</w:t>
      </w:r>
      <w:r>
        <w:t xml:space="preserve"> call. Rokae's own 29x is partly a 6%-float artifact — if Rokae de-rates to 20x, “deserves a premium to Rokae” still means Mech-Mind falls in absolute. Deserving a premium and being cheap are different claims; we are making the first.</w:t>
      </w:r>
    </w:p>
    <w:p>
      <w:pPr>
        <w:pStyle w:val="Heading1"/>
      </w:pPr>
      <w:r>
        <w:t>5.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a memory-cycle trade at ~19x annualised 2026 earnings, not an A/H convergence trade. Saturday's interim only settles Q2 gross margin, inventory and the Q3 language; positioning is washed out, whisper is top-of-range, we lean slightly positive into Monday.</w:t>
      </w:r>
    </w:p>
    <w:p>
      <w:pPr>
        <w:pStyle w:val="Heading2"/>
      </w:pPr>
      <w:r>
        <w:t>Dates to watch</w:t>
      </w:r>
    </w:p>
    <w:p>
      <w:pPr>
        <w:pStyle w:val="ListBullet"/>
      </w:pPr>
      <w:r>
        <w:t xml:space="preserve">28 Aug noon — Mech-Mind final price · </w:t>
      </w:r>
      <w:r>
        <w:rPr>
          <w:b/>
        </w:rPr>
        <w:t>29 Aug — Ingenic interim (A-share reacts Mon 31)</w:t>
      </w:r>
      <w:r>
        <w:t xml:space="preserve"> · 31 Aug — SHEIN formal price, allotments, grey market 16:15–18:30 · 1 Sep — debuts · ~mid-Sep — SHEIN HSCI fast entry · H2-26 robotics prints · Mar 2027 — Mech-Mind unlock +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