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4C2B5" w14:textId="77777777" w:rsidR="001779E3" w:rsidRDefault="001779E3" w:rsidP="001779E3">
      <w:pPr>
        <w:rPr>
          <w:rFonts w:ascii="Arial" w:eastAsiaTheme="minorEastAsia" w:hAnsi="Arial" w:cs="Arial"/>
          <w:b/>
          <w:bCs/>
          <w:color w:val="FF0000"/>
          <w:sz w:val="20"/>
          <w:szCs w:val="20"/>
          <w:u w:val="single"/>
        </w:rPr>
        <w:spacing w:after="100" w:before="0" w:line="240" w:lineRule="auto"/>
        <w:keepLines/>
        <w:keepNext/>
      </w:pPr>
      <w:r>
        <w:rPr>
          <w:rFonts w:ascii="Arial" w:hAnsi="Arial" w:cs="Arial"/>
          <w:b/>
          <w:bCs/>
          <w:color w:val="153D63"/>
          <w:sz w:val="20"/>
          <w:szCs w:val="20"/>
          <w:u w:val="single"/>
        </w:rPr>
        <w:t>Upcoming IPO</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Trader briefing | 13 October 2026 close | Six pre-pricing Hong Kong candidates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00"/>
        <w:gridCol w:w="1760"/>
        <w:gridCol w:w="750"/>
        <w:gridCol w:w="950"/>
        <w:gridCol w:w="1560"/>
        <w:gridCol w:w="900"/>
        <w:gridCol w:w="2052"/>
      </w:tblGrid>
      <w:tr>
        <w:trPr>
          <w:cantSplit/>
          <w:tblHeader/>
        </w:trPr>
        <w:tc>
          <w:tcPr>
            <w:tcW w:w="200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Name</w:t>
            </w:r>
          </w:p>
        </w:tc>
        <w:tc>
          <w:tcPr>
            <w:tcW w:w="176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Sector</w:t>
            </w:r>
          </w:p>
        </w:tc>
        <w:tc>
          <w:tcPr>
            <w:tcW w:w="75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Deal size</w:t>
            </w:r>
          </w:p>
        </w:tc>
        <w:tc>
          <w:tcPr>
            <w:tcW w:w="95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A-share</w:t>
            </w:r>
          </w:p>
        </w:tc>
        <w:tc>
          <w:tcPr>
            <w:tcW w:w="156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Timetable</w:t>
            </w:r>
          </w:p>
        </w:tc>
        <w:tc>
          <w:tcPr>
            <w:tcW w:w="900"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Green-</w:t>
              <w:br/>
              <w:t xml:space="preserve">shoe</w:t>
            </w:r>
          </w:p>
        </w:tc>
        <w:tc>
          <w:tcPr>
            <w:tcW w:w="2052" w:type="dxa"/>
            <w:vAlign w:val="center"/>
            <w:hideMark/>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Sponsor</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Microintelligence</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Industrial AI</w:t>
              <w:br/>
              <w:t xml:space="preserve">robot automation</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None</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PHIP 9 Oct</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Orient Capital</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Tinci Materials</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Battery electrolyte</w:t>
              <w:br/>
              <w:t xml:space="preserve">and materials</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002709 SZ</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PHIP 5 Oct</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J.P. Morgan</w:t>
              <w:br/>
              <w:t xml:space="preserve">CITIC Securities</w:t>
              <w:br/>
              <w:t xml:space="preserve">GF Capital</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Capchem</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Electrolyte and</w:t>
              <w:br/>
              <w:t xml:space="preserve">specialty chemicals</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300037 SZ</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AP 28 Aug</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CITIC Securities</w:t>
              <w:br/>
              <w:t xml:space="preserve">CICC</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Dongshan Precision</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PCB, transceivers</w:t>
              <w:br/>
              <w:t xml:space="preserve">and precision parts</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002384 SZ</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PHIP 11 Oct</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UBS</w:t>
              <w:br/>
              <w:t xml:space="preserve">Haitong International</w:t>
              <w:br/>
              <w:t xml:space="preserve">GF Capital</w:t>
              <w:br/>
              <w:t xml:space="preserve">CITIC Securities</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Yuen Kee Food</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Dumpling franchise</w:t>
              <w:br/>
              <w:t xml:space="preserve">food supply chain</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None</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AP 30 Jul</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Huatai Financial</w:t>
              <w:br/>
              <w:t xml:space="preserve">GF Capital</w:t>
            </w:r>
          </w:p>
        </w:tc>
      </w:tr>
      <w:tr>
        <w:trPr>
          <w:cantSplit/>
        </w:trPr>
        <w:tc>
          <w:tcPr>
            <w:tcW w:w="20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Slender West Lake Cultural Tourism</w:t>
            </w:r>
          </w:p>
        </w:tc>
        <w:tc>
          <w:tcPr>
            <w:tcW w:w="17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Yangzhou sightseeing</w:t>
              <w:br/>
              <w:t xml:space="preserve">boat and bus services</w:t>
            </w:r>
          </w:p>
        </w:tc>
        <w:tc>
          <w:tcPr>
            <w:tcW w:w="7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95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None</w:t>
            </w:r>
          </w:p>
        </w:tc>
        <w:tc>
          <w:tcPr>
            <w:tcW w:w="156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PHIP 7 Oct</w:t>
              <w:br/>
              <w:t xml:space="preserve">Offer TBA</w:t>
            </w:r>
          </w:p>
        </w:tc>
        <w:tc>
          <w:tcPr>
            <w:tcW w:w="900"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TBA</w:t>
            </w:r>
          </w:p>
        </w:tc>
        <w:tc>
          <w:tcPr>
            <w:tcW w:w="2052" w:type="dxa"/>
            <w:vAlign w:val="center"/>
            <w:hideMark/>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rPr>
              <w:t xml:space="preserve">China Everbright</w:t>
              <w:br/>
              <w:t xml:space="preserve">Capital</w:t>
            </w:r>
          </w:p>
        </w:tc>
      </w:tr>
    </w:tbl>
    <w:p w14:paraId="1AF2FA83" w14:textId="77777777" w:rsidR="001779E3" w:rsidRDefault="001779E3" w:rsidP="001779E3">
      <w:pPr>
        <w:rPr>
          <w:rFonts w:ascii="Arial" w:eastAsiaTheme="minorEastAsia" w:hAnsi="Arial" w:cs="Arial"/>
          <w:color w:val="153D63"/>
          <w:sz w:val="20"/>
          <w:szCs w:val="20"/>
        </w:rPr>
        <w:spacing w:after="130" w:before="120" w:line="240" w:lineRule="auto"/>
        <w:keepLines/>
      </w:pPr>
      <w:r>
        <w:rPr>
          <w:rFonts w:ascii="Arial" w:hAnsi="Arial" w:cs="Arial"/>
          <w:color w:val="153D63"/>
          <w:sz w:val="20"/>
          <w:szCs w:val="20"/>
        </w:rPr>
        <w:t xml:space="preserve">AP = Application Proof; PHIP = post-hearing information pack. Dates are filing dates, not offer or listing dates. Offer size, price and greenshoe are not confirmed in the verified documents. No named cornerstone agreements have been verified; pre-IPO shareholders do not establish cornerstone support.</w:t>
      </w:r>
    </w:p>
    <w:p w14:paraId="1AF2FA83" w14:textId="77777777" w:rsidR="001779E3" w:rsidRDefault="001779E3" w:rsidP="001779E3">
      <w:pPr>
        <w:rPr>
          <w:rFonts w:ascii="Arial" w:eastAsiaTheme="minorEastAsia" w:hAnsi="Arial" w:cs="Arial"/>
          <w:color w:val="153D63"/>
          <w:sz w:val="20"/>
          <w:szCs w:val="20"/>
        </w:rPr>
        <w:spacing w:after="90" w:before="0" w:line="240" w:lineRule="auto"/>
        <w:keepLines/>
      </w:pPr>
      <w:r>
        <w:rPr>
          <w:rFonts w:ascii="Arial" w:hAnsi="Arial" w:cs="Arial"/>
          <w:color w:val="153D63"/>
          <w:sz w:val="20"/>
          <w:szCs w:val="20"/>
        </w:rPr>
        <w:t xml:space="preserve">Some key points: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0" w:before="0" w:line="240" w:lineRule="auto"/>
        <w:keepLines/>
      </w:pPr>
      <w:r>
        <w:rPr>
          <w:rFonts w:ascii="Arial" w:hAnsi="Arial" w:cs="Arial"/>
          <w:color w:val="153D63"/>
          <w:sz w:val="20"/>
          <w:szCs w:val="20"/>
          <w:b/>
          <w:bCs/>
        </w:rPr>
        <w:t xml:space="preserve">Tinci versus Capchem:</w:t>
      </w:r>
      <w:r>
        <w:rPr>
          <w:rFonts w:ascii="Arial" w:hAnsi="Arial" w:cs="Arial"/>
          <w:color w:val="153D63"/>
          <w:sz w:val="20"/>
          <w:szCs w:val="20"/>
        </w:rPr>
        <w:t xml:space="preserve"> Tinci offers lower forecast P/E and stronger integrated cost exposure; Capchem offers better H1 cash conversion and specialty margins, at a substantial premium. The key decision is how much of the current electrolyte recovery survives new supply.</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0" w:before="0" w:line="240" w:lineRule="auto"/>
        <w:keepLines/>
      </w:pPr>
      <w:r>
        <w:rPr>
          <w:rFonts w:ascii="Arial" w:hAnsi="Arial" w:cs="Arial"/>
          <w:color w:val="153D63"/>
          <w:sz w:val="20"/>
          <w:szCs w:val="20"/>
          <w:b/>
          <w:bCs/>
        </w:rPr>
        <w:t xml:space="preserve">Dongshan versus Microintelligence:</w:t>
      </w:r>
      <w:r>
        <w:rPr>
          <w:rFonts w:ascii="Arial" w:hAnsi="Arial" w:cs="Arial"/>
          <w:color w:val="153D63"/>
          <w:sz w:val="20"/>
          <w:szCs w:val="20"/>
        </w:rPr>
        <w:t xml:space="preserve"> Dongshan already has meaningful optical-module revenue, but its attractive FY2027 multiple assumes a sharp profit step-up. Microintelligence has commercial industrial AI products, with a much smaller profit base and heavy cash requirements.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0" w:before="0" w:line="240" w:lineRule="auto"/>
        <w:keepLines/>
      </w:pPr>
      <w:r>
        <w:rPr>
          <w:rFonts w:ascii="Arial" w:hAnsi="Arial" w:cs="Arial"/>
          <w:color w:val="153D63"/>
          <w:sz w:val="20"/>
          <w:szCs w:val="20"/>
          <w:b/>
          <w:bCs/>
        </w:rPr>
        <w:t xml:space="preserve">Yuen Kee versus Slender West Lake:</w:t>
      </w:r>
      <w:r>
        <w:rPr>
          <w:rFonts w:ascii="Arial" w:hAnsi="Arial" w:cs="Arial"/>
          <w:color w:val="153D63"/>
          <w:sz w:val="20"/>
          <w:szCs w:val="20"/>
        </w:rPr>
        <w:t xml:space="preserve"> Yuen Kee has expansion potential but a pork-cost and franchisee-economics test. Slender West Lake is a concentrated concession cash-flow business; expiry and seasonality matter more than a tourism growth label.</w:t>
      </w:r>
    </w:p>
    <w:p w14:paraId="52FB51E6" w14:textId="77777777" w:rsidR="001779E3" w:rsidRDefault="001779E3" w:rsidP="001779E3">
      <w:pPr>
        <w:rPr>
          <w:rFonts w:ascii="Arial" w:hAnsi="Arial" w:cs="Arial"/>
          <w:color w:val="FF0000"/>
          <w:sz w:val="20"/>
          <w:szCs w:val="20"/>
        </w:rPr>
        <w:spacing w:after="80" w:before="100" w:line="240" w:lineRule="auto"/>
        <w:keepLines/>
        <w:keepNext/>
      </w:pPr>
      <w:r>
        <w:rPr>
          <w:rFonts w:ascii="Arial" w:hAnsi="Arial" w:cs="Arial"/>
          <w:b/>
          <w:bCs/>
          <w:color w:val="FF0000"/>
          <w:sz w:val="20"/>
          <w:szCs w:val="20"/>
        </w:rPr>
        <w:t>Valuation basis</w:t>
      </w:r>
    </w:p>
    <w:p w14:paraId="1AF2FA83" w14:textId="77777777" w:rsidR="001779E3" w:rsidRDefault="001779E3" w:rsidP="001779E3">
      <w:pPr>
        <w:rPr>
          <w:rFonts w:ascii="Arial" w:eastAsiaTheme="minorEastAsia" w:hAnsi="Arial" w:cs="Arial"/>
          <w:color w:val="153D63"/>
          <w:sz w:val="20"/>
          <w:szCs w:val="20"/>
        </w:rPr>
        <w:spacing w:after="90" w:before="0" w:line="240" w:lineRule="auto"/>
        <w:keepLines/>
      </w:pPr>
      <w:r>
        <w:rPr>
          <w:rFonts w:ascii="Arial" w:hAnsi="Arial" w:cs="Arial"/>
          <w:color w:val="153D63"/>
          <w:sz w:val="20"/>
          <w:szCs w:val="20"/>
        </w:rPr>
        <w:t xml:space="preserve">Prices are CNY at the common 13 October close. TTM P/E is the quoted provider measure. Forward P/E = closing price × current quoted total ordinary shares ÷ a selected broker’s full-year attributable profit forecast. These are individual estimates, not consensus; financial years end in December. n/c means a verified current forecast is unavailable, not zero earnings.</w:t>
      </w:r>
    </w:p>
    <w:p w14:paraId="1AF2FA83" w14:textId="77777777" w:rsidR="001779E3" w:rsidRDefault="001779E3" w:rsidP="001779E3">
      <w:pPr>
        <w:rPr>
          <w:rFonts w:ascii="Arial" w:eastAsiaTheme="minorEastAsia" w:hAnsi="Arial" w:cs="Arial"/>
          <w:color w:val="153D63"/>
          <w:sz w:val="20"/>
          <w:szCs w:val="20"/>
        </w:rPr>
        <w:spacing w:after="90" w:before="0" w:line="240" w:lineRule="auto"/>
        <w:keepLines/>
      </w:pPr>
      <w:r>
        <w:rPr>
          <w:rFonts w:ascii="Arial" w:hAnsi="Arial" w:cs="Arial"/>
          <w:color w:val="153D63"/>
          <w:sz w:val="20"/>
          <w:szCs w:val="20"/>
        </w:rPr>
        <w:t xml:space="preserve">The tables show A-line implied equity values, including all quoted ordinary shares at the A price; they are not combined A+H market values. H-offer P/E remains TBA until price and post-issue shares are published. For an A+H offer, use the RMB-converted H price × post-issue shares ÷ the same profit forecast, then assess dilution and the A/H discount. Three unlisted issuers have no verified public full-year forecasts; their latest disclosed LTM earnings are shown separately.</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Stage and market data: </w:t>
      </w:r>
      <w:hyperlink r:id="rId17">
        <w:r>
          <w:rPr>
            <w:rFonts w:ascii="Arial" w:hAnsi="Arial" w:cs="Arial"/>
            <w:color w:val="153D63"/>
            <w:sz w:val="20"/>
            <w:szCs w:val="20"/>
            <w:u w:val="single"/>
          </w:rPr>
          <w:t xml:space="preserve">HKEX PHIP register</w:t>
        </w:r>
      </w:hyperlink>
      <w:r>
        <w:rPr>
          <w:rFonts w:ascii="Arial" w:hAnsi="Arial" w:cs="Arial"/>
          <w:color w:val="153D63"/>
          <w:sz w:val="20"/>
          <w:szCs w:val="20"/>
        </w:rPr>
        <w:t xml:space="preserve">; </w:t>
      </w:r>
      <w:hyperlink r:id="rId18">
        <w:r>
          <w:rPr>
            <w:rFonts w:ascii="Arial" w:hAnsi="Arial" w:cs="Arial"/>
            <w:color w:val="153D63"/>
            <w:sz w:val="20"/>
            <w:szCs w:val="20"/>
            <w:u w:val="single"/>
          </w:rPr>
          <w:t xml:space="preserve">HKEX application register</w:t>
        </w:r>
      </w:hyperlink>
      <w:r>
        <w:rPr>
          <w:rFonts w:ascii="Arial" w:hAnsi="Arial" w:cs="Arial"/>
          <w:color w:val="153D63"/>
          <w:sz w:val="20"/>
          <w:szCs w:val="20"/>
        </w:rPr>
        <w:t xml:space="preserve">; </w:t>
      </w:r>
      <w:hyperlink r:id="rId19">
        <w:r>
          <w:rPr>
            <w:rFonts w:ascii="Arial" w:hAnsi="Arial" w:cs="Arial"/>
            <w:color w:val="153D63"/>
            <w:sz w:val="20"/>
            <w:szCs w:val="20"/>
            <w:u w:val="single"/>
          </w:rPr>
          <w:t xml:space="preserve">Tencent closing quote feed</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Microintelligence</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Industrial AI inspection and robot automation | PHIP 9 October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AI is already selling into factories.</w:t>
      </w:r>
      <w:r>
        <w:rPr>
          <w:rFonts w:ascii="Arial" w:hAnsi="Arial" w:cs="Arial"/>
          <w:color w:val="153D63"/>
          <w:sz w:val="20"/>
          <w:szCs w:val="20"/>
        </w:rPr>
        <w:t xml:space="preserve"> Five-month 2026 revenue rose 22.6% to RMB424m. Embodied industrial robots contributed 61.4% of sales, grew 39.7% and earned a 54.8% gross margin. Inspection, grinding and assembly are real commercial uses; repeat deployments and reuse of production data could lower engineering cost per installation.</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move from vision to complete automation.</w:t>
      </w:r>
      <w:r>
        <w:rPr>
          <w:rFonts w:ascii="Arial" w:hAnsi="Arial" w:cs="Arial"/>
          <w:color w:val="153D63"/>
          <w:sz w:val="20"/>
          <w:szCs w:val="20"/>
        </w:rPr>
        <w:t xml:space="preserve"> The Agilebot acquisition adds robot motion control to the vision software. The upside is larger orders and more reusable systems across customers. FY2025 R&amp;D was RMB235m, almost 30% of sales: growth must eventually spread this cost over a larger revenue base.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the profit headline overstates operating recovery.</w:t>
      </w:r>
      <w:r>
        <w:rPr>
          <w:rFonts w:ascii="Arial" w:hAnsi="Arial" w:cs="Arial"/>
          <w:color w:val="153D63"/>
          <w:sz w:val="20"/>
          <w:szCs w:val="20"/>
        </w:rPr>
        <w:t xml:space="preserve"> Five-month reported profit rose from RMB7.1m to RMB22.5m, but operating profit increased only 1.8% to RMB34.2m. Redemption-liability interest of RMB16.6m disappeared. Adjusted profit rose 41.5% to RMB33.8m; that is a better, still modest, measure of progress.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delivery and cash collection remain the constraint.</w:t>
      </w:r>
      <w:r>
        <w:rPr>
          <w:rFonts w:ascii="Arial" w:hAnsi="Arial" w:cs="Arial"/>
          <w:color w:val="153D63"/>
          <w:sz w:val="20"/>
          <w:szCs w:val="20"/>
        </w:rPr>
        <w:t xml:space="preserve"> Receivable days improved from 256 in FY2025 to 188, but five-month operating cash was only RMB12.7m. Cash fell from RMB242m to RMB95m alongside RMB201m of investing outflow; borrowings were RMB753m. More orders do not automatically fund the next installation.</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price the earnings base before paying for the AI story.</w:t>
      </w:r>
      <w:r>
        <w:rPr>
          <w:rFonts w:ascii="Arial" w:hAnsi="Arial" w:cs="Arial"/>
          <w:color w:val="153D63"/>
          <w:sz w:val="20"/>
          <w:szCs w:val="20"/>
        </w:rPr>
        <w:t xml:space="preserve"> Latest disclosed LTM owner profit is RMB20.5m, versus RMB58.6m adjusted profit, both to May 2026. Each RMB1bn of offer equity value equates to 48.7x reported LTM earnings or 17.1x adjusted earnings. Require evidence of repeat orders, operating leverage and cash collection to justify a software-style premium.</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Microintelligence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OPT — machine-vision components; closest product exposure</w:t>
              <w:br/>
              <w:t xml:space="preserve">688686</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115.81</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67.2x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56.6x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41.8x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TZTEK — vision inspection equipment; closest delivery model</w:t>
              <w:br/>
              <w:t xml:space="preserve">688003</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66.68</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68.8x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76.0x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48.6x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Inovance — motion control and automation; broader scale anchor</w:t>
              <w:br/>
              <w:t xml:space="preserve">300124</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50.89</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28.2x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23.7x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19.5x</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OPT and TZTEK are the closest listed product references; neither has the same complete robot-system mix. TZTEK reported H1 owner profit of RMB98m but only RMB10m excluding non-recurring items, so its reported P/E is not a clean operating benchmark. No public issuer FY2026E/FY2027E forecast verified.</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20">
        <w:r>
          <w:rPr>
            <w:rFonts w:ascii="Arial" w:hAnsi="Arial" w:cs="Arial"/>
            <w:color w:val="153D63"/>
            <w:sz w:val="20"/>
            <w:szCs w:val="20"/>
            <w:u w:val="single"/>
          </w:rPr>
          <w:t xml:space="preserve">HKEX PHIP</w:t>
        </w:r>
      </w:hyperlink>
      <w:r>
        <w:rPr>
          <w:rFonts w:ascii="Arial" w:hAnsi="Arial" w:cs="Arial"/>
          <w:color w:val="153D63"/>
          <w:sz w:val="20"/>
          <w:szCs w:val="20"/>
        </w:rPr>
        <w:t xml:space="preserve">; </w:t>
      </w:r>
      <w:hyperlink r:id="rId21">
        <w:r>
          <w:rPr>
            <w:rFonts w:ascii="Arial" w:hAnsi="Arial" w:cs="Arial"/>
            <w:color w:val="153D63"/>
            <w:sz w:val="20"/>
            <w:szCs w:val="20"/>
            <w:u w:val="single"/>
          </w:rPr>
          <w:t xml:space="preserve">Xueqiu IPO Zaozhidao 10 Oct</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22">
        <w:r>
          <w:rPr>
            <w:rFonts w:ascii="Arial" w:hAnsi="Arial" w:cs="Arial"/>
            <w:color w:val="153D63"/>
            <w:sz w:val="20"/>
            <w:szCs w:val="20"/>
            <w:u w:val="single"/>
          </w:rPr>
          <w:t xml:space="preserve">688686 China Post Securities 31 Aug</w:t>
        </w:r>
      </w:hyperlink>
      <w:r>
        <w:rPr>
          <w:rFonts w:ascii="Arial" w:hAnsi="Arial" w:cs="Arial"/>
          <w:color w:val="153D63"/>
          <w:sz w:val="20"/>
          <w:szCs w:val="20"/>
        </w:rPr>
        <w:t xml:space="preserve">; </w:t>
      </w:r>
      <w:hyperlink r:id="rId23">
        <w:r>
          <w:rPr>
            <w:rFonts w:ascii="Arial" w:hAnsi="Arial" w:cs="Arial"/>
            <w:color w:val="153D63"/>
            <w:sz w:val="20"/>
            <w:szCs w:val="20"/>
            <w:u w:val="single"/>
          </w:rPr>
          <w:t xml:space="preserve">688003 Huaxin 23 Sep</w:t>
        </w:r>
      </w:hyperlink>
      <w:r>
        <w:rPr>
          <w:rFonts w:ascii="Arial" w:hAnsi="Arial" w:cs="Arial"/>
          <w:color w:val="153D63"/>
          <w:sz w:val="20"/>
          <w:szCs w:val="20"/>
        </w:rPr>
        <w:t xml:space="preserve">; </w:t>
      </w:r>
      <w:hyperlink r:id="rId24">
        <w:r>
          <w:rPr>
            <w:rFonts w:ascii="Arial" w:hAnsi="Arial" w:cs="Arial"/>
            <w:color w:val="153D63"/>
            <w:sz w:val="20"/>
            <w:szCs w:val="20"/>
            <w:u w:val="single"/>
          </w:rPr>
          <w:t xml:space="preserve">300124 Soochow 22 Sep</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Tinci Materials</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002709 SZ | Integrated battery electrolyte supplier | PHIP 5 October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recovery is already in the numbers.</w:t>
      </w:r>
      <w:r>
        <w:rPr>
          <w:rFonts w:ascii="Arial" w:hAnsi="Arial" w:cs="Arial"/>
          <w:color w:val="153D63"/>
          <w:sz w:val="20"/>
          <w:szCs w:val="20"/>
        </w:rPr>
        <w:t xml:space="preserve"> H1 revenue doubled to RMB14.71bn; owner profit reached RMB2.86bn, up 968%, and gross margin rose to 33.5%. LiPF6, LiFSI and additives made in-house give Tinci a cost advantage as EV and energy-storage electrolyte demand rises.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volume plus better formulations.</w:t>
      </w:r>
      <w:r>
        <w:rPr>
          <w:rFonts w:ascii="Arial" w:hAnsi="Arial" w:cs="Arial"/>
          <w:color w:val="153D63"/>
          <w:sz w:val="20"/>
          <w:szCs w:val="20"/>
        </w:rPr>
        <w:t xml:space="preserve"> Higher LiFSI content and specialised additives can raise value per tonne and strengthen customer qualification barriers. Overseas capacity can follow battery customers. Solid-state materials are an additional development option; the near-term earnings case remains liquid electrolytes.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this remains a pricing cycle.</w:t>
      </w:r>
      <w:r>
        <w:rPr>
          <w:rFonts w:ascii="Arial" w:hAnsi="Arial" w:cs="Arial"/>
          <w:color w:val="153D63"/>
          <w:sz w:val="20"/>
          <w:szCs w:val="20"/>
        </w:rPr>
        <w:t xml:space="preserve"> Q2 gross margin fell to 29.3% and owner profit fell about 27% versus Q1. A volume agreement does not necessarily lock selling prices or margins. More rival capacity and dual sourcing could remove the current scarcity premium even while shipments grow.</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inventory supports growth, but cash conversion is weak.</w:t>
      </w:r>
      <w:r>
        <w:rPr>
          <w:rFonts w:ascii="Arial" w:hAnsi="Arial" w:cs="Arial"/>
          <w:color w:val="153D63"/>
          <w:sz w:val="20"/>
          <w:szCs w:val="20"/>
        </w:rPr>
        <w:t xml:space="preserve"> Inventory rose 58.8% to RMB2.57bn, while inventory days improved to 38.6: this is not evidence of slower stock turnover. Receivables and bills rose to RMB12.15bn; H1 operating cash was only RMB397m, 14% of owner profit. Customer credit, price reversals and working-capital funding need closer attention than the inventory balance alone.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lowest forward multiple here, conditional on margins holding.</w:t>
      </w:r>
      <w:r>
        <w:rPr>
          <w:rFonts w:ascii="Arial" w:hAnsi="Arial" w:cs="Arial"/>
          <w:color w:val="153D63"/>
          <w:sz w:val="20"/>
          <w:szCs w:val="20"/>
        </w:rPr>
        <w:t xml:space="preserve"> The A line is 10.7x FY2026E and 8.9x FY2027E. The selected forecast requires RMB3.38bn profit in H2, above H1. An H-share discount could improve the entry, but compare after new-share dilution and test earnings against lower electrolyte prices; do not treat 10.7x peak-cycle earnings as automatically cheap.</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Tinci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Tinci A — issuer reference</w:t>
              <w:br/>
              <w:t xml:space="preserve">002709</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32.80</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10.7x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8.9x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Capchem — direct electrolyte peer; more specialty chemicals</w:t>
              <w:br/>
              <w:t xml:space="preserve">300037</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61.55</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29.1x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20.8x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15.5x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Ruitai New Materials — direct electrolyte and additive peer</w:t>
              <w:br/>
              <w:t xml:space="preserve">301238</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16.16</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36.9x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Do-Fluoride — upstream LiPF6 exposure; broader product mix</w:t>
              <w:br/>
              <w:t xml:space="preserve">002407</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27.92</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49.4x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Capchem and Ruitai are direct electrolyte comparables. Do-Fluoride is an upstream cycle reference, not a like-for-like business. Verified current full-year forecasts were unavailable for Ruitai and Do-Fluoride, so their forward P/E is left n/c.</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25">
        <w:r>
          <w:rPr>
            <w:rFonts w:ascii="Arial" w:hAnsi="Arial" w:cs="Arial"/>
            <w:color w:val="153D63"/>
            <w:sz w:val="20"/>
            <w:szCs w:val="20"/>
            <w:u w:val="single"/>
          </w:rPr>
          <w:t xml:space="preserve">HKEX PHIP</w:t>
        </w:r>
      </w:hyperlink>
      <w:r>
        <w:rPr>
          <w:rFonts w:ascii="Arial" w:hAnsi="Arial" w:cs="Arial"/>
          <w:color w:val="153D63"/>
          <w:sz w:val="20"/>
          <w:szCs w:val="20"/>
        </w:rPr>
        <w:t xml:space="preserve">; </w:t>
      </w:r>
      <w:hyperlink r:id="rId26">
        <w:r>
          <w:rPr>
            <w:rFonts w:ascii="Arial" w:hAnsi="Arial" w:cs="Arial"/>
            <w:color w:val="153D63"/>
            <w:sz w:val="20"/>
            <w:szCs w:val="20"/>
            <w:u w:val="single"/>
          </w:rPr>
          <w:t xml:space="preserve">PRC H1 report</w:t>
        </w:r>
      </w:hyperlink>
      <w:r>
        <w:rPr>
          <w:rFonts w:ascii="Arial" w:hAnsi="Arial" w:cs="Arial"/>
          <w:color w:val="153D63"/>
          <w:sz w:val="20"/>
          <w:szCs w:val="20"/>
        </w:rPr>
        <w:t xml:space="preserve">; </w:t>
      </w:r>
      <w:hyperlink r:id="rId27">
        <w:r>
          <w:rPr>
            <w:rFonts w:ascii="Arial" w:hAnsi="Arial" w:cs="Arial"/>
            <w:color w:val="153D63"/>
            <w:sz w:val="20"/>
            <w:szCs w:val="20"/>
            <w:u w:val="single"/>
          </w:rPr>
          <w:t xml:space="preserve">Xueqiu electrolyte debate 18 Aug</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28">
        <w:r>
          <w:rPr>
            <w:rFonts w:ascii="Arial" w:hAnsi="Arial" w:cs="Arial"/>
            <w:color w:val="153D63"/>
            <w:sz w:val="20"/>
            <w:szCs w:val="20"/>
            <w:u w:val="single"/>
          </w:rPr>
          <w:t xml:space="preserve">002709 Soochow 20 Aug</w:t>
        </w:r>
      </w:hyperlink>
      <w:r>
        <w:rPr>
          <w:rFonts w:ascii="Arial" w:hAnsi="Arial" w:cs="Arial"/>
          <w:color w:val="153D63"/>
          <w:sz w:val="20"/>
          <w:szCs w:val="20"/>
        </w:rPr>
        <w:t xml:space="preserve">; </w:t>
      </w:r>
      <w:hyperlink r:id="rId29">
        <w:r>
          <w:rPr>
            <w:rFonts w:ascii="Arial" w:hAnsi="Arial" w:cs="Arial"/>
            <w:color w:val="153D63"/>
            <w:sz w:val="20"/>
            <w:szCs w:val="20"/>
            <w:u w:val="single"/>
          </w:rPr>
          <w:t xml:space="preserve">300037 Soochow 13 Oct</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Capchem</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300037 SZ | Electrolytes and specialty chemicals | Application Proof 28 August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recovery has better cash backing than Tinci.</w:t>
      </w:r>
      <w:r>
        <w:rPr>
          <w:rFonts w:ascii="Arial" w:hAnsi="Arial" w:cs="Arial"/>
          <w:color w:val="153D63"/>
          <w:sz w:val="20"/>
          <w:szCs w:val="20"/>
        </w:rPr>
        <w:t xml:space="preserve"> H1 revenue rose 75.7% to RMB7.46bn and owner profit doubled to RMB984m. Operating cash of RMB1.13bn exceeded owner profit. Electronic chemicals grew 41% to about RMB956m with a 51.7% gross margin, giving Capchem an earnings stream beyond commodity electrolytes.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two distinct links to AI investment.</w:t>
      </w:r>
      <w:r>
        <w:rPr>
          <w:rFonts w:ascii="Arial" w:hAnsi="Arial" w:cs="Arial"/>
          <w:color w:val="153D63"/>
          <w:sz w:val="20"/>
          <w:szCs w:val="20"/>
        </w:rPr>
        <w:t xml:space="preserve"> Capacitor and semiconductor chemicals benefit from data-centre and chip-industry demand; their segment was about 13% of H1 revenue. Separately, organic fluorochemicals include immersion-cooling fluids for data centres. Customer qualification can protect margins, but cooling-fluid revenue is not separately quantified: an AI premium cannot be applied to the whole group.</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profit growth does not mean every margin recovered.</w:t>
      </w:r>
      <w:r>
        <w:rPr>
          <w:rFonts w:ascii="Arial" w:hAnsi="Arial" w:cs="Arial"/>
          <w:color w:val="153D63"/>
          <w:sz w:val="20"/>
          <w:szCs w:val="20"/>
        </w:rPr>
        <w:t xml:space="preserve"> H1 group gross margin was 23.91%, down 1.14 percentage points, as lower-margin battery chemicals drove the sales mix. Organic-fluorine chemicals saw softer sales and lower margins. LiPF6 joint-venture investment income also contributes to earnings, so watch operating margins and equity-accounted profits separately.</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the next quarterly step-up is still required.</w:t>
      </w:r>
      <w:r>
        <w:rPr>
          <w:rFonts w:ascii="Arial" w:hAnsi="Arial" w:cs="Arial"/>
          <w:color w:val="153D63"/>
          <w:sz w:val="20"/>
          <w:szCs w:val="20"/>
        </w:rPr>
        <w:t xml:space="preserve"> The latest nine-month profit guide is RMB1.53–1.58bn. Soochow’s 13 October full-year estimate of RMB2.23bn requires roughly RMB0.65–0.70bn in Q4, above the implied Q3 range of RMB0.55–0.60bn. New capacity utilisation and specialty-chemical delivery have to support that increase.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better cash and mix deserve a premium, but quantify it.</w:t>
      </w:r>
      <w:r>
        <w:rPr>
          <w:rFonts w:ascii="Arial" w:hAnsi="Arial" w:cs="Arial"/>
          <w:color w:val="153D63"/>
          <w:sz w:val="20"/>
          <w:szCs w:val="20"/>
        </w:rPr>
        <w:t xml:space="preserve"> The A line trades at 20.8x FY2026E and 15.5x FY2027E, almost twice Tinci’s FY2026 multiple. An H offer must leave room for execution and dilution. Pay the premium for sustained specialty growth and cash conversion; an AI label alone cannot explain it.</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Capchem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Capchem A — issuer reference</w:t>
              <w:br/>
              <w:t xml:space="preserve">300037</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61.55</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29.1x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20.8x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15.5x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Tinci — direct electrolyte peer; stronger upstream integration</w:t>
              <w:br/>
              <w:t xml:space="preserve">002709</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32.80</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10.7x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8.9x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Ruitai New Materials — direct electrolyte and additive peer</w:t>
              <w:br/>
              <w:t xml:space="preserve">301238</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16.16</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36.9x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Do-Fluoride — upstream LiPF6 reference; broader mix</w:t>
              <w:br/>
              <w:t xml:space="preserve">002407</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27.92</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49.4x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The A-share PRC accounts supply the headline financial figures and forecast basis. The HK application uses IFRS and contains slightly different revenue and margin figures. Specialty chemicals explain part of Capchem’s valuation premium; they do not make it a pure AI materials company.</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30">
        <w:r>
          <w:rPr>
            <w:rFonts w:ascii="Arial" w:hAnsi="Arial" w:cs="Arial"/>
            <w:color w:val="153D63"/>
            <w:sz w:val="20"/>
            <w:szCs w:val="20"/>
            <w:u w:val="single"/>
          </w:rPr>
          <w:t xml:space="preserve">HKEX Application Proof</w:t>
        </w:r>
      </w:hyperlink>
      <w:r>
        <w:rPr>
          <w:rFonts w:ascii="Arial" w:hAnsi="Arial" w:cs="Arial"/>
          <w:color w:val="153D63"/>
          <w:sz w:val="20"/>
          <w:szCs w:val="20"/>
        </w:rPr>
        <w:t xml:space="preserve">; </w:t>
      </w:r>
      <w:hyperlink r:id="rId31">
        <w:r>
          <w:rPr>
            <w:rFonts w:ascii="Arial" w:hAnsi="Arial" w:cs="Arial"/>
            <w:color w:val="153D63"/>
            <w:sz w:val="20"/>
            <w:szCs w:val="20"/>
            <w:u w:val="single"/>
          </w:rPr>
          <w:t xml:space="preserve">PRC H1 report</w:t>
        </w:r>
      </w:hyperlink>
      <w:r>
        <w:rPr>
          <w:rFonts w:ascii="Arial" w:hAnsi="Arial" w:cs="Arial"/>
          <w:color w:val="153D63"/>
          <w:sz w:val="20"/>
          <w:szCs w:val="20"/>
        </w:rPr>
        <w:t xml:space="preserve">; </w:t>
      </w:r>
      <w:hyperlink r:id="rId32">
        <w:r>
          <w:rPr>
            <w:rFonts w:ascii="Arial" w:hAnsi="Arial" w:cs="Arial"/>
            <w:color w:val="153D63"/>
            <w:sz w:val="20"/>
            <w:szCs w:val="20"/>
            <w:u w:val="single"/>
          </w:rPr>
          <w:t xml:space="preserve">Xueqiu electrolyte debate 18 Aug</w:t>
        </w:r>
      </w:hyperlink>
      <w:r>
        <w:rPr>
          <w:rFonts w:ascii="Arial" w:hAnsi="Arial" w:cs="Arial"/>
          <w:color w:val="153D63"/>
          <w:sz w:val="20"/>
          <w:szCs w:val="20"/>
        </w:rPr>
        <w:t xml:space="preserve">; </w:t>
      </w:r>
      <w:hyperlink r:id="rId33">
        <w:r>
          <w:rPr>
            <w:rFonts w:ascii="Arial" w:hAnsi="Arial" w:cs="Arial"/>
            <w:color w:val="153D63"/>
            <w:sz w:val="20"/>
            <w:szCs w:val="20"/>
            <w:u w:val="single"/>
          </w:rPr>
          <w:t xml:space="preserve">Futu broker digest 23 Aug</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34">
        <w:r>
          <w:rPr>
            <w:rFonts w:ascii="Arial" w:hAnsi="Arial" w:cs="Arial"/>
            <w:color w:val="153D63"/>
            <w:sz w:val="20"/>
            <w:szCs w:val="20"/>
            <w:u w:val="single"/>
          </w:rPr>
          <w:t xml:space="preserve">300037 Soochow 13 Oct</w:t>
        </w:r>
      </w:hyperlink>
      <w:r>
        <w:rPr>
          <w:rFonts w:ascii="Arial" w:hAnsi="Arial" w:cs="Arial"/>
          <w:color w:val="153D63"/>
          <w:sz w:val="20"/>
          <w:szCs w:val="20"/>
        </w:rPr>
        <w:t xml:space="preserve">; </w:t>
      </w:r>
      <w:hyperlink r:id="rId35">
        <w:r>
          <w:rPr>
            <w:rFonts w:ascii="Arial" w:hAnsi="Arial" w:cs="Arial"/>
            <w:color w:val="153D63"/>
            <w:sz w:val="20"/>
            <w:szCs w:val="20"/>
            <w:u w:val="single"/>
          </w:rPr>
          <w:t xml:space="preserve">002709 Soochow 20 Aug</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Dongshan Precision</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002384 SZ | PCB and optical transceivers | PHIP 11 October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this is a genuine AI earnings exposure.</w:t>
      </w:r>
      <w:r>
        <w:rPr>
          <w:rFonts w:ascii="Arial" w:hAnsi="Arial" w:cs="Arial"/>
          <w:color w:val="153D63"/>
          <w:sz w:val="20"/>
          <w:szCs w:val="20"/>
        </w:rPr>
        <w:t xml:space="preserve"> H1 revenue rose 64% to RMB27.80bn; PRC owner profit rose 290% to RMB2.96bn and gross margin reached 20.15%. Optical transceiver revenue was RMB5.35bn, 19.2% of the group, compared with 3.6% in FY2025. Higher-speed modules and advanced server PCBs can improve both mix and profit.</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two routes into cloud capex.</w:t>
      </w:r>
      <w:r>
        <w:rPr>
          <w:rFonts w:ascii="Arial" w:hAnsi="Arial" w:cs="Arial"/>
          <w:color w:val="153D63"/>
          <w:sz w:val="20"/>
          <w:szCs w:val="20"/>
        </w:rPr>
        <w:t xml:space="preserve"> Source Photonics brings 800G/1.6T modules and optical-chip capability; higher-layer PCB capacity offers a second demand channel. More internal components can improve supply control and margins. Qualification, yields and delivered volume matter more than announced capacity.</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headline growth includes an acquisition.</w:t>
      </w:r>
      <w:r>
        <w:rPr>
          <w:rFonts w:ascii="Arial" w:hAnsi="Arial" w:cs="Arial"/>
          <w:color w:val="153D63"/>
          <w:sz w:val="20"/>
          <w:szCs w:val="20"/>
        </w:rPr>
        <w:t xml:space="preserve"> Source Photonics only entered consolidation in October 2025. H1 optical revenue therefore has a much fuller contribution, not a comparable organic base. Consumer FPC and automotive precision parts remain substantial; valuing the entire group at a pure optical-module multiple overstates its AI mix.</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expansion consumes cash and policy could change the margin economics.</w:t>
      </w:r>
      <w:r>
        <w:rPr>
          <w:rFonts w:ascii="Arial" w:hAnsi="Arial" w:cs="Arial"/>
          <w:color w:val="153D63"/>
          <w:sz w:val="20"/>
          <w:szCs w:val="20"/>
        </w:rPr>
        <w:t xml:space="preserve"> The PRC H1 report shows operating cash of RMB2.38bn against RMB5.48bn investing outflow. On 8 October the company described the proposed 65% US-content threshold as an unofficial rumour, not an effective rule. More US-sourced components may help module access if rules change, but could dilute the benefit of in-house chips.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FY2027 looks cheaper because the profit forecast doubles.</w:t>
      </w:r>
      <w:r>
        <w:rPr>
          <w:rFonts w:ascii="Arial" w:hAnsi="Arial" w:cs="Arial"/>
          <w:color w:val="153D63"/>
          <w:sz w:val="20"/>
          <w:szCs w:val="20"/>
        </w:rPr>
        <w:t xml:space="preserve"> The A line is 35.4x FY2026E and 16.8x FY2027E on Shanghai Securities’ RMB7.23bn/RMB15.21bn forecasts. The 2027 estimate assumes 110% profit growth. Value PCB and optical earnings separately, then account for debt, expansion cash needs and H issuance; the low next-year P/E is an execution hurdle, not a free rerating.</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Dongshan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Dongshan A — issuer reference</w:t>
              <w:br/>
              <w:t xml:space="preserve">002384</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139.75</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71.4x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35.4x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16.8x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Kinwong A — PCB manufacturer; closest PCB business reference</w:t>
              <w:br/>
              <w:t xml:space="preserve">603228</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98.51</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89.5x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48.0x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28.6x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Shennan Circuits — advanced PCB and substrates; related mix</w:t>
              <w:br/>
              <w:t xml:space="preserve">002916</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337.24</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55.1x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38.8x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25.0x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InnoLight — optical-transceiver segment reference</w:t>
              <w:br/>
              <w:t xml:space="preserve">300308</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735.00</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42.3x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25.9x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13.9x</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There is no clean listed whole-group peer. Kinwong and Shennan anchor PCB earnings; InnoLight anchors the optical segment. The community’s AI-hardware enthusiasm is useful for gauging the theme, but it does not establish the group’s earnings mix. Avoid an unweighted average of these multiples.</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36">
        <w:r>
          <w:rPr>
            <w:rFonts w:ascii="Arial" w:hAnsi="Arial" w:cs="Arial"/>
            <w:color w:val="153D63"/>
            <w:sz w:val="20"/>
            <w:szCs w:val="20"/>
            <w:u w:val="single"/>
          </w:rPr>
          <w:t xml:space="preserve">HKEX PHIP</w:t>
        </w:r>
      </w:hyperlink>
      <w:r>
        <w:rPr>
          <w:rFonts w:ascii="Arial" w:hAnsi="Arial" w:cs="Arial"/>
          <w:color w:val="153D63"/>
          <w:sz w:val="20"/>
          <w:szCs w:val="20"/>
        </w:rPr>
        <w:t xml:space="preserve">; </w:t>
      </w:r>
      <w:hyperlink r:id="rId37">
        <w:r>
          <w:rPr>
            <w:rFonts w:ascii="Arial" w:hAnsi="Arial" w:cs="Arial"/>
            <w:color w:val="153D63"/>
            <w:sz w:val="20"/>
            <w:szCs w:val="20"/>
            <w:u w:val="single"/>
          </w:rPr>
          <w:t xml:space="preserve">PRC H1 report</w:t>
        </w:r>
      </w:hyperlink>
      <w:r>
        <w:rPr>
          <w:rFonts w:ascii="Arial" w:hAnsi="Arial" w:cs="Arial"/>
          <w:color w:val="153D63"/>
          <w:sz w:val="20"/>
          <w:szCs w:val="20"/>
        </w:rPr>
        <w:t xml:space="preserve">; </w:t>
      </w:r>
      <w:hyperlink r:id="rId38">
        <w:r>
          <w:rPr>
            <w:rFonts w:ascii="Arial" w:hAnsi="Arial" w:cs="Arial"/>
            <w:color w:val="153D63"/>
            <w:sz w:val="20"/>
            <w:szCs w:val="20"/>
            <w:u w:val="single"/>
          </w:rPr>
          <w:t xml:space="preserve">Xueqiu Seven 9 Oct</w:t>
        </w:r>
      </w:hyperlink>
      <w:r>
        <w:rPr>
          <w:rFonts w:ascii="Arial" w:hAnsi="Arial" w:cs="Arial"/>
          <w:color w:val="153D63"/>
          <w:sz w:val="20"/>
          <w:szCs w:val="20"/>
        </w:rPr>
        <w:t xml:space="preserve">; </w:t>
      </w:r>
      <w:hyperlink r:id="rId39">
        <w:r>
          <w:rPr>
            <w:rFonts w:ascii="Arial" w:hAnsi="Arial" w:cs="Arial"/>
            <w:color w:val="153D63"/>
            <w:sz w:val="20"/>
            <w:szCs w:val="20"/>
            <w:u w:val="single"/>
          </w:rPr>
          <w:t xml:space="preserve">Moomoo community AI hardware post</w:t>
        </w:r>
      </w:hyperlink>
      <w:r>
        <w:rPr>
          <w:rFonts w:ascii="Arial" w:hAnsi="Arial" w:cs="Arial"/>
          <w:color w:val="153D63"/>
          <w:sz w:val="20"/>
          <w:szCs w:val="20"/>
        </w:rPr>
        <w:t xml:space="preserve">; </w:t>
      </w:r>
      <w:hyperlink r:id="rId40">
        <w:r>
          <w:rPr>
            <w:rFonts w:ascii="Arial" w:hAnsi="Arial" w:cs="Arial"/>
            <w:color w:val="153D63"/>
            <w:sz w:val="20"/>
            <w:szCs w:val="20"/>
            <w:u w:val="single"/>
          </w:rPr>
          <w:t xml:space="preserve">Issuer IR record 8 Oct</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41">
        <w:r>
          <w:rPr>
            <w:rFonts w:ascii="Arial" w:hAnsi="Arial" w:cs="Arial"/>
            <w:color w:val="153D63"/>
            <w:sz w:val="20"/>
            <w:szCs w:val="20"/>
            <w:u w:val="single"/>
          </w:rPr>
          <w:t xml:space="preserve">002384 Shanghai Securities 28 Aug</w:t>
        </w:r>
      </w:hyperlink>
      <w:r>
        <w:rPr>
          <w:rFonts w:ascii="Arial" w:hAnsi="Arial" w:cs="Arial"/>
          <w:color w:val="153D63"/>
          <w:sz w:val="20"/>
          <w:szCs w:val="20"/>
        </w:rPr>
        <w:t xml:space="preserve">; </w:t>
      </w:r>
      <w:hyperlink r:id="rId42">
        <w:r>
          <w:rPr>
            <w:rFonts w:ascii="Arial" w:hAnsi="Arial" w:cs="Arial"/>
            <w:color w:val="153D63"/>
            <w:sz w:val="20"/>
            <w:szCs w:val="20"/>
            <w:u w:val="single"/>
          </w:rPr>
          <w:t xml:space="preserve">603228 Guosen 18 Sep</w:t>
        </w:r>
      </w:hyperlink>
      <w:r>
        <w:rPr>
          <w:rFonts w:ascii="Arial" w:hAnsi="Arial" w:cs="Arial"/>
          <w:color w:val="153D63"/>
          <w:sz w:val="20"/>
          <w:szCs w:val="20"/>
        </w:rPr>
        <w:t xml:space="preserve">; </w:t>
      </w:r>
      <w:hyperlink r:id="rId43">
        <w:r>
          <w:rPr>
            <w:rFonts w:ascii="Arial" w:hAnsi="Arial" w:cs="Arial"/>
            <w:color w:val="153D63"/>
            <w:sz w:val="20"/>
            <w:szCs w:val="20"/>
            <w:u w:val="single"/>
          </w:rPr>
          <w:t xml:space="preserve">002916 Pacific Securities 17 Sep</w:t>
        </w:r>
      </w:hyperlink>
      <w:r>
        <w:rPr>
          <w:rFonts w:ascii="Arial" w:hAnsi="Arial" w:cs="Arial"/>
          <w:color w:val="153D63"/>
          <w:sz w:val="20"/>
          <w:szCs w:val="20"/>
        </w:rPr>
        <w:t xml:space="preserve">; </w:t>
      </w:r>
      <w:hyperlink r:id="rId44">
        <w:r>
          <w:rPr>
            <w:rFonts w:ascii="Arial" w:hAnsi="Arial" w:cs="Arial"/>
            <w:color w:val="153D63"/>
            <w:sz w:val="20"/>
            <w:szCs w:val="20"/>
            <w:u w:val="single"/>
          </w:rPr>
          <w:t xml:space="preserve">300308 Capital Securities 23 Sep</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Yuen Kee Food</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Franchise fresh dumpling and wonton supply chain | Application Proof 30 July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a scalable food supplier with a strong current recovery.</w:t>
      </w:r>
      <w:r>
        <w:rPr>
          <w:rFonts w:ascii="Arial" w:hAnsi="Arial" w:cs="Arial"/>
          <w:color w:val="153D63"/>
          <w:sz w:val="20"/>
          <w:szCs w:val="20"/>
        </w:rPr>
        <w:t xml:space="preserve"> There were 4,773 stores in May, including 4,750 franchise stores. Around 95% of group revenue comes from product sales, principally food sold to franchisees. Five-month revenue rose 39.8% to RMB1.31bn; owner profit rose 171.5% to RMB154.8m. More stores and higher factory utilisation can spread central supply-chain costs.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delivery and packaged food extend the addressable market.</w:t>
      </w:r>
      <w:r>
        <w:rPr>
          <w:rFonts w:ascii="Arial" w:hAnsi="Arial" w:cs="Arial"/>
          <w:color w:val="153D63"/>
          <w:sz w:val="20"/>
          <w:szCs w:val="20"/>
        </w:rPr>
        <w:t xml:space="preserve"> Network GMV rose 27.3%; average daily GMV per store rose 12.1% to RMB4,627. Packaged-food revenue grew 172.5% to RMB69m, but was only 5.3% of group sales. It is a useful new channel, not yet a replacement for franchise growth.</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part of the margin rebound is cheap pork.</w:t>
      </w:r>
      <w:r>
        <w:rPr>
          <w:rFonts w:ascii="Arial" w:hAnsi="Arial" w:cs="Arial"/>
          <w:color w:val="153D63"/>
          <w:sz w:val="20"/>
          <w:szCs w:val="20"/>
        </w:rPr>
        <w:t xml:space="preserve"> Gross margin rose from 23.2% to 28.4% in the five-month period. Raw materials were 83% of cost of sales. The filing’s sensitivity test shows a 10% input-price increase would reduce that period’s pre-tax profit by RMB56.4m, all else equal. Recent margin strength should be stress-tested rather than extrapolated.</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franchisee economics determine whether growth lasts.</w:t>
      </w:r>
      <w:r>
        <w:rPr>
          <w:rFonts w:ascii="Arial" w:hAnsi="Arial" w:cs="Arial"/>
          <w:color w:val="153D63"/>
          <w:sz w:val="20"/>
          <w:szCs w:val="20"/>
        </w:rPr>
        <w:t xml:space="preserve"> Average order value fell to RMB22.7 from RMB23.8. Daily GMV per store is a network average, not disclosed same-store growth. Head-office sales grew faster than network GMV; track sell-through, store closures and franchisee profit as delivery subsidies normalise. With 99.5% of stores franchised, food safety also depends on consistent local execution.</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use Babi as the closest anchor and price earnings conservatively.</w:t>
      </w:r>
      <w:r>
        <w:rPr>
          <w:rFonts w:ascii="Arial" w:hAnsi="Arial" w:cs="Arial"/>
          <w:color w:val="153D63"/>
          <w:sz w:val="20"/>
          <w:szCs w:val="20"/>
        </w:rPr>
        <w:t xml:space="preserve"> Latest disclosed owner LTM profit is RMB296.1m to May 2026; each RMB1bn of offer equity value is 3.4x LTM P/E. Babi is 15.5x FY2026E. A premium needs durable store productivity and a defensible margin, not just fast franchise additions. Pre-IPO investors are not verified cornerstones.</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Yuen Kee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Babi Food — closest factory-to-franchise food model</w:t>
              <w:br/>
              <w:t xml:space="preserve">605338</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18.99</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16.5x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15.5x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13.0x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Anjoy A — frozen-food manufacturing and distribution reference</w:t>
              <w:br/>
              <w:t xml:space="preserve">603345</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80.69</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17.9x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15.7x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13.7x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Qianwei Central Kitchen — B2B frozen-food supplier</w:t>
              <w:br/>
              <w:t xml:space="preserve">001215</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31.98</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52.0x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45.2x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37.8x</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Babi is the closest business-model peer. Anjoy and Qianwei compare food manufacturing and channels; company-owned restaurant chains are weaker matches. No official PHIP was found as of 13 October despite media hearing claims. No public issuer full-year forecast verified; five-month earnings are not presented as forward earnings.</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45">
        <w:r>
          <w:rPr>
            <w:rFonts w:ascii="Arial" w:hAnsi="Arial" w:cs="Arial"/>
            <w:color w:val="153D63"/>
            <w:sz w:val="20"/>
            <w:szCs w:val="20"/>
            <w:u w:val="single"/>
          </w:rPr>
          <w:t xml:space="preserve">HKEX Application Proof</w:t>
        </w:r>
      </w:hyperlink>
      <w:r>
        <w:rPr>
          <w:rFonts w:ascii="Arial" w:hAnsi="Arial" w:cs="Arial"/>
          <w:color w:val="153D63"/>
          <w:sz w:val="20"/>
          <w:szCs w:val="20"/>
        </w:rPr>
        <w:t xml:space="preserve">; </w:t>
      </w:r>
      <w:hyperlink r:id="rId46">
        <w:r>
          <w:rPr>
            <w:rFonts w:ascii="Arial" w:hAnsi="Arial" w:cs="Arial"/>
            <w:color w:val="153D63"/>
            <w:sz w:val="20"/>
            <w:szCs w:val="20"/>
            <w:u w:val="single"/>
          </w:rPr>
          <w:t xml:space="preserve">Xueqiu company analysis 9 Oct</w:t>
        </w:r>
      </w:hyperlink>
      <w:r>
        <w:rPr>
          <w:rFonts w:ascii="Arial" w:hAnsi="Arial" w:cs="Arial"/>
          <w:color w:val="153D63"/>
          <w:sz w:val="20"/>
          <w:szCs w:val="20"/>
        </w:rPr>
        <w:t xml:space="preserve">; </w:t>
      </w:r>
      <w:hyperlink r:id="rId47">
        <w:r>
          <w:rPr>
            <w:rFonts w:ascii="Arial" w:hAnsi="Arial" w:cs="Arial"/>
            <w:color w:val="153D63"/>
            <w:sz w:val="20"/>
            <w:szCs w:val="20"/>
            <w:u w:val="single"/>
          </w:rPr>
          <w:t xml:space="preserve">Futu WallstreetCN 31 Jul</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48">
        <w:r>
          <w:rPr>
            <w:rFonts w:ascii="Arial" w:hAnsi="Arial" w:cs="Arial"/>
            <w:color w:val="153D63"/>
            <w:sz w:val="20"/>
            <w:szCs w:val="20"/>
            <w:u w:val="single"/>
          </w:rPr>
          <w:t xml:space="preserve">605338 Shanxi Securities 09 Oct</w:t>
        </w:r>
      </w:hyperlink>
      <w:r>
        <w:rPr>
          <w:rFonts w:ascii="Arial" w:hAnsi="Arial" w:cs="Arial"/>
          <w:color w:val="153D63"/>
          <w:sz w:val="20"/>
          <w:szCs w:val="20"/>
        </w:rPr>
        <w:t xml:space="preserve">; </w:t>
      </w:r>
      <w:hyperlink r:id="rId49">
        <w:r>
          <w:rPr>
            <w:rFonts w:ascii="Arial" w:hAnsi="Arial" w:cs="Arial"/>
            <w:color w:val="153D63"/>
            <w:sz w:val="20"/>
            <w:szCs w:val="20"/>
            <w:u w:val="single"/>
          </w:rPr>
          <w:t xml:space="preserve">603345 Pacific Securities 07 Sep</w:t>
        </w:r>
      </w:hyperlink>
      <w:r>
        <w:rPr>
          <w:rFonts w:ascii="Arial" w:hAnsi="Arial" w:cs="Arial"/>
          <w:color w:val="153D63"/>
          <w:sz w:val="20"/>
          <w:szCs w:val="20"/>
        </w:rPr>
        <w:t xml:space="preserve">; </w:t>
      </w:r>
      <w:hyperlink r:id="rId50">
        <w:r>
          <w:rPr>
            <w:rFonts w:ascii="Arial" w:hAnsi="Arial" w:cs="Arial"/>
            <w:color w:val="153D63"/>
            <w:sz w:val="20"/>
            <w:szCs w:val="20"/>
            <w:u w:val="single"/>
          </w:rPr>
          <w:t xml:space="preserve">001215 Southwest Securities 30 Aug</w:t>
        </w:r>
      </w:hyperlink>
    </w:p>
    <w:p w14:paraId="52FB51E6" w14:textId="77777777" w:rsidR="001779E3" w:rsidRDefault="001779E3" w:rsidP="001779E3">
      <w:pPr>
        <w:rPr>
          <w:rFonts w:ascii="Arial" w:hAnsi="Arial" w:cs="Arial"/>
          <w:color w:val="FF0000"/>
          <w:sz w:val="20"/>
          <w:szCs w:val="20"/>
        </w:rPr>
        <w:spacing w:after="100" w:before="0" w:line="240" w:lineRule="auto"/>
        <w:keepLines/>
        <w:pageBreakBefore/>
        <w:keepNext/>
      </w:pPr>
      <w:r>
        <w:rPr>
          <w:rFonts w:ascii="Arial" w:hAnsi="Arial" w:cs="Arial"/>
          <w:b/>
          <w:bCs/>
          <w:color w:val="FF0000"/>
          <w:sz w:val="20"/>
          <w:szCs w:val="20"/>
        </w:rPr>
        <w:t>Slender West Lake Cultural Tourism</w:t>
      </w:r>
    </w:p>
    <w:p w14:paraId="1AF2FA83" w14:textId="77777777" w:rsidR="001779E3" w:rsidRDefault="001779E3" w:rsidP="001779E3">
      <w:pPr>
        <w:rPr>
          <w:rFonts w:ascii="Arial" w:eastAsiaTheme="minorEastAsia" w:hAnsi="Arial" w:cs="Arial"/>
          <w:color w:val="153D63"/>
          <w:sz w:val="20"/>
          <w:szCs w:val="20"/>
        </w:rPr>
        <w:spacing w:after="120" w:before="0" w:line="240" w:lineRule="auto"/>
        <w:keepLines/>
      </w:pPr>
      <w:r>
        <w:rPr>
          <w:rFonts w:ascii="Arial" w:hAnsi="Arial" w:cs="Arial"/>
          <w:color w:val="153D63"/>
          <w:sz w:val="20"/>
          <w:szCs w:val="20"/>
        </w:rPr>
        <w:t xml:space="preserve">Yangzhou boat and sightseeing transport concessions | PHIP 7 October 2026</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Good — high-margin operations with upfront ticket cash.</w:t>
      </w:r>
      <w:r>
        <w:rPr>
          <w:rFonts w:ascii="Arial" w:hAnsi="Arial" w:cs="Arial"/>
          <w:color w:val="153D63"/>
          <w:sz w:val="20"/>
          <w:szCs w:val="20"/>
        </w:rPr>
        <w:t xml:space="preserve"> H1 revenue was RMB83.2m, gross margin 63.9% and operating cash RMB49.0m. Boats contributed 86% of revenue and sightseeing buses 10.7%. Exclusive operating access and modest direct operating costs support attractive cash generation.</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Potential — improve visitor yield before assuming national expansion.</w:t>
      </w:r>
      <w:r>
        <w:rPr>
          <w:rFonts w:ascii="Arial" w:hAnsi="Arial" w:cs="Arial"/>
          <w:color w:val="153D63"/>
          <w:sz w:val="20"/>
          <w:szCs w:val="20"/>
        </w:rPr>
        <w:t xml:space="preserve"> Night shows, charter boats and new routes can raise spending per visitor. The Grand Canal night show generated RMB29.5m in FY2025, versus RMB3.4m in FY2024. Management services offer an asset-light route outside the core sites, but contributed only 3.1% of H1 revenue.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Bad — the growth engine has already slowed.</w:t>
      </w:r>
      <w:r>
        <w:rPr>
          <w:rFonts w:ascii="Arial" w:hAnsi="Arial" w:cs="Arial"/>
          <w:color w:val="153D63"/>
          <w:sz w:val="20"/>
          <w:szCs w:val="20"/>
        </w:rPr>
        <w:t xml:space="preserve"> H1 revenue fell 1.6%; owner profit fell 1.6% to RMB34.7m, while group profit fell 5.3%. Night-show revenue fell about 3%. FY2025 revenue was RMB141.2m, not the RMB151m repeated in some commentary. H1 supplied over 70% of the previous year’s owner profit: annualising it would overstate a seasonal earnings base.</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Risk — concession duration and local concentration cap the multiple.</w:t>
      </w:r>
      <w:r>
        <w:rPr>
          <w:rFonts w:ascii="Arial" w:hAnsi="Arial" w:cs="Arial"/>
          <w:color w:val="153D63"/>
          <w:sz w:val="20"/>
          <w:szCs w:val="20"/>
        </w:rPr>
        <w:t xml:space="preserve"> The core scenic-area boat right expires on 9 September 2035; renewal preference is subject to tender conditions. The Ancient Canal approval has no specified expiry, while the bus right runs to 31 July 2042. These are different rights. Yangzhou concentration leaves earnings exposed to weather, tourism demand and boat-safety interruptions.</w:t>
      </w:r>
    </w:p>
    <w:p w14:paraId="255D58BE" w14:textId="77777777" w:rsidR="001779E3" w:rsidRDefault="001779E3" w:rsidP="001779E3">
      <w:pPr>
        <w:pStyle w:val="ListParagraph"/>
        <w:numPr>
          <w:ilvl w:val="0"/>
          <w:numId w:val="10"/>
        </w:numPr>
        <w:rPr>
          <w:rFonts w:ascii="Arial" w:eastAsia="Times New Roman" w:hAnsi="Arial" w:cs="Arial"/>
          <w:color w:val="153D63"/>
          <w:sz w:val="20"/>
          <w:szCs w:val="20"/>
        </w:rPr>
        <w:spacing w:after="95" w:before="0" w:line="240" w:lineRule="auto"/>
        <w:keepLines/>
      </w:pPr>
      <w:r>
        <w:rPr>
          <w:rFonts w:ascii="Arial" w:hAnsi="Arial" w:cs="Arial"/>
          <w:color w:val="153D63"/>
          <w:sz w:val="20"/>
          <w:szCs w:val="20"/>
          <w:b/>
          <w:bCs/>
        </w:rPr>
        <w:t xml:space="preserve">Trade — price a cash concession, not an unlimited growth platform.</w:t>
      </w:r>
      <w:r>
        <w:rPr>
          <w:rFonts w:ascii="Arial" w:hAnsi="Arial" w:cs="Arial"/>
          <w:color w:val="153D63"/>
          <w:sz w:val="20"/>
          <w:szCs w:val="20"/>
        </w:rPr>
        <w:t xml:space="preserve"> Latest disclosed owner LTM profit is RMB47.7m to June 2026; each RMB1bn of offer equity value is 21.0x LTM P/E. Lijiang and Jiuhua trade at roughly 15–20x forward earnings. Changbai’s 85.5x FY2026 multiple is a thematic outlier. Require a valuation that pays for the remaining core concession life and realistic renewal assumptions.</w:t>
      </w:r>
    </w:p>
    <w:p w14:paraId="1AF2FA83" w14:textId="77777777" w:rsidR="001779E3" w:rsidRDefault="001779E3" w:rsidP="001779E3">
      <w:pPr>
        <w:rPr>
          <w:rFonts w:ascii="Arial" w:eastAsiaTheme="minorEastAsia" w:hAnsi="Arial" w:cs="Arial"/>
          <w:color w:val="153D63"/>
          <w:sz w:val="20"/>
          <w:szCs w:val="20"/>
        </w:rPr>
        <w:spacing w:after="75" w:before="80" w:line="240" w:lineRule="auto"/>
        <w:keepLines/>
        <w:keepNext/>
      </w:pPr>
      <w:r>
        <w:rPr>
          <w:rFonts w:ascii="Arial" w:hAnsi="Arial" w:cs="Arial"/>
          <w:color w:val="153D63"/>
          <w:sz w:val="20"/>
          <w:szCs w:val="20"/>
        </w:rPr>
        <w:t xml:space="preserve">A-share valuation comparisons</w:t>
      </w:r>
    </w:p>
    <w:tbl>
      <w:tblPr>
        <w:tblW w:w="9972" w:type="dxa"/>
        <w:tblCellMar>
          <w:left w:w="60" w:type="dxa"/>
          <w:right w:w="60" w:type="dxa"/>
          <w:top w:w="65" w:type="dxa"/>
          <w:bottom w:w="65" w:type="dxa"/>
        </w:tblCellMar>
        <w:tblLook w:val="04A0" w:firstRow="1" w:lastRow="0" w:firstColumn="1" w:lastColumn="0" w:noHBand="0" w:noVBand="1"/>
        <w:tblLayout w:type="fixed"/>
        <w:tblInd w:w="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950"/>
        <w:gridCol w:w="1350"/>
        <w:gridCol w:w="1224"/>
        <w:gridCol w:w="1224"/>
        <w:gridCol w:w="1224"/>
      </w:tblGrid>
      <w:tr>
        <w:trPr>
          <w:cantSplit/>
          <w:tblHeader/>
        </w:trPr>
        <w:tc>
          <w:tcPr>
            <w:tcW w:w="4950" w:type="dxa"/>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Company and peer relevance</w:t>
            </w:r>
          </w:p>
        </w:tc>
        <w:tc>
          <w:tcPr>
            <w:tcW w:w="1350"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CNY close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TTM 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FY2026E</w:t>
              <w:br/>
              <w:t xml:space="preserve">P/E</w:t>
            </w:r>
          </w:p>
        </w:tc>
        <w:tc>
          <w:tcPr>
            <w:tcW w:w="1224" w:type="dxa"/>
            <w:hideMark/>
            <w:vAlign w:val="center"/>
            <w:shd w:val="clear" w:color="auto" w:fill="F2F2F2"/>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b/>
                <w:bCs/>
              </w:rPr>
              <w:t xml:space="preserve">FY2027E</w:t>
              <w:br/>
              <w:t xml:space="preserve">P/E</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FF0000"/>
                <w:sz w:val="20"/>
                <w:szCs w:val="20"/>
                <w:b/>
                <w:bCs/>
              </w:rPr>
              <w:t xml:space="preserve">Slender West Lake H — offer pending</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TBA</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n/c</w:t>
            </w:r>
          </w:p>
        </w:tc>
      </w:tr>
      <w:tr w:rsidR="001779E3" w14:paraId="754A386F" w14:textId="77777777">
        <w:trPr>
          <w:cantSplit/>
        </w:trPr>
        <w:tc>
          <w:tcPr>
            <w:tcW w:w="9972" w:type="dxa"/>
            <w:tcBorders>
              <w:top w:val="nil"/>
              <w:left w:val="single" w:sz="8" w:space="0" w:color="999999"/>
              <w:bottom w:val="single" w:sz="8" w:space="0" w:color="999999"/>
              <w:right w:val="single" w:sz="8" w:space="0" w:color="999999"/>
            </w:tcBorders>
            <w:tcMar>
              <w:top w:w="0" w:type="dxa"/>
              <w:left w:w="108" w:type="dxa"/>
              <w:bottom w:w="0" w:type="dxa"/>
              <w:right w:w="108" w:type="dxa"/>
            </w:tcMar>
            <w:hideMark/>
            <w:gridSpan w:val="5"/>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pPr>
            <w:r>
              <w:rPr>
                <w:rFonts w:ascii="Arial" w:hAnsi="Arial" w:cs="Arial"/>
                <w:color w:val="153D63"/>
                <w:sz w:val="20"/>
                <w:szCs w:val="20"/>
              </w:rPr>
              <w:t xml:space="preserve">A-share peers</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Changbai Mountain — scenic transport; closest operating activity</w:t>
              <w:br/>
              <w:t xml:space="preserve">603099</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45.85</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94.1x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85.5x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71.9x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Lijiang — scenic cableways and visitor-yield reference</w:t>
              <w:br/>
              <w:t xml:space="preserve">002033</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8.31</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18.1x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20.0x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18.9x</w:t>
            </w:r>
          </w:p>
        </w:tc>
      </w:tr>
      <w:tr>
        <w:trPr>
          <w:cantSplit/>
        </w:trPr>
        <w:tc>
          <w:tcPr>
            <w:tcW w:w="49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left"/>
            </w:pPr>
            <w:r>
              <w:rPr>
                <w:rFonts w:ascii="Arial" w:hAnsi="Arial" w:cs="Arial"/>
                <w:color w:val="153D63"/>
                <w:sz w:val="20"/>
                <w:szCs w:val="20"/>
                <w:b/>
                <w:bCs/>
              </w:rPr>
              <w:t xml:space="preserve">Jiuhua Tourism — scenic transport, cableways and hotels</w:t>
              <w:br/>
              <w:t xml:space="preserve">603199</w:t>
            </w:r>
          </w:p>
        </w:tc>
        <w:tc>
          <w:tcPr>
            <w:tcW w:w="1350"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31.86</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15.8x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14.8x</w:t>
            </w:r>
          </w:p>
        </w:tc>
        <w:tc>
          <w:tcPr>
            <w:tcW w:w="1224" w:type="dxa"/>
            <w:hideMark/>
            <w:vAlign w:val="center"/>
          </w:tcPr>
          <w:p w14:paraId="1AF2FA83" w14:textId="77777777" w:rsidR="001779E3" w:rsidRDefault="001779E3" w:rsidP="001779E3">
            <w:pPr>
              <w:rPr>
                <w:rFonts w:ascii="Arial" w:eastAsiaTheme="minorEastAsia" w:hAnsi="Arial" w:cs="Arial"/>
                <w:color w:val="153D63"/>
                <w:sz w:val="20"/>
                <w:szCs w:val="20"/>
              </w:rPr>
              <w:spacing w:after="0" w:before="0" w:line="240" w:lineRule="auto"/>
              <w:keepLines/>
              <w:jc w:val="center"/>
            </w:pPr>
            <w:r>
              <w:rPr>
                <w:rFonts w:ascii="Arial" w:hAnsi="Arial" w:cs="Arial"/>
                <w:color w:val="153D63"/>
                <w:sz w:val="20"/>
                <w:szCs w:val="20"/>
              </w:rPr>
              <w:t xml:space="preserve">12.4x</w:t>
            </w:r>
          </w:p>
        </w:tc>
      </w:tr>
    </w:tbl>
    <w:p w14:paraId="1AF2FA83" w14:textId="77777777" w:rsidR="001779E3" w:rsidRDefault="001779E3" w:rsidP="001779E3">
      <w:pPr>
        <w:rPr>
          <w:rFonts w:ascii="Arial" w:eastAsiaTheme="minorEastAsia" w:hAnsi="Arial" w:cs="Arial"/>
          <w:color w:val="153D63"/>
          <w:sz w:val="20"/>
          <w:szCs w:val="20"/>
        </w:rPr>
        <w:spacing w:after="85" w:before="100" w:line="240" w:lineRule="auto"/>
        <w:keepLines/>
      </w:pPr>
      <w:r>
        <w:rPr>
          <w:rFonts w:ascii="Arial" w:hAnsi="Arial" w:cs="Arial"/>
          <w:color w:val="153D63"/>
          <w:sz w:val="20"/>
          <w:szCs w:val="20"/>
        </w:rPr>
        <w:t xml:space="preserve">These are scenic-service cash-flow peers, with different concession terms, hotel exposure and seasonality. Changbai is operationally relevant but a poor central valuation anchor. Owner profit excludes the non-controlling interest in the night-show subsidiary; the LTM P/E denominator is RMB47.7m, not group profit of RMB49.9m.</w:t>
      </w:r>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Sources: </w:t>
      </w:r>
      <w:hyperlink r:id="rId51">
        <w:r>
          <w:rPr>
            <w:rFonts w:ascii="Arial" w:hAnsi="Arial" w:cs="Arial"/>
            <w:color w:val="153D63"/>
            <w:sz w:val="20"/>
            <w:szCs w:val="20"/>
            <w:u w:val="single"/>
          </w:rPr>
          <w:t xml:space="preserve">HKEX PHIP</w:t>
        </w:r>
      </w:hyperlink>
      <w:r>
        <w:rPr>
          <w:rFonts w:ascii="Arial" w:hAnsi="Arial" w:cs="Arial"/>
          <w:color w:val="153D63"/>
          <w:sz w:val="20"/>
          <w:szCs w:val="20"/>
        </w:rPr>
        <w:t xml:space="preserve">; </w:t>
      </w:r>
      <w:hyperlink r:id="rId52">
        <w:r>
          <w:rPr>
            <w:rFonts w:ascii="Arial" w:hAnsi="Arial" w:cs="Arial"/>
            <w:color w:val="153D63"/>
            <w:sz w:val="20"/>
            <w:szCs w:val="20"/>
            <w:u w:val="single"/>
          </w:rPr>
          <w:t xml:space="preserve">Xueqiu Shenzhen Business Daily 31 Mar</w:t>
        </w:r>
      </w:hyperlink>
    </w:p>
    <w:p w14:paraId="1AF2FA83" w14:textId="77777777" w:rsidR="001779E3" w:rsidRDefault="001779E3" w:rsidP="001779E3">
      <w:pPr>
        <w:rPr>
          <w:rFonts w:ascii="Arial" w:eastAsiaTheme="minorEastAsia" w:hAnsi="Arial" w:cs="Arial"/>
          <w:color w:val="153D63"/>
          <w:sz w:val="20"/>
          <w:szCs w:val="20"/>
        </w:rPr>
        <w:spacing w:after="50" w:before="0" w:line="240" w:lineRule="auto"/>
        <w:keepLines/>
      </w:pPr>
      <w:r>
        <w:rPr>
          <w:rFonts w:ascii="Arial" w:hAnsi="Arial" w:cs="Arial"/>
          <w:color w:val="153D63"/>
          <w:sz w:val="20"/>
          <w:szCs w:val="20"/>
          <w:b/>
          <w:bCs/>
        </w:rPr>
        <w:t xml:space="preserve">Forward estimates: </w:t>
      </w:r>
      <w:hyperlink r:id="rId53">
        <w:r>
          <w:rPr>
            <w:rFonts w:ascii="Arial" w:hAnsi="Arial" w:cs="Arial"/>
            <w:color w:val="153D63"/>
            <w:sz w:val="20"/>
            <w:szCs w:val="20"/>
            <w:u w:val="single"/>
          </w:rPr>
          <w:t xml:space="preserve">603099 Soochow 26 Aug</w:t>
        </w:r>
      </w:hyperlink>
      <w:r>
        <w:rPr>
          <w:rFonts w:ascii="Arial" w:hAnsi="Arial" w:cs="Arial"/>
          <w:color w:val="153D63"/>
          <w:sz w:val="20"/>
          <w:szCs w:val="20"/>
        </w:rPr>
        <w:t xml:space="preserve">; </w:t>
      </w:r>
      <w:hyperlink r:id="rId54">
        <w:r>
          <w:rPr>
            <w:rFonts w:ascii="Arial" w:hAnsi="Arial" w:cs="Arial"/>
            <w:color w:val="153D63"/>
            <w:sz w:val="20"/>
            <w:szCs w:val="20"/>
            <w:u w:val="single"/>
          </w:rPr>
          <w:t xml:space="preserve">002033 BOCI Securities 24 Aug</w:t>
        </w:r>
      </w:hyperlink>
      <w:r>
        <w:rPr>
          <w:rFonts w:ascii="Arial" w:hAnsi="Arial" w:cs="Arial"/>
          <w:color w:val="153D63"/>
          <w:sz w:val="20"/>
          <w:szCs w:val="20"/>
        </w:rPr>
        <w:t xml:space="preserve">; </w:t>
      </w:r>
      <w:hyperlink r:id="rId55">
        <w:r>
          <w:rPr>
            <w:rFonts w:ascii="Arial" w:hAnsi="Arial" w:cs="Arial"/>
            <w:color w:val="153D63"/>
            <w:sz w:val="20"/>
            <w:szCs w:val="20"/>
            <w:u w:val="single"/>
          </w:rPr>
          <w:t xml:space="preserve">603199 Pacific Securities 20 Aug</w:t>
        </w:r>
      </w:hyperlink>
    </w:p>
    <w:sectPr w:rsidR="001779E3" w:rsidRPr="001779E3"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2CE49E4"/>
    <w:multiLevelType w:val="hybridMultilevel"/>
    <w:tmpl w:val="87B829EE"/>
    <w:lvl w:ilvl="0" w:tplc="6E682264">
      <w:start w:val="2"/>
      <w:numFmt w:val="bullet"/>
      <w:lvlText w:val="-"/>
      <w:lvlJc w:val="left"/>
      <w:pPr>
        <w:ind w:left="720" w:hanging="360"/>
      </w:pPr>
      <w:rPr>
        <w:rFonts w:ascii="Arial" w:eastAsia="DengXi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075659386">
    <w:abstractNumId w:val="8"/>
  </w:num>
  <w:num w:numId="2" w16cid:durableId="248775921">
    <w:abstractNumId w:val="6"/>
  </w:num>
  <w:num w:numId="3" w16cid:durableId="1014383259">
    <w:abstractNumId w:val="5"/>
  </w:num>
  <w:num w:numId="4" w16cid:durableId="223570614">
    <w:abstractNumId w:val="4"/>
  </w:num>
  <w:num w:numId="5" w16cid:durableId="1252543603">
    <w:abstractNumId w:val="7"/>
  </w:num>
  <w:num w:numId="6" w16cid:durableId="1064109539">
    <w:abstractNumId w:val="3"/>
  </w:num>
  <w:num w:numId="7" w16cid:durableId="2063360551">
    <w:abstractNumId w:val="2"/>
  </w:num>
  <w:num w:numId="8" w16cid:durableId="732773102">
    <w:abstractNumId w:val="1"/>
  </w:num>
  <w:num w:numId="9" w16cid:durableId="1621374489">
    <w:abstractNumId w:val="0"/>
  </w:num>
  <w:num w:numId="10" w16cid:durableId="1662268595">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5EC"/>
    <w:rsid w:val="0015074B"/>
    <w:rsid w:val="001779E3"/>
    <w:rsid w:val="0029639D"/>
    <w:rsid w:val="00326F90"/>
    <w:rsid w:val="00AA1D8D"/>
    <w:rsid w:val="00AD06F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8ACF3"/>
  <w14:defaultImageDpi w14:val="300"/>
  <w15:docId w15:val="{19D0C469-DB53-4FEC-B251-DC57C00C4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Microsoft JhengHe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1779E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xueqiu.com/3075122481/410597135" TargetMode="External"/><Relationship Id="rId13" Type="http://schemas.openxmlformats.org/officeDocument/2006/relationships/hyperlink" Target="https://www.xueqiu.com/3075122481/411479979" TargetMode="External"/><Relationship Id="rId3" Type="http://schemas.openxmlformats.org/officeDocument/2006/relationships/styles" Target="styles.xml"/><Relationship Id="rId7" Type="http://schemas.openxmlformats.org/officeDocument/2006/relationships/hyperlink" Target="https://www.xueqiu.com/3075122481/411316419" TargetMode="External"/><Relationship Id="rId12" Type="http://schemas.openxmlformats.org/officeDocument/2006/relationships/hyperlink" Target="https://www.xueqiu.com/4649754500/411783600"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xueqiu.com/5710624967/411734921" TargetMode="External"/><Relationship Id="rId11" Type="http://schemas.openxmlformats.org/officeDocument/2006/relationships/hyperlink" Target="https://www.huxiu.com/article/4881452.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xueqiu.com/8991898356/365806522" TargetMode="External"/><Relationship Id="rId4" Type="http://schemas.openxmlformats.org/officeDocument/2006/relationships/settings" Target="settings.xml"/><Relationship Id="rId9" Type="http://schemas.openxmlformats.org/officeDocument/2006/relationships/hyperlink" Target="https://www.xueqiu.com/3773859662/392911431" TargetMode="External"/><Relationship Id="rId14" Type="http://schemas.openxmlformats.org/officeDocument/2006/relationships/hyperlink" Target="https://www.xueqiu.com/3338215700/357866037" TargetMode="External"/><Relationship Id="rId17" Type="http://schemas.openxmlformats.org/officeDocument/2006/relationships/hyperlink" Target="https://www1.hkexnews.hk/ncms/json/eds/appactive_appphip_sehk_e.json" TargetMode="External"/><Relationship Id="rId18" Type="http://schemas.openxmlformats.org/officeDocument/2006/relationships/hyperlink" Target="https://www1.hkexnews.hk/ncms/json/eds/appactive_app_sehk_e.json" TargetMode="External"/><Relationship Id="rId19" Type="http://schemas.openxmlformats.org/officeDocument/2006/relationships/hyperlink" Target="https://qt.gtimg.cn/q=sz002709,sz300037,sz002384,sh688686,sh688003,sz300124,sh605338,sh603345,sz001215,sh603099,sz002033,sh603199,sz301238,sz002407,sz002916,sh603228,sz300308" TargetMode="External"/><Relationship Id="rId20" Type="http://schemas.openxmlformats.org/officeDocument/2006/relationships/hyperlink" Target="https://www1.hkexnews.hk/app/sehk/2026/108374/documents/sehk26100901432.pdf" TargetMode="External"/><Relationship Id="rId21" Type="http://schemas.openxmlformats.org/officeDocument/2006/relationships/hyperlink" Target="https://www.xueqiu.com/2854806290/411774788" TargetMode="External"/><Relationship Id="rId22" Type="http://schemas.openxmlformats.org/officeDocument/2006/relationships/hyperlink" Target="https://pdf.dfcfw.com/pdf/H3_AP202608311828803718_1.pdf" TargetMode="External"/><Relationship Id="rId23" Type="http://schemas.openxmlformats.org/officeDocument/2006/relationships/hyperlink" Target="https://pdf.dfcfw.com/pdf/H3_AP202609241829841491_1.pdf" TargetMode="External"/><Relationship Id="rId24" Type="http://schemas.openxmlformats.org/officeDocument/2006/relationships/hyperlink" Target="https://pdf.dfcfw.com/pdf/H3_AP202609221829768133_1.pdf" TargetMode="External"/><Relationship Id="rId25" Type="http://schemas.openxmlformats.org/officeDocument/2006/relationships/hyperlink" Target="https://www1.hkexnews.hk/app/sehk/2026/108340/documents/sehk26100500008.pdf" TargetMode="External"/><Relationship Id="rId26" Type="http://schemas.openxmlformats.org/officeDocument/2006/relationships/hyperlink" Target="https://static.cninfo.com.cn/finalpage/2026-08-21/1225486883.PDF" TargetMode="External"/><Relationship Id="rId27" Type="http://schemas.openxmlformats.org/officeDocument/2006/relationships/hyperlink" Target="https://www.xueqiu.com/1136209912/405415499" TargetMode="External"/><Relationship Id="rId28" Type="http://schemas.openxmlformats.org/officeDocument/2006/relationships/hyperlink" Target="https://pdf.dfcfw.com/pdf/H3_AP202608201828222175_1.pdf" TargetMode="External"/><Relationship Id="rId29" Type="http://schemas.openxmlformats.org/officeDocument/2006/relationships/hyperlink" Target="https://pdf.dfcfw.com/pdf/H3_AP202610131830389630_1.pdf" TargetMode="External"/><Relationship Id="rId30" Type="http://schemas.openxmlformats.org/officeDocument/2006/relationships/hyperlink" Target="https://www1.hkexnews.hk/app/sehk/2026/108824/documents/sehk26082802199.pdf" TargetMode="External"/><Relationship Id="rId31" Type="http://schemas.openxmlformats.org/officeDocument/2006/relationships/hyperlink" Target="https://static.cninfo.com.cn/finalpage/2026-08-21/1225487079.PDF" TargetMode="External"/><Relationship Id="rId32" Type="http://schemas.openxmlformats.org/officeDocument/2006/relationships/hyperlink" Target="https://www.xueqiu.com/1136209912/405415499" TargetMode="External"/><Relationship Id="rId33" Type="http://schemas.openxmlformats.org/officeDocument/2006/relationships/hyperlink" Target="https://news.futunn.com/th/post/78090976/capchem-300037-earnings-in-line-with-expectations-electronic-information-chemicals" TargetMode="External"/><Relationship Id="rId34" Type="http://schemas.openxmlformats.org/officeDocument/2006/relationships/hyperlink" Target="https://pdf.dfcfw.com/pdf/H3_AP202610131830389630_1.pdf" TargetMode="External"/><Relationship Id="rId35" Type="http://schemas.openxmlformats.org/officeDocument/2006/relationships/hyperlink" Target="https://pdf.dfcfw.com/pdf/H3_AP202608201828222175_1.pdf" TargetMode="External"/><Relationship Id="rId36" Type="http://schemas.openxmlformats.org/officeDocument/2006/relationships/hyperlink" Target="https://www1.hkexnews.hk/app/sehk/2026/108550/documents/sehk26101100054.pdf" TargetMode="External"/><Relationship Id="rId37" Type="http://schemas.openxmlformats.org/officeDocument/2006/relationships/hyperlink" Target="https://static.cninfo.com.cn/finalpage/2026-08-22/1225491182.PDF" TargetMode="External"/><Relationship Id="rId38" Type="http://schemas.openxmlformats.org/officeDocument/2006/relationships/hyperlink" Target="https://www.xueqiu.com/1704677271/411624200" TargetMode="External"/><Relationship Id="rId39" Type="http://schemas.openxmlformats.org/officeDocument/2006/relationships/hyperlink" Target="https://www.moomoo.com/hans/community/feed/strategically-position-in-leading-stocks-within-niche-segments-while-firmly-116788764803078" TargetMode="External"/><Relationship Id="rId40" Type="http://schemas.openxmlformats.org/officeDocument/2006/relationships/hyperlink" Target="https://stock.cfi.cn/p20261008003057.html" TargetMode="External"/><Relationship Id="rId41" Type="http://schemas.openxmlformats.org/officeDocument/2006/relationships/hyperlink" Target="https://pdf.dfcfw.com/pdf/H3_AP202609021828932204_1.pdf" TargetMode="External"/><Relationship Id="rId42" Type="http://schemas.openxmlformats.org/officeDocument/2006/relationships/hyperlink" Target="https://pdf.dfcfw.com/pdf/H3_AP202609221829741062_1.pdf" TargetMode="External"/><Relationship Id="rId43" Type="http://schemas.openxmlformats.org/officeDocument/2006/relationships/hyperlink" Target="https://pdf.dfcfw.com/pdf/H3_AP202609171829502414_1.pdf" TargetMode="External"/><Relationship Id="rId44" Type="http://schemas.openxmlformats.org/officeDocument/2006/relationships/hyperlink" Target="https://pdf.dfcfw.com/pdf/H3_AP202609231829795170_1.pdf" TargetMode="External"/><Relationship Id="rId45" Type="http://schemas.openxmlformats.org/officeDocument/2006/relationships/hyperlink" Target="https://www1.hkexnews.hk/app/sehk/2026/108775/documents/sehk26073002144.pdf" TargetMode="External"/><Relationship Id="rId46" Type="http://schemas.openxmlformats.org/officeDocument/2006/relationships/hyperlink" Target="https://www.xueqiu.com/1479845370/411702507" TargetMode="External"/><Relationship Id="rId47" Type="http://schemas.openxmlformats.org/officeDocument/2006/relationships/hyperlink" Target="https://news.futunn.com/hk/ja/post/76906027/yuanji-yunjiao-reported-a-nearly-1-8-fold-increase-in" TargetMode="External"/><Relationship Id="rId48" Type="http://schemas.openxmlformats.org/officeDocument/2006/relationships/hyperlink" Target="https://pdf.dfcfw.com/pdf/H3_AP202610091830243553_1.pdf" TargetMode="External"/><Relationship Id="rId49" Type="http://schemas.openxmlformats.org/officeDocument/2006/relationships/hyperlink" Target="https://pdf.dfcfw.com/pdf/H3_AP202609171829518902_1.pdf" TargetMode="External"/><Relationship Id="rId50" Type="http://schemas.openxmlformats.org/officeDocument/2006/relationships/hyperlink" Target="https://pdf.dfcfw.com/pdf/H3_AP202609031828963663_1.pdf" TargetMode="External"/><Relationship Id="rId51" Type="http://schemas.openxmlformats.org/officeDocument/2006/relationships/hyperlink" Target="https://www1.hkexnews.hk/app/sehk/2026/108373/documents/sehk26100700090.pdf" TargetMode="External"/><Relationship Id="rId52" Type="http://schemas.openxmlformats.org/officeDocument/2006/relationships/hyperlink" Target="https://xueqiu.com/6620276709/381993167" TargetMode="External"/><Relationship Id="rId53" Type="http://schemas.openxmlformats.org/officeDocument/2006/relationships/hyperlink" Target="https://pdf.dfcfw.com/pdf/H3_AP202608271828505027_1.pdf" TargetMode="External"/><Relationship Id="rId54" Type="http://schemas.openxmlformats.org/officeDocument/2006/relationships/hyperlink" Target="https://pdf.dfcfw.com/pdf/H3_AP202608241828360069_1.pdf" TargetMode="External"/><Relationship Id="rId55" Type="http://schemas.openxmlformats.org/officeDocument/2006/relationships/hyperlink" Target="https://pdf.dfcfw.com/pdf/H3_AP202608231828341893_1.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9133a70-897c-4909-bbcd-cb29bcf187fc}" enabled="1" method="Standard" siteId="{4f5ffafc-2407-4998-9cda-2524c60b9014}" contentBits="0" removed="0"/>
</clbl:labelList>
</file>

<file path=docProps/app.xml><?xml version="1.0" encoding="utf-8"?>
<Properties xmlns="http://schemas.openxmlformats.org/officeDocument/2006/extended-properties" xmlns:vt="http://schemas.openxmlformats.org/officeDocument/2006/docPropsVTypes">
  <Template>Normal</Template>
  <TotalTime>234</TotalTime>
  <Pages>5</Pages>
  <Words>778</Words>
  <Characters>4440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 Kenny (GM/HK)</cp:lastModifiedBy>
  <cp:revision>2</cp:revision>
  <dcterms:created xsi:type="dcterms:W3CDTF">2026-10-13T09:37:00Z</dcterms:created>
  <dcterms:modified xsi:type="dcterms:W3CDTF">2026-10-13T09:37:00Z</dcterms:modified>
  <cp:category/>
</cp:coreProperties>
</file>