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Ligent, Forms Syntron, Transwarp — HK IPO Note</w:t>
      </w:r>
    </w:p>
    <w:p>
      <w:r>
        <w:rPr>
          <w:i/>
          <w:color w:val="606060"/>
          <w:sz w:val="19"/>
        </w:rPr>
        <w:t>Written 14 Sep 2026  ·  Returns vs offer price unless stated</w:t>
      </w:r>
    </w:p>
    <w:p>
      <w:pPr>
        <w:pStyle w:val="Heading1"/>
      </w:pPr>
      <w:r>
        <w:t>1. Ligent 纳真科技 (9856 HK) — Hisense's optical-module arm, open now</w:t>
      </w:r>
    </w:p>
    <w:p>
      <w:r>
        <w:t xml:space="preserve">The biggest of this week's three: fixed price </w:t>
      </w:r>
      <w:r>
        <w:rPr>
          <w:b/>
        </w:rPr>
        <w:t>HK$32.96</w:t>
      </w:r>
      <w:r>
        <w:t xml:space="preserve"> (no range), raising HK$5.67bn (~US$723m) at a </w:t>
      </w:r>
      <w:r>
        <w:rPr>
          <w:b/>
        </w:rPr>
        <w:t>HK$32.4bn market cap</w:t>
      </w:r>
      <w:r>
        <w:t>. Book runs 14–17 Sep, grey market 21 Sep, lists Mon 22 Sep. CITIC and Citi sponsoring, 15% greenshoe, entry a cheap HK$3,329 a lot. This is Hisense's sixth listed company — the group keeps ~40% after the deal.</w:t>
      </w:r>
    </w:p>
    <w:p>
      <w:pPr>
        <w:pStyle w:val="Heading2"/>
      </w:pPr>
      <w:r>
        <w:t>The deal mechanics</w:t>
      </w:r>
    </w:p>
    <w:p>
      <w:pPr>
        <w:pStyle w:val="ListBullet"/>
      </w:pPr>
      <w:r>
        <w:t xml:space="preserve">Cornerstones total </w:t>
      </w:r>
      <w:r>
        <w:rPr>
          <w:b/>
        </w:rPr>
        <w:t>US$340m ≈ 47% of the deal</w:t>
      </w:r>
      <w:r>
        <w:t xml:space="preserve">, and the roster is breadth over depth. The good names carry real signal — </w:t>
      </w:r>
      <w:r>
        <w:rPr>
          <w:b/>
        </w:rPr>
        <w:t>GigaDevice and Amlogic</w:t>
      </w:r>
      <w:r>
        <w:t xml:space="preserve"> (the ONT chip vendor — ecosystem and customer money), Primavera, PAG, E Fund, GF, Mirae, Barings. But the biggest single ticket is just $30m, there's no sovereign-style anchor, and roughly </w:t>
      </w:r>
      <w:r>
        <w:rPr>
          <w:b/>
        </w:rPr>
        <w:t>$130m of the total sits in anonymous BVI vehicles</w:t>
      </w:r>
      <w:r>
        <w:t>. Add Hisense's 40% and the real float is only ~9% of the company.</w:t>
      </w:r>
    </w:p>
    <w:p>
      <w:pPr>
        <w:pStyle w:val="ListBullet"/>
      </w:pPr>
      <w:r>
        <w:t xml:space="preserve">Retail isn't showing up: day-one margin cover was </w:t>
      </w:r>
      <w:r>
        <w:rPr>
          <w:b/>
        </w:rPr>
        <w:t>barely 1.1x</w:t>
      </w:r>
      <w:r>
        <w:t xml:space="preserve"> — against Medcaptain's 322x final earlier this month. And the tape voted with it: </w:t>
      </w:r>
      <w:r>
        <w:rPr>
          <w:b/>
        </w:rPr>
        <w:t>Innolight H fell 8.6% the day this launched.</w:t>
      </w:r>
      <w:r>
        <w:t xml:space="preserve"> The optics shelf reprices on new supply, exactly the way the robot shelf did when Mech-Mind listed.</w:t>
      </w:r>
    </w:p>
    <w:p>
      <w:pPr>
        <w:pStyle w:val="Heading2"/>
      </w:pPr>
      <w:r>
        <w:t>What it is — and where the moat claim stops</w:t>
      </w:r>
    </w:p>
    <w:p>
      <w:pPr>
        <w:pStyle w:val="ListBullet"/>
      </w:pPr>
      <w:r>
        <w:t>A real, big business: #5 specialist optical-module vendor globally (Frost &amp; Sullivan, 2.9% share), #3 in China, a LightCounting top-10 fixture for years. Datacom transceivers are now ~70% of revenue, 800G is in mass production, 1.6T is sampling. 2025 revenue +64% to RMB 8.36bn, H1 this year +28% with RMB 661m of profit.</w:t>
      </w:r>
    </w:p>
    <w:p>
      <w:pPr>
        <w:pStyle w:val="ListBullet"/>
      </w:pPr>
      <w:r>
        <w:t xml:space="preserve">The pitch is '芯模一体' — it makes its own laser chips, not just modules. Genuinely partly true: it owns a DFB laser platform (including the high-power CW-DFB that feeds silicon photonics) and 1,500+ patents. But read the P&amp;L before paying for the story: </w:t>
      </w:r>
      <w:r>
        <w:rPr>
          <w:b/>
        </w:rPr>
        <w:t>chips are 1.6% of revenue and only stopped losing gross money this half</w:t>
      </w:r>
      <w:r>
        <w:t>, and the high-end 800G laser (EML) is *still in development* — so the expensive part of the BOM is bought in. Group gross margin ~20% against Innolight's 46% tells you which tier this is.</w:t>
      </w:r>
    </w:p>
    <w:p>
      <w:pPr>
        <w:pStyle w:val="ListBullet"/>
      </w:pPr>
      <w:r>
        <w:t xml:space="preserve">Two more things the roadshow won't lead with. </w:t>
      </w:r>
      <w:r>
        <w:rPr>
          <w:b/>
        </w:rPr>
        <w:t>Overseas is only ~30% of revenue</w:t>
      </w:r>
      <w:r>
        <w:t xml:space="preserve"> (peers run 80–95%) and North American hyperscalers are still at sample-validation stage — this is a domestic-cloud-capex story wearing an AI-optics label. And FY2025's reported RMB 873m profit includes a </w:t>
      </w:r>
      <w:r>
        <w:rPr>
          <w:b/>
        </w:rPr>
        <w:t>353m one-off gain from selling a subsidiary — 40% of the year's earnings</w:t>
      </w:r>
      <w:r>
        <w:t>; strip it and the net margin is 6.2%.</w:t>
      </w:r>
    </w:p>
    <w:p>
      <w:pPr>
        <w:pStyle w:val="Heading2"/>
      </w:pPr>
      <w:r>
        <w:t>Valuation — foreign and A/H shelves together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592"/>
          </w:tcPr>
          <w:p>
            <w:r/>
            <w:r>
              <w:rPr>
                <w:b/>
                <w:sz w:val="19"/>
              </w:rPr>
            </w:r>
          </w:p>
        </w:tc>
        <w:tc>
          <w:tcPr>
            <w:tcW w:type="dxa" w:w="2304"/>
          </w:tcPr>
          <w:p>
            <w:r/>
            <w:r>
              <w:rPr>
                <w:b/>
                <w:sz w:val="19"/>
              </w:rPr>
              <w:t>Trail P/E</w:t>
            </w:r>
          </w:p>
        </w:tc>
        <w:tc>
          <w:tcPr>
            <w:tcW w:type="dxa" w:w="2448"/>
          </w:tcPr>
          <w:p>
            <w:r/>
            <w:r>
              <w:rPr>
                <w:b/>
                <w:sz w:val="19"/>
              </w:rPr>
              <w:t>Fwd / adj. P/E</w:t>
            </w:r>
          </w:p>
        </w:tc>
        <w:tc>
          <w:tcPr>
            <w:tcW w:type="dxa" w:w="1152"/>
          </w:tcPr>
          <w:p>
            <w:r/>
            <w:r>
              <w:rPr>
                <w:b/>
                <w:sz w:val="19"/>
              </w:rPr>
              <w:t>P/S</w:t>
            </w:r>
          </w:p>
        </w:tc>
        <w:tc>
          <w:tcPr>
            <w:tcW w:type="dxa" w:w="1440"/>
          </w:tcPr>
          <w:p>
            <w:r/>
            <w:r>
              <w:rPr>
                <w:b/>
                <w:sz w:val="19"/>
              </w:rPr>
              <w:t>Growth</w:t>
            </w:r>
          </w:p>
        </w:tc>
        <w:tc>
          <w:tcPr>
            <w:tcW w:type="dxa" w:w="1440"/>
          </w:tcPr>
          <w:p>
            <w:r/>
            <w:r>
              <w:rPr>
                <w:b/>
                <w:sz w:val="19"/>
              </w:rPr>
              <w:t>GM</w:t>
            </w:r>
          </w:p>
        </w:tc>
      </w:tr>
      <w:tr>
        <w:tc>
          <w:tcPr>
            <w:tcW w:type="dxa" w:w="2592"/>
          </w:tcPr>
          <w:p>
            <w:r>
              <w:rPr>
                <w:sz w:val="19"/>
              </w:rPr>
            </w:r>
            <w:r>
              <w:rPr>
                <w:b/>
                <w:sz w:val="19"/>
              </w:rPr>
              <w:t>Ligent @ HK$32.96</w:t>
            </w:r>
          </w:p>
        </w:tc>
        <w:tc>
          <w:tcPr>
            <w:tcW w:type="dxa" w:w="2304"/>
          </w:tcPr>
          <w:p>
            <w:r>
              <w:rPr>
                <w:sz w:val="19"/>
              </w:rPr>
            </w:r>
            <w:r>
              <w:rPr>
                <w:b/>
                <w:sz w:val="19"/>
              </w:rPr>
              <w:t>~34x FY25 (57x ex-one-offs)</w:t>
            </w:r>
          </w:p>
        </w:tc>
        <w:tc>
          <w:tcPr>
            <w:tcW w:type="dxa" w:w="2448"/>
          </w:tcPr>
          <w:p>
            <w:r>
              <w:rPr>
                <w:sz w:val="19"/>
              </w:rPr>
            </w:r>
            <w:r>
              <w:rPr>
                <w:b/>
                <w:sz w:val="19"/>
              </w:rPr>
              <w:t>~29x LTM / ~22x annualised H1</w:t>
            </w:r>
          </w:p>
        </w:tc>
        <w:tc>
          <w:tcPr>
            <w:tcW w:type="dxa" w:w="1152"/>
          </w:tcPr>
          <w:p>
            <w:r>
              <w:rPr>
                <w:sz w:val="19"/>
              </w:rPr>
            </w:r>
            <w:r>
              <w:rPr>
                <w:sz w:val="19"/>
              </w:rPr>
              <w:t>3.1–3.5x</w:t>
            </w:r>
          </w:p>
        </w:tc>
        <w:tc>
          <w:tcPr>
            <w:tcW w:type="dxa" w:w="1440"/>
          </w:tcPr>
          <w:p>
            <w:r>
              <w:rPr>
                <w:sz w:val="19"/>
              </w:rPr>
            </w:r>
            <w:r>
              <w:rPr>
                <w:sz w:val="19"/>
              </w:rPr>
              <w:t>+28% H1</w:t>
            </w:r>
          </w:p>
        </w:tc>
        <w:tc>
          <w:tcPr>
            <w:tcW w:type="dxa" w:w="1440"/>
          </w:tcPr>
          <w:p>
            <w:r>
              <w:rPr>
                <w:sz w:val="19"/>
              </w:rPr>
            </w:r>
            <w:r>
              <w:rPr>
                <w:sz w:val="19"/>
              </w:rPr>
              <w:t>~20%</w:t>
            </w:r>
          </w:p>
        </w:tc>
      </w:tr>
      <w:tr>
        <w:tc>
          <w:tcPr>
            <w:tcW w:type="dxa" w:w="2592"/>
          </w:tcPr>
          <w:p>
            <w:r>
              <w:rPr>
                <w:sz w:val="19"/>
              </w:rPr>
            </w:r>
            <w:r>
              <w:rPr>
                <w:sz w:val="19"/>
              </w:rPr>
              <w:t>Innolight A 300308</w:t>
            </w:r>
          </w:p>
        </w:tc>
        <w:tc>
          <w:tcPr>
            <w:tcW w:type="dxa" w:w="2304"/>
          </w:tcPr>
          <w:p>
            <w:r>
              <w:rPr>
                <w:sz w:val="19"/>
              </w:rPr>
            </w:r>
            <w:r>
              <w:rPr>
                <w:sz w:val="19"/>
              </w:rPr>
              <w:t>47.8x</w:t>
            </w:r>
          </w:p>
        </w:tc>
        <w:tc>
          <w:tcPr>
            <w:tcW w:type="dxa" w:w="2448"/>
          </w:tcPr>
          <w:p>
            <w:r>
              <w:rPr>
                <w:sz w:val="19"/>
              </w:rPr>
            </w:r>
            <w:r>
              <w:rPr>
                <w:sz w:val="19"/>
              </w:rPr>
              <w:t>~18.5x 2026E</w:t>
            </w:r>
          </w:p>
        </w:tc>
        <w:tc>
          <w:tcPr>
            <w:tcW w:type="dxa" w:w="1152"/>
          </w:tcPr>
          <w:p>
            <w:r>
              <w:rPr>
                <w:sz w:val="19"/>
              </w:rPr>
            </w:r>
            <w:r>
              <w:rPr>
                <w:sz w:val="19"/>
              </w:rPr>
              <w:t>~12x</w:t>
            </w:r>
          </w:p>
        </w:tc>
        <w:tc>
          <w:tcPr>
            <w:tcW w:type="dxa" w:w="1440"/>
          </w:tcPr>
          <w:p>
            <w:r>
              <w:rPr>
                <w:sz w:val="19"/>
              </w:rPr>
            </w:r>
            <w:r>
              <w:rPr>
                <w:sz w:val="19"/>
              </w:rPr>
              <w:t>+134% TTM</w:t>
            </w:r>
          </w:p>
        </w:tc>
        <w:tc>
          <w:tcPr>
            <w:tcW w:type="dxa" w:w="1440"/>
          </w:tcPr>
          <w:p>
            <w:r>
              <w:rPr>
                <w:sz w:val="19"/>
              </w:rPr>
            </w:r>
            <w:r>
              <w:rPr>
                <w:sz w:val="19"/>
              </w:rPr>
              <w:t>46%</w:t>
            </w:r>
          </w:p>
        </w:tc>
      </w:tr>
      <w:tr>
        <w:tc>
          <w:tcPr>
            <w:tcW w:type="dxa" w:w="2592"/>
          </w:tcPr>
          <w:p>
            <w:r>
              <w:rPr>
                <w:sz w:val="19"/>
              </w:rPr>
            </w:r>
            <w:r>
              <w:rPr>
                <w:b/>
                <w:sz w:val="19"/>
              </w:rPr>
              <w:t>Innolight H 3308</w:t>
            </w:r>
          </w:p>
        </w:tc>
        <w:tc>
          <w:tcPr>
            <w:tcW w:type="dxa" w:w="2304"/>
          </w:tcPr>
          <w:p>
            <w:r>
              <w:rPr>
                <w:sz w:val="19"/>
              </w:rPr>
            </w:r>
            <w:r>
              <w:rPr>
                <w:sz w:val="19"/>
              </w:rPr>
              <w:t>53.8x</w:t>
            </w:r>
          </w:p>
        </w:tc>
        <w:tc>
          <w:tcPr>
            <w:tcW w:type="dxa" w:w="2448"/>
          </w:tcPr>
          <w:p>
            <w:r>
              <w:rPr>
                <w:sz w:val="19"/>
              </w:rPr>
            </w:r>
            <w:r>
              <w:rPr>
                <w:b/>
                <w:sz w:val="19"/>
              </w:rPr>
              <w:t>18.5x fwd</w:t>
            </w:r>
          </w:p>
        </w:tc>
        <w:tc>
          <w:tcPr>
            <w:tcW w:type="dxa" w:w="1152"/>
          </w:tcPr>
          <w:p>
            <w:r>
              <w:rPr>
                <w:sz w:val="19"/>
              </w:rPr>
            </w:r>
            <w:r>
              <w:rPr>
                <w:sz w:val="19"/>
              </w:rPr>
              <w:t>—</w:t>
            </w:r>
          </w:p>
        </w:tc>
        <w:tc>
          <w:tcPr>
            <w:tcW w:type="dxa" w:w="1440"/>
          </w:tcPr>
          <w:p>
            <w:r>
              <w:rPr>
                <w:sz w:val="19"/>
              </w:rPr>
            </w:r>
            <w:r>
              <w:rPr>
                <w:sz w:val="19"/>
              </w:rPr>
              <w:t>+134%</w:t>
            </w:r>
          </w:p>
        </w:tc>
        <w:tc>
          <w:tcPr>
            <w:tcW w:type="dxa" w:w="1440"/>
          </w:tcPr>
          <w:p>
            <w:r>
              <w:rPr>
                <w:sz w:val="19"/>
              </w:rPr>
            </w:r>
            <w:r>
              <w:rPr>
                <w:sz w:val="19"/>
              </w:rPr>
              <w:t>H trades ~12% ABOVE its A</w:t>
            </w:r>
          </w:p>
        </w:tc>
      </w:tr>
      <w:tr>
        <w:tc>
          <w:tcPr>
            <w:tcW w:type="dxa" w:w="2592"/>
          </w:tcPr>
          <w:p>
            <w:r>
              <w:rPr>
                <w:sz w:val="19"/>
              </w:rPr>
            </w:r>
            <w:r>
              <w:rPr>
                <w:sz w:val="19"/>
              </w:rPr>
              <w:t>Eoptolink 300502</w:t>
            </w:r>
          </w:p>
        </w:tc>
        <w:tc>
          <w:tcPr>
            <w:tcW w:type="dxa" w:w="2304"/>
          </w:tcPr>
          <w:p>
            <w:r>
              <w:rPr>
                <w:sz w:val="19"/>
              </w:rPr>
            </w:r>
            <w:r>
              <w:rPr>
                <w:sz w:val="19"/>
              </w:rPr>
              <w:t>42.8x</w:t>
            </w:r>
          </w:p>
        </w:tc>
        <w:tc>
          <w:tcPr>
            <w:tcW w:type="dxa" w:w="2448"/>
          </w:tcPr>
          <w:p>
            <w:r>
              <w:rPr>
                <w:sz w:val="19"/>
              </w:rPr>
            </w:r>
            <w:r>
              <w:rPr>
                <w:sz w:val="19"/>
              </w:rPr>
              <w:t>—</w:t>
            </w:r>
          </w:p>
        </w:tc>
        <w:tc>
          <w:tcPr>
            <w:tcW w:type="dxa" w:w="1152"/>
          </w:tcPr>
          <w:p>
            <w:r>
              <w:rPr>
                <w:sz w:val="19"/>
              </w:rPr>
            </w:r>
            <w:r>
              <w:rPr>
                <w:sz w:val="19"/>
              </w:rPr>
              <w:t>~13x</w:t>
            </w:r>
          </w:p>
        </w:tc>
        <w:tc>
          <w:tcPr>
            <w:tcW w:type="dxa" w:w="1440"/>
          </w:tcPr>
          <w:p>
            <w:r>
              <w:rPr>
                <w:sz w:val="19"/>
              </w:rPr>
            </w:r>
            <w:r>
              <w:rPr>
                <w:sz w:val="19"/>
              </w:rPr>
              <w:t>+97%</w:t>
            </w:r>
          </w:p>
        </w:tc>
        <w:tc>
          <w:tcPr>
            <w:tcW w:type="dxa" w:w="1440"/>
          </w:tcPr>
          <w:p>
            <w:r>
              <w:rPr>
                <w:sz w:val="19"/>
              </w:rPr>
            </w:r>
          </w:p>
        </w:tc>
      </w:tr>
      <w:tr>
        <w:tc>
          <w:tcPr>
            <w:tcW w:type="dxa" w:w="2592"/>
          </w:tcPr>
          <w:p>
            <w:r>
              <w:rPr>
                <w:sz w:val="19"/>
              </w:rPr>
            </w:r>
            <w:r>
              <w:rPr>
                <w:sz w:val="19"/>
              </w:rPr>
              <w:t>TFC 天孚 300394</w:t>
            </w:r>
          </w:p>
        </w:tc>
        <w:tc>
          <w:tcPr>
            <w:tcW w:type="dxa" w:w="2304"/>
          </w:tcPr>
          <w:p>
            <w:r>
              <w:rPr>
                <w:sz w:val="19"/>
              </w:rPr>
            </w:r>
            <w:r>
              <w:rPr>
                <w:sz w:val="19"/>
              </w:rPr>
              <w:t>120x</w:t>
            </w:r>
          </w:p>
        </w:tc>
        <w:tc>
          <w:tcPr>
            <w:tcW w:type="dxa" w:w="2448"/>
          </w:tcPr>
          <w:p>
            <w:r>
              <w:rPr>
                <w:sz w:val="19"/>
              </w:rPr>
            </w:r>
            <w:r>
              <w:rPr>
                <w:sz w:val="19"/>
              </w:rPr>
              <w:t>—</w:t>
            </w:r>
          </w:p>
        </w:tc>
        <w:tc>
          <w:tcPr>
            <w:tcW w:type="dxa" w:w="1152"/>
          </w:tcPr>
          <w:p>
            <w:r>
              <w:rPr>
                <w:sz w:val="19"/>
              </w:rPr>
            </w:r>
            <w:r>
              <w:rPr>
                <w:sz w:val="19"/>
              </w:rPr>
              <w:t>—</w:t>
            </w:r>
          </w:p>
        </w:tc>
        <w:tc>
          <w:tcPr>
            <w:tcW w:type="dxa" w:w="1440"/>
          </w:tcPr>
          <w:p>
            <w:r>
              <w:rPr>
                <w:sz w:val="19"/>
              </w:rPr>
            </w:r>
            <w:r>
              <w:rPr>
                <w:sz w:val="19"/>
              </w:rPr>
              <w:t>flat H1</w:t>
            </w:r>
          </w:p>
        </w:tc>
        <w:tc>
          <w:tcPr>
            <w:tcW w:type="dxa" w:w="1440"/>
          </w:tcPr>
          <w:p>
            <w:r>
              <w:rPr>
                <w:sz w:val="19"/>
              </w:rPr>
            </w:r>
          </w:p>
        </w:tc>
      </w:tr>
      <w:tr>
        <w:tc>
          <w:tcPr>
            <w:tcW w:type="dxa" w:w="2592"/>
          </w:tcPr>
          <w:p>
            <w:r>
              <w:rPr>
                <w:sz w:val="19"/>
              </w:rPr>
            </w:r>
            <w:r>
              <w:rPr>
                <w:sz w:val="19"/>
              </w:rPr>
              <w:t>Accelink 光迅 002281</w:t>
            </w:r>
          </w:p>
        </w:tc>
        <w:tc>
          <w:tcPr>
            <w:tcW w:type="dxa" w:w="2304"/>
          </w:tcPr>
          <w:p>
            <w:r>
              <w:rPr>
                <w:sz w:val="19"/>
              </w:rPr>
            </w:r>
            <w:r>
              <w:rPr>
                <w:sz w:val="19"/>
              </w:rPr>
              <w:t>117x</w:t>
            </w:r>
          </w:p>
        </w:tc>
        <w:tc>
          <w:tcPr>
            <w:tcW w:type="dxa" w:w="2448"/>
          </w:tcPr>
          <w:p>
            <w:r>
              <w:rPr>
                <w:sz w:val="19"/>
              </w:rPr>
            </w:r>
            <w:r>
              <w:rPr>
                <w:sz w:val="19"/>
              </w:rPr>
              <w:t>—</w:t>
            </w:r>
          </w:p>
        </w:tc>
        <w:tc>
          <w:tcPr>
            <w:tcW w:type="dxa" w:w="1152"/>
          </w:tcPr>
          <w:p>
            <w:r>
              <w:rPr>
                <w:sz w:val="19"/>
              </w:rPr>
            </w:r>
            <w:r>
              <w:rPr>
                <w:sz w:val="19"/>
              </w:rPr>
              <w:t>—</w:t>
            </w:r>
          </w:p>
        </w:tc>
        <w:tc>
          <w:tcPr>
            <w:tcW w:type="dxa" w:w="1440"/>
          </w:tcPr>
          <w:p>
            <w:r>
              <w:rPr>
                <w:sz w:val="19"/>
              </w:rPr>
            </w:r>
            <w:r>
              <w:rPr>
                <w:sz w:val="19"/>
              </w:rPr>
              <w:t>+27%</w:t>
            </w:r>
          </w:p>
        </w:tc>
        <w:tc>
          <w:tcPr>
            <w:tcW w:type="dxa" w:w="1440"/>
          </w:tcPr>
          <w:p>
            <w:r>
              <w:rPr>
                <w:sz w:val="19"/>
              </w:rPr>
            </w:r>
          </w:p>
        </w:tc>
      </w:tr>
      <w:tr>
        <w:tc>
          <w:tcPr>
            <w:tcW w:type="dxa" w:w="2592"/>
          </w:tcPr>
          <w:p>
            <w:r>
              <w:rPr>
                <w:sz w:val="19"/>
              </w:rPr>
            </w:r>
            <w:r>
              <w:rPr>
                <w:sz w:val="19"/>
              </w:rPr>
              <w:t>Coherent</w:t>
            </w:r>
          </w:p>
        </w:tc>
        <w:tc>
          <w:tcPr>
            <w:tcW w:type="dxa" w:w="2304"/>
          </w:tcPr>
          <w:p>
            <w:r>
              <w:rPr>
                <w:sz w:val="19"/>
              </w:rPr>
            </w:r>
            <w:r>
              <w:rPr>
                <w:sz w:val="19"/>
              </w:rPr>
              <w:t>74x</w:t>
            </w:r>
          </w:p>
        </w:tc>
        <w:tc>
          <w:tcPr>
            <w:tcW w:type="dxa" w:w="2448"/>
          </w:tcPr>
          <w:p>
            <w:r>
              <w:rPr>
                <w:sz w:val="19"/>
              </w:rPr>
            </w:r>
            <w:r>
              <w:rPr>
                <w:sz w:val="19"/>
              </w:rPr>
              <w:t>32.4x fwd</w:t>
            </w:r>
          </w:p>
        </w:tc>
        <w:tc>
          <w:tcPr>
            <w:tcW w:type="dxa" w:w="1152"/>
          </w:tcPr>
          <w:p>
            <w:r>
              <w:rPr>
                <w:sz w:val="19"/>
              </w:rPr>
            </w:r>
            <w:r>
              <w:rPr>
                <w:sz w:val="19"/>
              </w:rPr>
              <w:t>8.4x</w:t>
            </w:r>
          </w:p>
        </w:tc>
        <w:tc>
          <w:tcPr>
            <w:tcW w:type="dxa" w:w="1440"/>
          </w:tcPr>
          <w:p>
            <w:r>
              <w:rPr>
                <w:sz w:val="19"/>
              </w:rPr>
            </w:r>
            <w:r>
              <w:rPr>
                <w:sz w:val="19"/>
              </w:rPr>
              <w:t>—</w:t>
            </w:r>
          </w:p>
        </w:tc>
        <w:tc>
          <w:tcPr>
            <w:tcW w:type="dxa" w:w="1440"/>
          </w:tcPr>
          <w:p>
            <w:r>
              <w:rPr>
                <w:sz w:val="19"/>
              </w:rPr>
            </w:r>
            <w:r>
              <w:rPr>
                <w:sz w:val="19"/>
              </w:rPr>
              <w:t>37.5%</w:t>
            </w:r>
          </w:p>
        </w:tc>
      </w:tr>
      <w:tr>
        <w:tc>
          <w:tcPr>
            <w:tcW w:type="dxa" w:w="2592"/>
          </w:tcPr>
          <w:p>
            <w:r>
              <w:rPr>
                <w:sz w:val="19"/>
              </w:rPr>
            </w:r>
            <w:r>
              <w:rPr>
                <w:sz w:val="19"/>
              </w:rPr>
              <w:t>Lumentum</w:t>
            </w:r>
          </w:p>
        </w:tc>
        <w:tc>
          <w:tcPr>
            <w:tcW w:type="dxa" w:w="2304"/>
          </w:tcPr>
          <w:p>
            <w:r>
              <w:rPr>
                <w:sz w:val="19"/>
              </w:rPr>
            </w:r>
            <w:r>
              <w:rPr>
                <w:sz w:val="19"/>
              </w:rPr>
              <w:t>—</w:t>
            </w:r>
          </w:p>
        </w:tc>
        <w:tc>
          <w:tcPr>
            <w:tcW w:type="dxa" w:w="2448"/>
          </w:tcPr>
          <w:p>
            <w:r>
              <w:rPr>
                <w:sz w:val="19"/>
              </w:rPr>
            </w:r>
            <w:r>
              <w:rPr>
                <w:sz w:val="19"/>
              </w:rPr>
              <w:t>42.8x fwd</w:t>
            </w:r>
          </w:p>
        </w:tc>
        <w:tc>
          <w:tcPr>
            <w:tcW w:type="dxa" w:w="1152"/>
          </w:tcPr>
          <w:p>
            <w:r>
              <w:rPr>
                <w:sz w:val="19"/>
              </w:rPr>
            </w:r>
            <w:r>
              <w:rPr>
                <w:sz w:val="19"/>
              </w:rPr>
              <w:t>27.6x</w:t>
            </w:r>
          </w:p>
        </w:tc>
        <w:tc>
          <w:tcPr>
            <w:tcW w:type="dxa" w:w="1440"/>
          </w:tcPr>
          <w:p>
            <w:r>
              <w:rPr>
                <w:sz w:val="19"/>
              </w:rPr>
            </w:r>
            <w:r>
              <w:rPr>
                <w:sz w:val="19"/>
              </w:rPr>
              <w:t>—</w:t>
            </w:r>
          </w:p>
        </w:tc>
        <w:tc>
          <w:tcPr>
            <w:tcW w:type="dxa" w:w="1440"/>
          </w:tcPr>
          <w:p>
            <w:r>
              <w:rPr>
                <w:sz w:val="19"/>
              </w:rPr>
            </w:r>
            <w:r>
              <w:rPr>
                <w:sz w:val="19"/>
              </w:rPr>
              <w:t>44%</w:t>
            </w:r>
          </w:p>
        </w:tc>
      </w:tr>
      <w:tr>
        <w:tc>
          <w:tcPr>
            <w:tcW w:type="dxa" w:w="2592"/>
          </w:tcPr>
          <w:p>
            <w:r>
              <w:rPr>
                <w:sz w:val="19"/>
              </w:rPr>
            </w:r>
            <w:r>
              <w:rPr>
                <w:sz w:val="19"/>
              </w:rPr>
              <w:t>Applied Opto (AAOI)</w:t>
            </w:r>
          </w:p>
        </w:tc>
        <w:tc>
          <w:tcPr>
            <w:tcW w:type="dxa" w:w="2304"/>
          </w:tcPr>
          <w:p>
            <w:r>
              <w:rPr>
                <w:sz w:val="19"/>
              </w:rPr>
            </w:r>
            <w:r>
              <w:rPr>
                <w:sz w:val="19"/>
              </w:rPr>
              <w:t>n/m</w:t>
            </w:r>
          </w:p>
        </w:tc>
        <w:tc>
          <w:tcPr>
            <w:tcW w:type="dxa" w:w="2448"/>
          </w:tcPr>
          <w:p>
            <w:r>
              <w:rPr>
                <w:sz w:val="19"/>
              </w:rPr>
            </w:r>
            <w:r>
              <w:rPr>
                <w:sz w:val="19"/>
              </w:rPr>
              <w:t>45.8x fwd</w:t>
            </w:r>
          </w:p>
        </w:tc>
        <w:tc>
          <w:tcPr>
            <w:tcW w:type="dxa" w:w="1152"/>
          </w:tcPr>
          <w:p>
            <w:r>
              <w:rPr>
                <w:sz w:val="19"/>
              </w:rPr>
            </w:r>
            <w:r>
              <w:rPr>
                <w:sz w:val="19"/>
              </w:rPr>
              <w:t>15.0x</w:t>
            </w:r>
          </w:p>
        </w:tc>
        <w:tc>
          <w:tcPr>
            <w:tcW w:type="dxa" w:w="1440"/>
          </w:tcPr>
          <w:p>
            <w:r>
              <w:rPr>
                <w:sz w:val="19"/>
              </w:rPr>
            </w:r>
            <w:r>
              <w:rPr>
                <w:sz w:val="19"/>
              </w:rPr>
              <w:t>—</w:t>
            </w:r>
          </w:p>
        </w:tc>
        <w:tc>
          <w:tcPr>
            <w:tcW w:type="dxa" w:w="1440"/>
          </w:tcPr>
          <w:p>
            <w:r>
              <w:rPr>
                <w:sz w:val="19"/>
              </w:rPr>
            </w:r>
            <w:r>
              <w:rPr>
                <w:sz w:val="19"/>
              </w:rPr>
              <w:t>29%</w:t>
            </w:r>
          </w:p>
        </w:tc>
      </w:tr>
    </w:tbl>
    <w:p/>
    <w:p>
      <w:r>
        <w:t xml:space="preserve">On trailing numbers the deal looks like a gift — 34x against a shelf that runs 43x to 120x. But that's the trap, because the shelf's trailing multiples are collapsing into monster forward growth and Ligent's aren't. Do the quality adjustment and the discount inverts: </w:t>
      </w:r>
      <w:r>
        <w:rPr>
          <w:b/>
        </w:rPr>
        <w:t>at ~22x annualised earnings, Ligent costs more than Innolight H at 18.5x forward.</w:t>
      </w:r>
      <w:r>
        <w:t xml:space="preserve"> Sit with that for a second — Hong Kong will sell you the global #1, with double the gross margin, triple the growth, the hyperscaler relationships, and an H-share that trades at a premium to its own A — for a lower forward multiple than the #5 that's still sampling at those same hyperscalers. When the leader is cheaper than the challenger, the investment question answers itself. One more tell: the IPO cap is </w:t>
      </w:r>
      <w:r>
        <w:rPr>
          <w:b/>
        </w:rPr>
        <w:t>2.7x the pre-IPO round from just six months ago</w:t>
      </w:r>
      <w:r>
        <w:t xml:space="preserve"> — the up-round already happened, privately.</w:t>
      </w:r>
    </w:p>
    <w:p>
      <w:pPr>
        <w:pStyle w:val="ListBullet"/>
      </w:pPr>
      <w:r>
        <w:rPr>
          <w:b/>
        </w:rPr>
        <w:t>Verdict: pass on the deal; buy Innolight H instead if you want this theme</w:t>
      </w:r>
      <w:r>
        <w:t xml:space="preserve"> — same logic as Micron-over-Longsys. The 47% cornerstone lock, tiny float and AI label may well hold the debut together, but a 1.1x retail book with the sector leader falling on the launch news is a cold open brewing, and there's no near-term print that changes the quality gap. Revisit when the EML ships or a North American hyperscaler qualifies them.</w:t>
      </w:r>
    </w:p>
    <w:p>
      <w:pPr>
        <w:pStyle w:val="Heading1"/>
      </w:pPr>
      <w:r>
        <w:t>2. Forms Syntron 四方精创 (6700 HK) — the stablecoin story at a body-shop's desk</w:t>
      </w:r>
    </w:p>
    <w:p>
      <w:r>
        <w:t xml:space="preserve">Banking-IT services house out of Shenzhen (A: 300468), the self-styled 'A+H fintech first stock'. Book 14–17 Sep, </w:t>
      </w:r>
      <w:r>
        <w:rPr>
          <w:b/>
        </w:rPr>
        <w:t>maximum price HK$16.00</w:t>
      </w:r>
      <w:r>
        <w:t xml:space="preserve"> (final set Friday, can only come lower), raising up to HK$943m at a </w:t>
      </w:r>
      <w:r>
        <w:rPr>
          <w:b/>
        </w:rPr>
        <w:t>HK$9.43bn cap</w:t>
      </w:r>
      <w:r>
        <w:t xml:space="preserve">. Grey market 21 Sep, lists Tue 22 Sep — same day as Ligent. CMB International and Guosen HK sponsoring, 15% shoe, entry HK$1,616 a lot. Cornerstones are small and telling: HK$120m ≈ 13% of the deal, led by </w:t>
      </w:r>
      <w:r>
        <w:rPr>
          <w:b/>
        </w:rPr>
        <w:t>the Cheng family (Chow Tai Fook) and Peter Lee (Henderson)</w:t>
      </w:r>
      <w:r>
        <w:t xml:space="preserve"> — next-generation HK tycoon money. That's a social signal, not an institutional one.</w:t>
      </w:r>
    </w:p>
    <w:p>
      <w:pPr>
        <w:pStyle w:val="Heading2"/>
      </w:pPr>
      <w:r>
        <w:t>What you need to know</w:t>
      </w:r>
    </w:p>
    <w:p>
      <w:pPr>
        <w:pStyle w:val="ListBullet"/>
      </w:pPr>
      <w:r>
        <w:t xml:space="preserve">The real business is respectable and boring: 20+ years writing and running core-banking systems for </w:t>
      </w:r>
      <w:r>
        <w:rPr>
          <w:b/>
        </w:rPr>
        <w:t>BOCHK, Ping An, Tencent</w:t>
      </w:r>
      <w:r>
        <w:t xml:space="preserve"> and Southeast Asian banks. Overseas (mostly HK) is 80%+ of revenue, and CIC ranks it </w:t>
      </w:r>
      <w:r>
        <w:rPr>
          <w:b/>
        </w:rPr>
        <w:t>#1 in HK banking fintech development services</w:t>
      </w:r>
      <w:r>
        <w:t xml:space="preserve">. Those relationships are sticky. They are also the whole company: </w:t>
      </w:r>
      <w:r>
        <w:rPr>
          <w:b/>
        </w:rPr>
        <w:t>top-five clients are ~88% of revenue, the largest alone ~41%.</w:t>
      </w:r>
    </w:p>
    <w:p>
      <w:pPr>
        <w:pStyle w:val="ListBullet"/>
      </w:pPr>
      <w:r>
        <w:t xml:space="preserve">And it's a services shop, with services economics: gross margin 36–38% and falling (−3.8pp in H1), 90%+ of staff technical, 22 disclosed loss-making projects. Revenue </w:t>
      </w:r>
      <w:r>
        <w:rPr>
          <w:b/>
        </w:rPr>
        <w:t>fell 15% in 2025</w:t>
      </w:r>
      <w:r>
        <w:t xml:space="preserve"> as HK bank IT budgets tightened; H1 this year got revenue growing again (+15%) by giving up margin — </w:t>
      </w:r>
      <w:r>
        <w:rPr>
          <w:b/>
        </w:rPr>
        <w:t>profit fell 17%</w:t>
      </w:r>
      <w:r>
        <w:t>. Growing the top line by cutting price is not a fix.</w:t>
      </w:r>
    </w:p>
    <w:p>
      <w:pPr>
        <w:pStyle w:val="ListBullet"/>
      </w:pPr>
      <w:r>
        <w:t xml:space="preserve">The reason this deal exists is the label: it's the archetypal A-share </w:t>
      </w:r>
      <w:r>
        <w:rPr>
          <w:b/>
        </w:rPr>
        <w:t>stablecoin concept stock</w:t>
      </w:r>
      <w:r>
        <w:t xml:space="preserve"> — a 'FINNOSafe Stablecoin' platform, Web3 PR with Microsoft, claimed proximity to HK's stablecoin infrastructure (the e-CNY/mBridge claims we could not verify anywhere). The A-share ran from ~RMB 18 to 52 on that theme in summer 2025 and now sits at 22.65 — </w:t>
      </w:r>
      <w:r>
        <w:rPr>
          <w:b/>
        </w:rPr>
        <w:t>down 57% from the peak</w:t>
      </w:r>
      <w:r>
        <w:t xml:space="preserve">. And the controller sold </w:t>
      </w:r>
      <w:r>
        <w:rPr>
          <w:b/>
        </w:rPr>
        <w:t>more than RMB 250m of A-shares in Feb–Apr this year</w:t>
      </w:r>
      <w:r>
        <w:t>, right before bringing you this listing. Watch what they do, not what they say.</w:t>
      </w:r>
    </w:p>
    <w:p>
      <w:pPr>
        <w:pStyle w:val="Heading2"/>
      </w:pPr>
      <w:r>
        <w:t>Valuation — foreign and A/H shelves together</w:t>
      </w:r>
    </w:p>
    <w:tbl>
      <w:tblPr>
        <w:tblStyle w:val="LightGrid-Accent1"/>
        <w:tblW w:type="auto" w:w="0"/>
        <w:tblLook w:firstColumn="1" w:firstRow="1" w:lastColumn="0" w:lastRow="0" w:noHBand="0" w:noVBand="1" w:val="04A0"/>
      </w:tblPr>
      <w:tblGrid>
        <w:gridCol w:w="2160"/>
        <w:gridCol w:w="2160"/>
        <w:gridCol w:w="2160"/>
        <w:gridCol w:w="2160"/>
      </w:tblGrid>
      <w:tr>
        <w:tc>
          <w:tcPr>
            <w:tcW w:type="dxa" w:w="3312"/>
          </w:tcPr>
          <w:p>
            <w:r/>
            <w:r>
              <w:rPr>
                <w:b/>
                <w:sz w:val="19"/>
              </w:rPr>
            </w:r>
          </w:p>
        </w:tc>
        <w:tc>
          <w:tcPr>
            <w:tcW w:type="dxa" w:w="2448"/>
          </w:tcPr>
          <w:p>
            <w:r/>
            <w:r>
              <w:rPr>
                <w:b/>
                <w:sz w:val="19"/>
              </w:rPr>
              <w:t>Trail P/E</w:t>
            </w:r>
          </w:p>
        </w:tc>
        <w:tc>
          <w:tcPr>
            <w:tcW w:type="dxa" w:w="1296"/>
          </w:tcPr>
          <w:p>
            <w:r/>
            <w:r>
              <w:rPr>
                <w:b/>
                <w:sz w:val="19"/>
              </w:rPr>
              <w:t>P/S</w:t>
            </w:r>
          </w:p>
        </w:tc>
        <w:tc>
          <w:tcPr>
            <w:tcW w:type="dxa" w:w="2736"/>
          </w:tcPr>
          <w:p>
            <w:r/>
            <w:r>
              <w:rPr>
                <w:b/>
                <w:sz w:val="19"/>
              </w:rPr>
              <w:t>Note</w:t>
            </w:r>
          </w:p>
        </w:tc>
      </w:tr>
      <w:tr>
        <w:tc>
          <w:tcPr>
            <w:tcW w:type="dxa" w:w="3312"/>
          </w:tcPr>
          <w:p>
            <w:r>
              <w:rPr>
                <w:sz w:val="19"/>
              </w:rPr>
            </w:r>
            <w:r>
              <w:rPr>
                <w:b/>
                <w:sz w:val="19"/>
              </w:rPr>
              <w:t>Forms Syntron H @ HK$16 max</w:t>
            </w:r>
          </w:p>
        </w:tc>
        <w:tc>
          <w:tcPr>
            <w:tcW w:type="dxa" w:w="2448"/>
          </w:tcPr>
          <w:p>
            <w:r>
              <w:rPr>
                <w:sz w:val="19"/>
              </w:rPr>
            </w:r>
            <w:r>
              <w:rPr>
                <w:b/>
                <w:sz w:val="19"/>
              </w:rPr>
              <w:t>~116x FY25 / ~129x TTM</w:t>
            </w:r>
          </w:p>
        </w:tc>
        <w:tc>
          <w:tcPr>
            <w:tcW w:type="dxa" w:w="1296"/>
          </w:tcPr>
          <w:p>
            <w:r>
              <w:rPr>
                <w:sz w:val="19"/>
              </w:rPr>
            </w:r>
            <w:r>
              <w:rPr>
                <w:b/>
                <w:sz w:val="19"/>
              </w:rPr>
              <w:t>~13x</w:t>
            </w:r>
          </w:p>
        </w:tc>
        <w:tc>
          <w:tcPr>
            <w:tcW w:type="dxa" w:w="2736"/>
          </w:tcPr>
          <w:p>
            <w:r>
              <w:rPr>
                <w:sz w:val="19"/>
              </w:rPr>
            </w:r>
            <w:r>
              <w:rPr>
                <w:sz w:val="19"/>
              </w:rPr>
              <w:t>GM 36%, revenue −15% in 2025</w:t>
            </w:r>
          </w:p>
        </w:tc>
      </w:tr>
      <w:tr>
        <w:tc>
          <w:tcPr>
            <w:tcW w:type="dxa" w:w="3312"/>
          </w:tcPr>
          <w:p>
            <w:r>
              <w:rPr>
                <w:sz w:val="19"/>
              </w:rPr>
            </w:r>
            <w:r>
              <w:rPr>
                <w:sz w:val="19"/>
              </w:rPr>
              <w:t>Forms Syntron A 300468</w:t>
            </w:r>
          </w:p>
        </w:tc>
        <w:tc>
          <w:tcPr>
            <w:tcW w:type="dxa" w:w="2448"/>
          </w:tcPr>
          <w:p>
            <w:r>
              <w:rPr>
                <w:sz w:val="19"/>
              </w:rPr>
            </w:r>
            <w:r>
              <w:rPr>
                <w:sz w:val="19"/>
              </w:rPr>
              <w:t>180x TTM</w:t>
            </w:r>
          </w:p>
        </w:tc>
        <w:tc>
          <w:tcPr>
            <w:tcW w:type="dxa" w:w="1296"/>
          </w:tcPr>
          <w:p>
            <w:r>
              <w:rPr>
                <w:sz w:val="19"/>
              </w:rPr>
            </w:r>
            <w:r>
              <w:rPr>
                <w:sz w:val="19"/>
              </w:rPr>
              <w:t>—</w:t>
            </w:r>
          </w:p>
        </w:tc>
        <w:tc>
          <w:tcPr>
            <w:tcW w:type="dxa" w:w="2736"/>
          </w:tcPr>
          <w:p>
            <w:r>
              <w:rPr>
                <w:sz w:val="19"/>
              </w:rPr>
            </w:r>
            <w:r>
              <w:rPr>
                <w:sz w:val="19"/>
              </w:rPr>
              <w:t>the 'discount' anchor: a deflating meme</w:t>
            </w:r>
          </w:p>
        </w:tc>
      </w:tr>
      <w:tr>
        <w:tc>
          <w:tcPr>
            <w:tcW w:type="dxa" w:w="3312"/>
          </w:tcPr>
          <w:p>
            <w:r>
              <w:rPr>
                <w:sz w:val="19"/>
              </w:rPr>
            </w:r>
            <w:r>
              <w:rPr>
                <w:sz w:val="19"/>
              </w:rPr>
              <w:t>Hundsun 恒生电子 600570</w:t>
            </w:r>
          </w:p>
        </w:tc>
        <w:tc>
          <w:tcPr>
            <w:tcW w:type="dxa" w:w="2448"/>
          </w:tcPr>
          <w:p>
            <w:r>
              <w:rPr>
                <w:sz w:val="19"/>
              </w:rPr>
            </w:r>
            <w:r>
              <w:rPr>
                <w:sz w:val="19"/>
              </w:rPr>
              <w:t>31.3x</w:t>
            </w:r>
          </w:p>
        </w:tc>
        <w:tc>
          <w:tcPr>
            <w:tcW w:type="dxa" w:w="1296"/>
          </w:tcPr>
          <w:p>
            <w:r>
              <w:rPr>
                <w:sz w:val="19"/>
              </w:rPr>
            </w:r>
            <w:r>
              <w:rPr>
                <w:sz w:val="19"/>
              </w:rPr>
              <w:t>7.0x</w:t>
            </w:r>
          </w:p>
        </w:tc>
        <w:tc>
          <w:tcPr>
            <w:tcW w:type="dxa" w:w="2736"/>
          </w:tcPr>
          <w:p>
            <w:r>
              <w:rPr>
                <w:sz w:val="19"/>
              </w:rPr>
            </w:r>
            <w:r>
              <w:rPr>
                <w:sz w:val="19"/>
              </w:rPr>
              <w:t>the PRODUCT-grade ceiling</w:t>
            </w:r>
          </w:p>
        </w:tc>
      </w:tr>
      <w:tr>
        <w:tc>
          <w:tcPr>
            <w:tcW w:type="dxa" w:w="3312"/>
          </w:tcPr>
          <w:p>
            <w:r>
              <w:rPr>
                <w:sz w:val="19"/>
              </w:rPr>
            </w:r>
            <w:r>
              <w:rPr>
                <w:sz w:val="19"/>
              </w:rPr>
              <w:t>Temenos (global core-banking product)</w:t>
            </w:r>
          </w:p>
        </w:tc>
        <w:tc>
          <w:tcPr>
            <w:tcW w:type="dxa" w:w="2448"/>
          </w:tcPr>
          <w:p>
            <w:r>
              <w:rPr>
                <w:sz w:val="19"/>
              </w:rPr>
            </w:r>
            <w:r>
              <w:rPr>
                <w:sz w:val="19"/>
              </w:rPr>
              <w:t>29.8x (17.4x fwd)</w:t>
            </w:r>
          </w:p>
        </w:tc>
        <w:tc>
          <w:tcPr>
            <w:tcW w:type="dxa" w:w="1296"/>
          </w:tcPr>
          <w:p>
            <w:r>
              <w:rPr>
                <w:sz w:val="19"/>
              </w:rPr>
            </w:r>
            <w:r>
              <w:rPr>
                <w:sz w:val="19"/>
              </w:rPr>
              <w:t>5.3x</w:t>
            </w:r>
          </w:p>
        </w:tc>
        <w:tc>
          <w:tcPr>
            <w:tcW w:type="dxa" w:w="2736"/>
          </w:tcPr>
          <w:p>
            <w:r>
              <w:rPr>
                <w:sz w:val="19"/>
              </w:rPr>
            </w:r>
          </w:p>
        </w:tc>
      </w:tr>
      <w:tr>
        <w:tc>
          <w:tcPr>
            <w:tcW w:type="dxa" w:w="3312"/>
          </w:tcPr>
          <w:p>
            <w:r>
              <w:rPr>
                <w:sz w:val="19"/>
              </w:rPr>
            </w:r>
            <w:r>
              <w:rPr>
                <w:sz w:val="19"/>
              </w:rPr>
              <w:t>Chinasoft 354 (HK services comp)</w:t>
            </w:r>
          </w:p>
        </w:tc>
        <w:tc>
          <w:tcPr>
            <w:tcW w:type="dxa" w:w="2448"/>
          </w:tcPr>
          <w:p>
            <w:r>
              <w:rPr>
                <w:sz w:val="19"/>
              </w:rPr>
            </w:r>
            <w:r>
              <w:rPr>
                <w:sz w:val="19"/>
              </w:rPr>
              <w:t>24.0x</w:t>
            </w:r>
          </w:p>
        </w:tc>
        <w:tc>
          <w:tcPr>
            <w:tcW w:type="dxa" w:w="1296"/>
          </w:tcPr>
          <w:p>
            <w:r>
              <w:rPr>
                <w:sz w:val="19"/>
              </w:rPr>
            </w:r>
            <w:r>
              <w:rPr>
                <w:sz w:val="19"/>
              </w:rPr>
              <w:t>0.5x</w:t>
            </w:r>
          </w:p>
        </w:tc>
        <w:tc>
          <w:tcPr>
            <w:tcW w:type="dxa" w:w="2736"/>
          </w:tcPr>
          <w:p>
            <w:r>
              <w:rPr>
                <w:sz w:val="19"/>
              </w:rPr>
            </w:r>
          </w:p>
        </w:tc>
      </w:tr>
      <w:tr>
        <w:tc>
          <w:tcPr>
            <w:tcW w:type="dxa" w:w="3312"/>
          </w:tcPr>
          <w:p>
            <w:r>
              <w:rPr>
                <w:sz w:val="19"/>
              </w:rPr>
            </w:r>
            <w:r>
              <w:rPr>
                <w:sz w:val="19"/>
              </w:rPr>
              <w:t>Yusys 宇信 300674 (closest A comp)</w:t>
            </w:r>
          </w:p>
        </w:tc>
        <w:tc>
          <w:tcPr>
            <w:tcW w:type="dxa" w:w="2448"/>
          </w:tcPr>
          <w:p>
            <w:r>
              <w:rPr>
                <w:sz w:val="19"/>
              </w:rPr>
            </w:r>
            <w:r>
              <w:rPr>
                <w:sz w:val="19"/>
              </w:rPr>
              <w:t>22.7x</w:t>
            </w:r>
          </w:p>
        </w:tc>
        <w:tc>
          <w:tcPr>
            <w:tcW w:type="dxa" w:w="1296"/>
          </w:tcPr>
          <w:p>
            <w:r>
              <w:rPr>
                <w:sz w:val="19"/>
              </w:rPr>
            </w:r>
            <w:r>
              <w:rPr>
                <w:sz w:val="19"/>
              </w:rPr>
              <w:t>3.4x</w:t>
            </w:r>
          </w:p>
        </w:tc>
        <w:tc>
          <w:tcPr>
            <w:tcW w:type="dxa" w:w="2736"/>
          </w:tcPr>
          <w:p>
            <w:r>
              <w:rPr>
                <w:sz w:val="19"/>
              </w:rPr>
            </w:r>
            <w:r>
              <w:rPr>
                <w:sz w:val="19"/>
              </w:rPr>
              <w:t>profitable</w:t>
            </w:r>
          </w:p>
        </w:tc>
      </w:tr>
      <w:tr>
        <w:tc>
          <w:tcPr>
            <w:tcW w:type="dxa" w:w="3312"/>
          </w:tcPr>
          <w:p>
            <w:r>
              <w:rPr>
                <w:sz w:val="19"/>
              </w:rPr>
            </w:r>
            <w:r>
              <w:rPr>
                <w:sz w:val="19"/>
              </w:rPr>
              <w:t>TCS</w:t>
            </w:r>
          </w:p>
        </w:tc>
        <w:tc>
          <w:tcPr>
            <w:tcW w:type="dxa" w:w="2448"/>
          </w:tcPr>
          <w:p>
            <w:r>
              <w:rPr>
                <w:sz w:val="19"/>
              </w:rPr>
            </w:r>
            <w:r>
              <w:rPr>
                <w:sz w:val="19"/>
              </w:rPr>
              <w:t>16.0x (14.2x fwd)</w:t>
            </w:r>
          </w:p>
        </w:tc>
        <w:tc>
          <w:tcPr>
            <w:tcW w:type="dxa" w:w="1296"/>
          </w:tcPr>
          <w:p>
            <w:r>
              <w:rPr>
                <w:sz w:val="19"/>
              </w:rPr>
            </w:r>
            <w:r>
              <w:rPr>
                <w:sz w:val="19"/>
              </w:rPr>
              <w:t>2.9x</w:t>
            </w:r>
          </w:p>
        </w:tc>
        <w:tc>
          <w:tcPr>
            <w:tcW w:type="dxa" w:w="2736"/>
          </w:tcPr>
          <w:p>
            <w:r>
              <w:rPr>
                <w:sz w:val="19"/>
              </w:rPr>
            </w:r>
            <w:r>
              <w:rPr>
                <w:sz w:val="19"/>
              </w:rPr>
              <w:t>world-class services</w:t>
            </w:r>
          </w:p>
        </w:tc>
      </w:tr>
      <w:tr>
        <w:tc>
          <w:tcPr>
            <w:tcW w:type="dxa" w:w="3312"/>
          </w:tcPr>
          <w:p>
            <w:r>
              <w:rPr>
                <w:sz w:val="19"/>
              </w:rPr>
            </w:r>
            <w:r>
              <w:rPr>
                <w:sz w:val="19"/>
              </w:rPr>
              <w:t>Infosys</w:t>
            </w:r>
          </w:p>
        </w:tc>
        <w:tc>
          <w:tcPr>
            <w:tcW w:type="dxa" w:w="2448"/>
          </w:tcPr>
          <w:p>
            <w:r>
              <w:rPr>
                <w:sz w:val="19"/>
              </w:rPr>
            </w:r>
            <w:r>
              <w:rPr>
                <w:sz w:val="19"/>
              </w:rPr>
              <w:t>13.2x</w:t>
            </w:r>
          </w:p>
        </w:tc>
        <w:tc>
          <w:tcPr>
            <w:tcW w:type="dxa" w:w="1296"/>
          </w:tcPr>
          <w:p>
            <w:r>
              <w:rPr>
                <w:sz w:val="19"/>
              </w:rPr>
            </w:r>
            <w:r>
              <w:rPr>
                <w:sz w:val="19"/>
              </w:rPr>
              <w:t>2.2x</w:t>
            </w:r>
          </w:p>
        </w:tc>
        <w:tc>
          <w:tcPr>
            <w:tcW w:type="dxa" w:w="2736"/>
          </w:tcPr>
          <w:p>
            <w:r>
              <w:rPr>
                <w:sz w:val="19"/>
              </w:rPr>
            </w:r>
          </w:p>
        </w:tc>
      </w:tr>
      <w:tr>
        <w:tc>
          <w:tcPr>
            <w:tcW w:type="dxa" w:w="3312"/>
          </w:tcPr>
          <w:p>
            <w:r>
              <w:rPr>
                <w:sz w:val="19"/>
              </w:rPr>
            </w:r>
            <w:r>
              <w:rPr>
                <w:sz w:val="19"/>
              </w:rPr>
              <w:t>长亮 300348 / 神州信息 000555</w:t>
            </w:r>
          </w:p>
        </w:tc>
        <w:tc>
          <w:tcPr>
            <w:tcW w:type="dxa" w:w="2448"/>
          </w:tcPr>
          <w:p>
            <w:r>
              <w:rPr>
                <w:sz w:val="19"/>
              </w:rPr>
            </w:r>
            <w:r>
              <w:rPr>
                <w:sz w:val="19"/>
              </w:rPr>
              <w:t>TTM losses</w:t>
            </w:r>
          </w:p>
        </w:tc>
        <w:tc>
          <w:tcPr>
            <w:tcW w:type="dxa" w:w="1296"/>
          </w:tcPr>
          <w:p>
            <w:r>
              <w:rPr>
                <w:sz w:val="19"/>
              </w:rPr>
            </w:r>
            <w:r>
              <w:rPr>
                <w:sz w:val="19"/>
              </w:rPr>
              <w:t>0.8–3.7x</w:t>
            </w:r>
          </w:p>
        </w:tc>
        <w:tc>
          <w:tcPr>
            <w:tcW w:type="dxa" w:w="2736"/>
          </w:tcPr>
          <w:p>
            <w:r>
              <w:rPr>
                <w:sz w:val="19"/>
              </w:rPr>
            </w:r>
            <w:r>
              <w:rPr>
                <w:sz w:val="19"/>
              </w:rPr>
              <w:t>the sector message</w:t>
            </w:r>
          </w:p>
        </w:tc>
      </w:tr>
    </w:tbl>
    <w:p/>
    <w:p>
      <w:r>
        <w:t xml:space="preserve">The walk here is short. Services businesses — even world-class ones like TCS — get 13–24x. Product businesses with real license revenue get ~30x (Hundsun, Temenos). Forms Syntron is a services business asking </w:t>
      </w:r>
      <w:r>
        <w:rPr>
          <w:b/>
        </w:rPr>
        <w:t>well over 100x</w:t>
      </w:r>
      <w:r>
        <w:t xml:space="preserve">, on shrinking-then-margin-squeezed numbers. Put the *ceiling* multiple on it — Hundsun's 31x on TTM profit of RMB 67m — and you get ~RMB 2.1bn, call it </w:t>
      </w:r>
      <w:r>
        <w:rPr>
          <w:b/>
        </w:rPr>
        <w:t>HK$2.3bn against the HK$9.4bn ask: four times any defensible number.</w:t>
      </w:r>
      <w:r>
        <w:t xml:space="preserve"> The only two things holding the price up are the A-share anchor (itself −57% from peak and 180x) and the stablecoin label. Neither is cash flow.</w:t>
      </w:r>
    </w:p>
    <w:p>
      <w:pPr>
        <w:pStyle w:val="ListBullet"/>
      </w:pPr>
      <w:r>
        <w:rPr>
          <w:b/>
        </w:rPr>
        <w:t>Verdict: avoid owning it at any price near HK$16.</w:t>
      </w:r>
      <w:r>
        <w:t xml:space="preserve"> As a trade it's a different question — tiny raise, 10% float, cheap ticket, a theme label, tycoon names in the book — the classic scarcity-pop recipe, and the fixed-max structure means pricing can only surprise cheaper. If you flip it, you are trading the label and the float, knowingly. Just remember the A-share already showed you the full round trip on this exact story: 18 to 52 and back to 22. HK usually replays the mainland's meme with a lag and a discount.</w:t>
      </w:r>
    </w:p>
    <w:p>
      <w:pPr>
        <w:pStyle w:val="Heading1"/>
      </w:pPr>
      <w:r>
        <w:t>3. Transwarp 星环科技 (6727 HK) — open now, closes Tuesday</w:t>
      </w:r>
    </w:p>
    <w:p>
      <w:r>
        <w:t>Big-data / AI-infrastructure software house off the STAR board (A: 688031). Book runs 11–16 Sep, range HK$49–61, raising up to ~HK$855m at a HK$7.3–9.1bn post-money cap. Grey market 18 Sep, lists Mon 21 Sep. Entry HK$6,162 a lot. Guotai Haitong sponsoring. Cornerstones are token — HK$74m, about 9% of the deal: Inspur (nice strategic optics, small cheque) and a Luoyang state fund. Margin book ~10x into day two — covered, no heat.</w:t>
      </w:r>
    </w:p>
    <w:p>
      <w:pPr>
        <w:pStyle w:val="Heading2"/>
      </w:pPr>
      <w:r>
        <w:t>What you need to know</w:t>
      </w:r>
    </w:p>
    <w:p>
      <w:pPr>
        <w:pStyle w:val="ListBullet"/>
      </w:pPr>
      <w:r>
        <w:t>The tech is real. First Chinese vendor in Gartner's data-management Magic Quadrant, TPC-audited database, genuine Oracle/IBM replacement work in banks and government — a proper 信创 franchise. Frost &amp; Sullivan ranks it #5 in China AI-infra software at 2.7% share, #1 among independents. Read that ranking carefully though: it means champion of whatever Huawei, Alibaba and Tencent clouds leave behind.</w:t>
      </w:r>
    </w:p>
    <w:p>
      <w:pPr>
        <w:pStyle w:val="ListBullet"/>
      </w:pPr>
      <w:r>
        <w:t xml:space="preserve">Now the numbers. Revenue went 491m → 372m → 448m — </w:t>
      </w:r>
      <w:r>
        <w:rPr>
          <w:b/>
        </w:rPr>
        <w:t>2025 is still below 2023</w:t>
      </w:r>
      <w:r>
        <w:t>, because a government-budget air pocket took a quarter of revenue away in one year. Gross margin ~53%, which is services-grade, not software-grade (Snowflake runs 67%, Mongo 73%, Palantir 85%). Losses of 289m / 344m / 245m against that revenue base. H1 this year: +14%, loss narrowing. Better, not fixed.</w:t>
      </w:r>
    </w:p>
    <w:p>
      <w:pPr>
        <w:pStyle w:val="ListBullet"/>
      </w:pPr>
      <w:r>
        <w:t xml:space="preserve">Why list now? Cash. Operating cash flow burned ~RMB 800m over three years and the pile is down from ~1.08bn at end-2024 to </w:t>
      </w:r>
      <w:r>
        <w:rPr>
          <w:b/>
        </w:rPr>
        <w:t>246m at June — roughly one year of runway</w:t>
      </w:r>
      <w:r>
        <w:t xml:space="preserve">. This raise is working capital dressed as internationalisation. And note the 'AI' in the name: 81% of revenue sits in one line called 'AI &amp; big-data infrastructure' with </w:t>
      </w:r>
      <w:r>
        <w:rPr>
          <w:b/>
        </w:rPr>
        <w:t>no disclosed LLM revenue at all</w:t>
      </w:r>
      <w:r>
        <w:t>. The AI story is labelling, so far.</w:t>
      </w:r>
    </w:p>
    <w:p>
      <w:pPr>
        <w:pStyle w:val="ListBullet"/>
      </w:pPr>
      <w:r>
        <w:t>From the March press digs, worth knowing before the roadshow tells you otherwise: the largest 2025 customer is a Xi'an municipal SOE incorporated in 2024; one Shanghai firm shows up as both a top supplier and a ~89%-margin customer; and credit impairments jumped +231% last year. None of it fatal, all of it the texture of gov/SOE software in a tight fiscal year.</w:t>
      </w:r>
    </w:p>
    <w:p>
      <w:pPr>
        <w:pStyle w:val="Heading2"/>
      </w:pPr>
      <w:r>
        <w:t>Valuation — foreign and local shelves together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3456"/>
          </w:tcPr>
          <w:p>
            <w:r/>
            <w:r>
              <w:rPr>
                <w:b/>
                <w:sz w:val="19"/>
              </w:rPr>
            </w:r>
          </w:p>
        </w:tc>
        <w:tc>
          <w:tcPr>
            <w:tcW w:type="dxa" w:w="2016"/>
          </w:tcPr>
          <w:p>
            <w:r/>
            <w:r>
              <w:rPr>
                <w:b/>
                <w:sz w:val="19"/>
              </w:rPr>
              <w:t>P/S</w:t>
            </w:r>
          </w:p>
        </w:tc>
        <w:tc>
          <w:tcPr>
            <w:tcW w:type="dxa" w:w="1296"/>
          </w:tcPr>
          <w:p>
            <w:r/>
            <w:r>
              <w:rPr>
                <w:b/>
                <w:sz w:val="19"/>
              </w:rPr>
              <w:t>P/E</w:t>
            </w:r>
          </w:p>
        </w:tc>
        <w:tc>
          <w:tcPr>
            <w:tcW w:type="dxa" w:w="1728"/>
          </w:tcPr>
          <w:p>
            <w:r/>
            <w:r>
              <w:rPr>
                <w:b/>
                <w:sz w:val="19"/>
              </w:rPr>
              <w:t>Growth</w:t>
            </w:r>
          </w:p>
        </w:tc>
        <w:tc>
          <w:tcPr>
            <w:tcW w:type="dxa" w:w="2304"/>
          </w:tcPr>
          <w:p>
            <w:r/>
            <w:r>
              <w:rPr>
                <w:b/>
                <w:sz w:val="19"/>
              </w:rPr>
              <w:t>Margin note</w:t>
            </w:r>
          </w:p>
        </w:tc>
      </w:tr>
      <w:tr>
        <w:tc>
          <w:tcPr>
            <w:tcW w:type="dxa" w:w="3456"/>
          </w:tcPr>
          <w:p>
            <w:r>
              <w:rPr>
                <w:sz w:val="19"/>
              </w:rPr>
            </w:r>
            <w:r>
              <w:rPr>
                <w:b/>
                <w:sz w:val="19"/>
              </w:rPr>
              <w:t>Transwarp H @ range</w:t>
            </w:r>
          </w:p>
        </w:tc>
        <w:tc>
          <w:tcPr>
            <w:tcW w:type="dxa" w:w="2016"/>
          </w:tcPr>
          <w:p>
            <w:r>
              <w:rPr>
                <w:sz w:val="19"/>
              </w:rPr>
            </w:r>
            <w:r>
              <w:rPr>
                <w:b/>
                <w:sz w:val="19"/>
              </w:rPr>
              <w:t>14.3–17.8x TTM</w:t>
            </w:r>
          </w:p>
        </w:tc>
        <w:tc>
          <w:tcPr>
            <w:tcW w:type="dxa" w:w="1296"/>
          </w:tcPr>
          <w:p>
            <w:r>
              <w:rPr>
                <w:sz w:val="19"/>
              </w:rPr>
            </w:r>
            <w:r>
              <w:rPr>
                <w:sz w:val="19"/>
              </w:rPr>
              <w:t>n/m (loss)</w:t>
            </w:r>
          </w:p>
        </w:tc>
        <w:tc>
          <w:tcPr>
            <w:tcW w:type="dxa" w:w="1728"/>
          </w:tcPr>
          <w:p>
            <w:r>
              <w:rPr>
                <w:sz w:val="19"/>
              </w:rPr>
            </w:r>
            <w:r>
              <w:rPr>
                <w:sz w:val="19"/>
              </w:rPr>
              <w:t xml:space="preserve">2023→25 CAGR </w:t>
            </w:r>
            <w:r>
              <w:rPr>
                <w:b/>
                <w:sz w:val="19"/>
              </w:rPr>
              <w:t>−4.5%</w:t>
            </w:r>
          </w:p>
        </w:tc>
        <w:tc>
          <w:tcPr>
            <w:tcW w:type="dxa" w:w="2304"/>
          </w:tcPr>
          <w:p>
            <w:r>
              <w:rPr>
                <w:sz w:val="19"/>
              </w:rPr>
            </w:r>
            <w:r>
              <w:rPr>
                <w:sz w:val="19"/>
              </w:rPr>
              <w:t>GM 53%</w:t>
            </w:r>
          </w:p>
        </w:tc>
      </w:tr>
      <w:tr>
        <w:tc>
          <w:tcPr>
            <w:tcW w:type="dxa" w:w="3456"/>
          </w:tcPr>
          <w:p>
            <w:r>
              <w:rPr>
                <w:sz w:val="19"/>
              </w:rPr>
            </w:r>
            <w:r>
              <w:rPr>
                <w:sz w:val="19"/>
              </w:rPr>
              <w:t>Transwarp A 688031</w:t>
            </w:r>
          </w:p>
        </w:tc>
        <w:tc>
          <w:tcPr>
            <w:tcW w:type="dxa" w:w="2016"/>
          </w:tcPr>
          <w:p>
            <w:r>
              <w:rPr>
                <w:sz w:val="19"/>
              </w:rPr>
            </w:r>
            <w:r>
              <w:rPr>
                <w:sz w:val="19"/>
              </w:rPr>
              <w:t>28.3x</w:t>
            </w:r>
          </w:p>
        </w:tc>
        <w:tc>
          <w:tcPr>
            <w:tcW w:type="dxa" w:w="1296"/>
          </w:tcPr>
          <w:p>
            <w:r>
              <w:rPr>
                <w:sz w:val="19"/>
              </w:rPr>
            </w:r>
            <w:r>
              <w:rPr>
                <w:sz w:val="19"/>
              </w:rPr>
              <w:t>n/m</w:t>
            </w:r>
          </w:p>
        </w:tc>
        <w:tc>
          <w:tcPr>
            <w:tcW w:type="dxa" w:w="1728"/>
          </w:tcPr>
          <w:p>
            <w:r>
              <w:rPr>
                <w:sz w:val="19"/>
              </w:rPr>
            </w:r>
            <w:r>
              <w:rPr>
                <w:sz w:val="19"/>
              </w:rPr>
              <w:t>+20.5% FY25</w:t>
            </w:r>
          </w:p>
        </w:tc>
        <w:tc>
          <w:tcPr>
            <w:tcW w:type="dxa" w:w="2304"/>
          </w:tcPr>
          <w:p>
            <w:r>
              <w:rPr>
                <w:sz w:val="19"/>
              </w:rPr>
            </w:r>
            <w:r>
              <w:rPr>
                <w:sz w:val="19"/>
              </w:rPr>
              <w:t>the 'discount' anchor — and the outlier</w:t>
            </w:r>
          </w:p>
        </w:tc>
      </w:tr>
      <w:tr>
        <w:tc>
          <w:tcPr>
            <w:tcW w:type="dxa" w:w="3456"/>
          </w:tcPr>
          <w:p>
            <w:r>
              <w:rPr>
                <w:sz w:val="19"/>
              </w:rPr>
            </w:r>
            <w:r>
              <w:rPr>
                <w:sz w:val="19"/>
              </w:rPr>
              <w:t>Palantir</w:t>
            </w:r>
          </w:p>
        </w:tc>
        <w:tc>
          <w:tcPr>
            <w:tcW w:type="dxa" w:w="2016"/>
          </w:tcPr>
          <w:p>
            <w:r>
              <w:rPr>
                <w:sz w:val="19"/>
              </w:rPr>
            </w:r>
            <w:r>
              <w:rPr>
                <w:sz w:val="19"/>
              </w:rPr>
              <w:t>65.3x (39.6x fwd)</w:t>
            </w:r>
          </w:p>
        </w:tc>
        <w:tc>
          <w:tcPr>
            <w:tcW w:type="dxa" w:w="1296"/>
          </w:tcPr>
          <w:p>
            <w:r>
              <w:rPr>
                <w:sz w:val="19"/>
              </w:rPr>
            </w:r>
            <w:r>
              <w:rPr>
                <w:sz w:val="19"/>
              </w:rPr>
              <w:t>143x</w:t>
            </w:r>
          </w:p>
        </w:tc>
        <w:tc>
          <w:tcPr>
            <w:tcW w:type="dxa" w:w="1728"/>
          </w:tcPr>
          <w:p>
            <w:r>
              <w:rPr>
                <w:sz w:val="19"/>
              </w:rPr>
            </w:r>
            <w:r>
              <w:rPr>
                <w:sz w:val="19"/>
              </w:rPr>
              <w:t>~30%</w:t>
            </w:r>
          </w:p>
        </w:tc>
        <w:tc>
          <w:tcPr>
            <w:tcW w:type="dxa" w:w="2304"/>
          </w:tcPr>
          <w:p>
            <w:r>
              <w:rPr>
                <w:sz w:val="19"/>
              </w:rPr>
            </w:r>
            <w:r>
              <w:rPr>
                <w:sz w:val="19"/>
              </w:rPr>
              <w:t>GM 85%</w:t>
            </w:r>
          </w:p>
        </w:tc>
      </w:tr>
      <w:tr>
        <w:tc>
          <w:tcPr>
            <w:tcW w:type="dxa" w:w="3456"/>
          </w:tcPr>
          <w:p>
            <w:r>
              <w:rPr>
                <w:sz w:val="19"/>
              </w:rPr>
            </w:r>
            <w:r>
              <w:rPr>
                <w:sz w:val="19"/>
              </w:rPr>
              <w:t>Snowflake</w:t>
            </w:r>
          </w:p>
        </w:tc>
        <w:tc>
          <w:tcPr>
            <w:tcW w:type="dxa" w:w="2016"/>
          </w:tcPr>
          <w:p>
            <w:r>
              <w:rPr>
                <w:sz w:val="19"/>
              </w:rPr>
            </w:r>
            <w:r>
              <w:rPr>
                <w:sz w:val="19"/>
              </w:rPr>
              <w:t>21.3x (16.2x fwd)</w:t>
            </w:r>
          </w:p>
        </w:tc>
        <w:tc>
          <w:tcPr>
            <w:tcW w:type="dxa" w:w="1296"/>
          </w:tcPr>
          <w:p>
            <w:r>
              <w:rPr>
                <w:sz w:val="19"/>
              </w:rPr>
            </w:r>
            <w:r>
              <w:rPr>
                <w:sz w:val="19"/>
              </w:rPr>
              <w:t>n/m</w:t>
            </w:r>
          </w:p>
        </w:tc>
        <w:tc>
          <w:tcPr>
            <w:tcW w:type="dxa" w:w="1728"/>
          </w:tcPr>
          <w:p>
            <w:r>
              <w:rPr>
                <w:sz w:val="19"/>
              </w:rPr>
            </w:r>
            <w:r>
              <w:rPr>
                <w:sz w:val="19"/>
              </w:rPr>
              <w:t>~30%</w:t>
            </w:r>
          </w:p>
        </w:tc>
        <w:tc>
          <w:tcPr>
            <w:tcW w:type="dxa" w:w="2304"/>
          </w:tcPr>
          <w:p>
            <w:r>
              <w:rPr>
                <w:sz w:val="19"/>
              </w:rPr>
            </w:r>
            <w:r>
              <w:rPr>
                <w:sz w:val="19"/>
              </w:rPr>
              <w:t>GM 67%</w:t>
            </w:r>
          </w:p>
        </w:tc>
      </w:tr>
      <w:tr>
        <w:tc>
          <w:tcPr>
            <w:tcW w:type="dxa" w:w="3456"/>
          </w:tcPr>
          <w:p>
            <w:r>
              <w:rPr>
                <w:sz w:val="19"/>
              </w:rPr>
            </w:r>
            <w:r>
              <w:rPr>
                <w:sz w:val="19"/>
              </w:rPr>
              <w:t>Kingsoft Office 688111</w:t>
            </w:r>
          </w:p>
        </w:tc>
        <w:tc>
          <w:tcPr>
            <w:tcW w:type="dxa" w:w="2016"/>
          </w:tcPr>
          <w:p>
            <w:r>
              <w:rPr>
                <w:sz w:val="19"/>
              </w:rPr>
            </w:r>
            <w:r>
              <w:rPr>
                <w:sz w:val="19"/>
              </w:rPr>
              <w:t>16.1x</w:t>
            </w:r>
          </w:p>
        </w:tc>
        <w:tc>
          <w:tcPr>
            <w:tcW w:type="dxa" w:w="1296"/>
          </w:tcPr>
          <w:p>
            <w:r>
              <w:rPr>
                <w:sz w:val="19"/>
              </w:rPr>
            </w:r>
            <w:r>
              <w:rPr>
                <w:sz w:val="19"/>
              </w:rPr>
              <w:t>29.5x</w:t>
            </w:r>
          </w:p>
        </w:tc>
        <w:tc>
          <w:tcPr>
            <w:tcW w:type="dxa" w:w="1728"/>
          </w:tcPr>
          <w:p>
            <w:r>
              <w:rPr>
                <w:sz w:val="19"/>
              </w:rPr>
            </w:r>
            <w:r>
              <w:rPr>
                <w:sz w:val="19"/>
              </w:rPr>
              <w:t>+23%</w:t>
            </w:r>
          </w:p>
        </w:tc>
        <w:tc>
          <w:tcPr>
            <w:tcW w:type="dxa" w:w="2304"/>
          </w:tcPr>
          <w:p>
            <w:r>
              <w:rPr>
                <w:sz w:val="19"/>
              </w:rPr>
            </w:r>
            <w:r>
              <w:rPr>
                <w:sz w:val="19"/>
              </w:rPr>
              <w:t>profitable</w:t>
            </w:r>
          </w:p>
        </w:tc>
      </w:tr>
      <w:tr>
        <w:tc>
          <w:tcPr>
            <w:tcW w:type="dxa" w:w="3456"/>
          </w:tcPr>
          <w:p>
            <w:r>
              <w:rPr>
                <w:sz w:val="19"/>
              </w:rPr>
            </w:r>
            <w:r>
              <w:rPr>
                <w:sz w:val="19"/>
              </w:rPr>
              <w:t>Dameng 达梦 688692 (direct 信创 DB comp)</w:t>
            </w:r>
          </w:p>
        </w:tc>
        <w:tc>
          <w:tcPr>
            <w:tcW w:type="dxa" w:w="2016"/>
          </w:tcPr>
          <w:p>
            <w:r>
              <w:rPr>
                <w:sz w:val="19"/>
              </w:rPr>
            </w:r>
            <w:r>
              <w:rPr>
                <w:sz w:val="19"/>
              </w:rPr>
              <w:t>15.4x</w:t>
            </w:r>
          </w:p>
        </w:tc>
        <w:tc>
          <w:tcPr>
            <w:tcW w:type="dxa" w:w="1296"/>
          </w:tcPr>
          <w:p>
            <w:r>
              <w:rPr>
                <w:sz w:val="19"/>
              </w:rPr>
            </w:r>
            <w:r>
              <w:rPr>
                <w:sz w:val="19"/>
              </w:rPr>
              <w:t>43.3x</w:t>
            </w:r>
          </w:p>
        </w:tc>
        <w:tc>
          <w:tcPr>
            <w:tcW w:type="dxa" w:w="1728"/>
          </w:tcPr>
          <w:p>
            <w:r>
              <w:rPr>
                <w:sz w:val="19"/>
              </w:rPr>
            </w:r>
            <w:r>
              <w:rPr>
                <w:sz w:val="19"/>
              </w:rPr>
              <w:t>+23%</w:t>
            </w:r>
          </w:p>
        </w:tc>
        <w:tc>
          <w:tcPr>
            <w:tcW w:type="dxa" w:w="2304"/>
          </w:tcPr>
          <w:p>
            <w:r>
              <w:rPr>
                <w:sz w:val="19"/>
              </w:rPr>
            </w:r>
            <w:r>
              <w:rPr>
                <w:sz w:val="19"/>
              </w:rPr>
              <w:t>profitable</w:t>
            </w:r>
          </w:p>
        </w:tc>
      </w:tr>
      <w:tr>
        <w:tc>
          <w:tcPr>
            <w:tcW w:type="dxa" w:w="3456"/>
          </w:tcPr>
          <w:p>
            <w:r>
              <w:rPr>
                <w:sz w:val="19"/>
              </w:rPr>
            </w:r>
            <w:r>
              <w:rPr>
                <w:sz w:val="19"/>
              </w:rPr>
              <w:t>MongoDB</w:t>
            </w:r>
          </w:p>
        </w:tc>
        <w:tc>
          <w:tcPr>
            <w:tcW w:type="dxa" w:w="2016"/>
          </w:tcPr>
          <w:p>
            <w:r>
              <w:rPr>
                <w:sz w:val="19"/>
              </w:rPr>
            </w:r>
            <w:r>
              <w:rPr>
                <w:sz w:val="19"/>
              </w:rPr>
              <w:t>10.5x</w:t>
            </w:r>
          </w:p>
        </w:tc>
        <w:tc>
          <w:tcPr>
            <w:tcW w:type="dxa" w:w="1296"/>
          </w:tcPr>
          <w:p>
            <w:r>
              <w:rPr>
                <w:sz w:val="19"/>
              </w:rPr>
            </w:r>
            <w:r>
              <w:rPr>
                <w:sz w:val="19"/>
              </w:rPr>
              <w:t>—</w:t>
            </w:r>
          </w:p>
        </w:tc>
        <w:tc>
          <w:tcPr>
            <w:tcW w:type="dxa" w:w="1728"/>
          </w:tcPr>
          <w:p>
            <w:r>
              <w:rPr>
                <w:sz w:val="19"/>
              </w:rPr>
            </w:r>
            <w:r>
              <w:rPr>
                <w:sz w:val="19"/>
              </w:rPr>
              <w:t>mid-teens</w:t>
            </w:r>
          </w:p>
        </w:tc>
        <w:tc>
          <w:tcPr>
            <w:tcW w:type="dxa" w:w="2304"/>
          </w:tcPr>
          <w:p>
            <w:r>
              <w:rPr>
                <w:sz w:val="19"/>
              </w:rPr>
            </w:r>
            <w:r>
              <w:rPr>
                <w:sz w:val="19"/>
              </w:rPr>
              <w:t>GM 73%</w:t>
            </w:r>
          </w:p>
        </w:tc>
      </w:tr>
      <w:tr>
        <w:tc>
          <w:tcPr>
            <w:tcW w:type="dxa" w:w="3456"/>
          </w:tcPr>
          <w:p>
            <w:r>
              <w:rPr>
                <w:sz w:val="19"/>
              </w:rPr>
            </w:r>
            <w:r>
              <w:rPr>
                <w:sz w:val="19"/>
              </w:rPr>
              <w:t>海量数据 603138 (closest loss-making A)</w:t>
            </w:r>
          </w:p>
        </w:tc>
        <w:tc>
          <w:tcPr>
            <w:tcW w:type="dxa" w:w="2016"/>
          </w:tcPr>
          <w:p>
            <w:r>
              <w:rPr>
                <w:sz w:val="19"/>
              </w:rPr>
            </w:r>
            <w:r>
              <w:rPr>
                <w:sz w:val="19"/>
              </w:rPr>
              <w:t>9.2x</w:t>
            </w:r>
          </w:p>
        </w:tc>
        <w:tc>
          <w:tcPr>
            <w:tcW w:type="dxa" w:w="1296"/>
          </w:tcPr>
          <w:p>
            <w:r>
              <w:rPr>
                <w:sz w:val="19"/>
              </w:rPr>
            </w:r>
            <w:r>
              <w:rPr>
                <w:sz w:val="19"/>
              </w:rPr>
              <w:t>n/m</w:t>
            </w:r>
          </w:p>
        </w:tc>
        <w:tc>
          <w:tcPr>
            <w:tcW w:type="dxa" w:w="1728"/>
          </w:tcPr>
          <w:p>
            <w:r>
              <w:rPr>
                <w:sz w:val="19"/>
              </w:rPr>
            </w:r>
            <w:r>
              <w:rPr>
                <w:sz w:val="19"/>
              </w:rPr>
              <w:t>+18%</w:t>
            </w:r>
          </w:p>
        </w:tc>
        <w:tc>
          <w:tcPr>
            <w:tcW w:type="dxa" w:w="2304"/>
          </w:tcPr>
          <w:p>
            <w:r>
              <w:rPr>
                <w:sz w:val="19"/>
              </w:rPr>
            </w:r>
          </w:p>
        </w:tc>
      </w:tr>
      <w:tr>
        <w:tc>
          <w:tcPr>
            <w:tcW w:type="dxa" w:w="3456"/>
          </w:tcPr>
          <w:p>
            <w:r>
              <w:rPr>
                <w:sz w:val="19"/>
              </w:rPr>
            </w:r>
            <w:r>
              <w:rPr>
                <w:sz w:val="19"/>
              </w:rPr>
              <w:t>SenseTime 20</w:t>
            </w:r>
          </w:p>
        </w:tc>
        <w:tc>
          <w:tcPr>
            <w:tcW w:type="dxa" w:w="2016"/>
          </w:tcPr>
          <w:p>
            <w:r>
              <w:rPr>
                <w:sz w:val="19"/>
              </w:rPr>
            </w:r>
            <w:r>
              <w:rPr>
                <w:sz w:val="19"/>
              </w:rPr>
              <w:t>8.6x</w:t>
            </w:r>
          </w:p>
        </w:tc>
        <w:tc>
          <w:tcPr>
            <w:tcW w:type="dxa" w:w="1296"/>
          </w:tcPr>
          <w:p>
            <w:r>
              <w:rPr>
                <w:sz w:val="19"/>
              </w:rPr>
            </w:r>
            <w:r>
              <w:rPr>
                <w:sz w:val="19"/>
              </w:rPr>
              <w:t>—</w:t>
            </w:r>
          </w:p>
        </w:tc>
        <w:tc>
          <w:tcPr>
            <w:tcW w:type="dxa" w:w="1728"/>
          </w:tcPr>
          <w:p>
            <w:r>
              <w:rPr>
                <w:sz w:val="19"/>
              </w:rPr>
            </w:r>
            <w:r>
              <w:rPr>
                <w:sz w:val="19"/>
              </w:rPr>
              <w:t>+27%</w:t>
            </w:r>
          </w:p>
        </w:tc>
        <w:tc>
          <w:tcPr>
            <w:tcW w:type="dxa" w:w="2304"/>
          </w:tcPr>
          <w:p>
            <w:r>
              <w:rPr>
                <w:sz w:val="19"/>
              </w:rPr>
            </w:r>
          </w:p>
        </w:tc>
      </w:tr>
      <w:tr>
        <w:tc>
          <w:tcPr>
            <w:tcW w:type="dxa" w:w="3456"/>
          </w:tcPr>
          <w:p>
            <w:r>
              <w:rPr>
                <w:sz w:val="19"/>
              </w:rPr>
            </w:r>
            <w:r>
              <w:rPr>
                <w:sz w:val="19"/>
              </w:rPr>
              <w:t>Kingdee 268</w:t>
            </w:r>
          </w:p>
        </w:tc>
        <w:tc>
          <w:tcPr>
            <w:tcW w:type="dxa" w:w="2016"/>
          </w:tcPr>
          <w:p>
            <w:r>
              <w:rPr>
                <w:sz w:val="19"/>
              </w:rPr>
            </w:r>
            <w:r>
              <w:rPr>
                <w:sz w:val="19"/>
              </w:rPr>
              <w:t>3.1x</w:t>
            </w:r>
          </w:p>
        </w:tc>
        <w:tc>
          <w:tcPr>
            <w:tcW w:type="dxa" w:w="1296"/>
          </w:tcPr>
          <w:p>
            <w:r>
              <w:rPr>
                <w:sz w:val="19"/>
              </w:rPr>
            </w:r>
            <w:r>
              <w:rPr>
                <w:sz w:val="19"/>
              </w:rPr>
              <w:t>94x (37x fwd)</w:t>
            </w:r>
          </w:p>
        </w:tc>
        <w:tc>
          <w:tcPr>
            <w:tcW w:type="dxa" w:w="1728"/>
          </w:tcPr>
          <w:p>
            <w:r>
              <w:rPr>
                <w:sz w:val="19"/>
              </w:rPr>
            </w:r>
            <w:r>
              <w:rPr>
                <w:sz w:val="19"/>
              </w:rPr>
              <w:t>+13%</w:t>
            </w:r>
          </w:p>
        </w:tc>
        <w:tc>
          <w:tcPr>
            <w:tcW w:type="dxa" w:w="2304"/>
          </w:tcPr>
          <w:p>
            <w:r>
              <w:rPr>
                <w:sz w:val="19"/>
              </w:rPr>
            </w:r>
          </w:p>
        </w:tc>
      </w:tr>
      <w:tr>
        <w:tc>
          <w:tcPr>
            <w:tcW w:type="dxa" w:w="3456"/>
          </w:tcPr>
          <w:p>
            <w:r>
              <w:rPr>
                <w:sz w:val="19"/>
              </w:rPr>
            </w:r>
            <w:r>
              <w:rPr>
                <w:b/>
                <w:sz w:val="19"/>
              </w:rPr>
              <w:t>4Paradigm 6682 (the damning HK comp)</w:t>
            </w:r>
          </w:p>
        </w:tc>
        <w:tc>
          <w:tcPr>
            <w:tcW w:type="dxa" w:w="2016"/>
          </w:tcPr>
          <w:p>
            <w:r>
              <w:rPr>
                <w:sz w:val="19"/>
              </w:rPr>
            </w:r>
            <w:r>
              <w:rPr>
                <w:b/>
                <w:sz w:val="19"/>
              </w:rPr>
              <w:t>1.5x</w:t>
            </w:r>
          </w:p>
        </w:tc>
        <w:tc>
          <w:tcPr>
            <w:tcW w:type="dxa" w:w="1296"/>
          </w:tcPr>
          <w:p>
            <w:r>
              <w:rPr>
                <w:sz w:val="19"/>
              </w:rPr>
            </w:r>
            <w:r>
              <w:rPr>
                <w:sz w:val="19"/>
              </w:rPr>
              <w:t>72x</w:t>
            </w:r>
          </w:p>
        </w:tc>
        <w:tc>
          <w:tcPr>
            <w:tcW w:type="dxa" w:w="1728"/>
          </w:tcPr>
          <w:p>
            <w:r>
              <w:rPr>
                <w:sz w:val="19"/>
              </w:rPr>
            </w:r>
            <w:r>
              <w:rPr>
                <w:b/>
                <w:sz w:val="19"/>
              </w:rPr>
              <w:t>+37%</w:t>
            </w:r>
          </w:p>
        </w:tc>
        <w:tc>
          <w:tcPr>
            <w:tcW w:type="dxa" w:w="2304"/>
          </w:tcPr>
          <w:p>
            <w:r>
              <w:rPr>
                <w:sz w:val="19"/>
              </w:rPr>
            </w:r>
            <w:r>
              <w:rPr>
                <w:sz w:val="19"/>
              </w:rPr>
              <w:t>faster growth, tenth of the multiple</w:t>
            </w:r>
          </w:p>
        </w:tc>
      </w:tr>
      <w:tr>
        <w:tc>
          <w:tcPr>
            <w:tcW w:type="dxa" w:w="3456"/>
          </w:tcPr>
          <w:p>
            <w:r>
              <w:rPr>
                <w:sz w:val="19"/>
              </w:rPr>
            </w:r>
            <w:r>
              <w:rPr>
                <w:sz w:val="19"/>
              </w:rPr>
              <w:t>Cloudera (KKR take-private, 2021)</w:t>
            </w:r>
          </w:p>
        </w:tc>
        <w:tc>
          <w:tcPr>
            <w:tcW w:type="dxa" w:w="2016"/>
          </w:tcPr>
          <w:p>
            <w:r>
              <w:rPr>
                <w:sz w:val="19"/>
              </w:rPr>
            </w:r>
            <w:r>
              <w:rPr>
                <w:sz w:val="19"/>
              </w:rPr>
              <w:t>~5–6x</w:t>
            </w:r>
          </w:p>
        </w:tc>
        <w:tc>
          <w:tcPr>
            <w:tcW w:type="dxa" w:w="1296"/>
          </w:tcPr>
          <w:p>
            <w:r>
              <w:rPr>
                <w:sz w:val="19"/>
              </w:rPr>
            </w:r>
            <w:r>
              <w:rPr>
                <w:sz w:val="19"/>
              </w:rPr>
              <w:t>—</w:t>
            </w:r>
          </w:p>
        </w:tc>
        <w:tc>
          <w:tcPr>
            <w:tcW w:type="dxa" w:w="1728"/>
          </w:tcPr>
          <w:p>
            <w:r>
              <w:rPr>
                <w:sz w:val="19"/>
              </w:rPr>
            </w:r>
            <w:r>
              <w:rPr>
                <w:sz w:val="19"/>
              </w:rPr>
              <w:t>—</w:t>
            </w:r>
          </w:p>
        </w:tc>
        <w:tc>
          <w:tcPr>
            <w:tcW w:type="dxa" w:w="2304"/>
          </w:tcPr>
          <w:p>
            <w:r>
              <w:rPr>
                <w:sz w:val="19"/>
              </w:rPr>
            </w:r>
            <w:r>
              <w:rPr>
                <w:sz w:val="19"/>
              </w:rPr>
              <w:t>what a subscale data platform fetched</w:t>
            </w:r>
          </w:p>
        </w:tc>
      </w:tr>
    </w:tbl>
    <w:p/>
    <w:p>
      <w:r>
        <w:t xml:space="preserve">Walk it through. The pitch is '52% discount to A' — but the A trades at 28x sales for a loss-maker whose revenue shrank over two years, so the A is the leg that's wrong, not the H that's cheap. At the range, the H asks Dameng and Kingsoft Office money without their profits or growth, sits in Snowflake's zip code without the 30% growth or 67% margin, and — this is the one that settles it — costs </w:t>
      </w:r>
      <w:r>
        <w:rPr>
          <w:b/>
        </w:rPr>
        <w:t>six to ten times what Hong Kong already pays for its own AI loss-makers</w:t>
      </w:r>
      <w:r>
        <w:t>. 4Paradigm grows at +37% and trades at 1.5x. SenseTime gets 8.6x. Put SenseTime's multiple on Transwarp's revenue and you get ~HK$4.4bn; put 4Paradigm-to-Cloudera multiples on it and you get HK$1.5–3bn. The ask is HK$7.3–9.1bn. Two to four times any defensible number, and HK has already voted on this exact category with tickers it prices every day.</w:t>
      </w:r>
    </w:p>
    <w:p>
      <w:pPr>
        <w:pStyle w:val="ListBullet"/>
      </w:pPr>
      <w:r>
        <w:rPr>
          <w:b/>
        </w:rPr>
        <w:t>Verdict: avoid, debut included.</w:t>
      </w:r>
      <w:r>
        <w:t xml:space="preserve"> Token cornerstones, a 10x book, an existential raise, and the AI cohort it's listing into is mid-drawdown (Zhipu −40%, MiniMax −28% over ten sessions). Best case it does an Ingenic — anchored by the A, opens flat — but Ingenic had a profit explosion arriving three days after listing; Transwarp's next print is another loss. Skip it, and only look again if it ever trades at 4Paradigm multiples.</w:t>
      </w:r>
    </w:p>
    <w:p>
      <w:pPr>
        <w:pStyle w:val="Heading1"/>
      </w:pPr>
      <w:r>
        <w:t>4. Bottom line — one pattern across all three</w:t>
      </w:r>
    </w:p>
    <w:p>
      <w:pPr>
        <w:pStyle w:val="ListBullet"/>
      </w:pPr>
      <w:r>
        <w:rPr>
          <w:b/>
        </w:rPr>
        <w:t>Ligent</w:t>
      </w:r>
      <w:r>
        <w:t xml:space="preserve"> — real business, wrong price relative to its own leader: at ~22x annualised earnings it costs more than Innolight H at 18.5x forward, for half the margin and a third of the growth. Cornerstones and a 9% float may hold the debut; pass anyway, and express HK AI-optics through Innolight H.</w:t>
      </w:r>
    </w:p>
    <w:p>
      <w:pPr>
        <w:pStyle w:val="ListBullet"/>
      </w:pPr>
      <w:r>
        <w:rPr>
          <w:b/>
        </w:rPr>
        <w:t>Forms Syntron</w:t>
      </w:r>
      <w:r>
        <w:t xml:space="preserve"> — a 36%-margin services shop at 116x+, priced off a deflating stablecoin meme. Avoid owning; if you flip the scarcity, know that's the whole trade.</w:t>
      </w:r>
    </w:p>
    <w:p>
      <w:pPr>
        <w:pStyle w:val="ListBullet"/>
      </w:pPr>
      <w:r>
        <w:rPr>
          <w:b/>
        </w:rPr>
        <w:t>Transwarp</w:t>
      </w:r>
      <w:r>
        <w:t xml:space="preserve"> — genuine 信创 tech, existential cash raise, and an ask worth two to four of any defensible valuation while 4Paradigm sits at 1.5x sales on the same exchange. Avoid, debut included.</w:t>
      </w:r>
    </w:p>
    <w:p>
      <w:pPr>
        <w:pStyle w:val="ListBullet"/>
      </w:pPr>
      <w:r>
        <w:t xml:space="preserve">The pattern: all three market a 'discount' — to an A-share at 180x earnings, to an A-share at 28x sales, to last year's private round. </w:t>
      </w:r>
      <w:r>
        <w:rPr>
          <w:b/>
        </w:rPr>
        <w:t>In every case the anchor is the inflated leg.</w:t>
      </w:r>
      <w:r>
        <w:t xml:space="preserve"> Three weeks of cohort tables in the previous note said the same thing: Hong Kong reprices theme paper to its own shelf, not to the mainland's. Price accordingly.</w:t>
      </w:r>
    </w:p>
    <w:p>
      <w:pPr>
        <w:pStyle w:val="Heading2"/>
      </w:pPr>
      <w:r>
        <w:t>Dates</w:t>
      </w:r>
    </w:p>
    <w:p>
      <w:pPr>
        <w:pStyle w:val="ListBullet"/>
      </w:pPr>
      <w:r>
        <w:t>16 Sep — Transwarp closes · 17 Sep — Ligent and Forms Syntron close · 18 Sep — Transwarp grey market · 21 Sep — Transwarp lists; Ligent + Forms Syntron grey market · 22 Sep — Ligent and Forms Syntron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