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11111"/>
          <w:sz w:val="40"/>
        </w:rPr>
        <w:t>The A/H Premium: What Actually Drives It</w:t>
      </w:r>
    </w:p>
    <w:p>
      <w:r>
        <w:rPr>
          <w:color w:val="5B5B57"/>
          <w:sz w:val="22"/>
        </w:rPr>
        <w:t>Evidence from 61 A+H pairs in the Hong Kong IPO book (2021–2026), benchmarked against the 202-pair market universe</w:t>
      </w:r>
    </w:p>
    <w:p>
      <w:r>
        <w:rPr>
          <w:color w:val="5B5B57"/>
          <w:sz w:val="18"/>
        </w:rPr>
        <w:t>Delta One / ECM · HK IPO Database v24 · prepared 26 August 2026</w:t>
      </w:r>
    </w:p>
    <w:p>
      <w:pPr>
        <w:spacing w:before="260" w:after="80"/>
      </w:pPr>
      <w:r>
        <w:rPr>
          <w:b/>
          <w:color w:val="111111"/>
          <w:sz w:val="26"/>
        </w:rPr>
        <w:t>The one-paragraph version</w:t>
      </w:r>
    </w:p>
    <w:p>
      <w:r>
        <w:rPr>
          <w:i w:val="0"/>
          <w:sz w:val="21"/>
        </w:rPr>
        <w:t>Size explains the A/H premium; almost nothing else does. Across our 58 pairs the correlation between the premium and log market cap is -0.71 — mega-caps trade at a median +25% premium while mid-caps trade at +109%, and three megas trade with the A line BELOW the H. Valuation does not explain it (correlation with P/E at IPO is +0.08), and the listing board does not explain it once size is held. The mechanism is access on the H side: a large H-line enters Southbound Connect within weeks and is then bid by mainland and global money at once, while an H-line below the HK$5bn index floor may never qualify and stays thin against a retail-priced A line. Borrow does not differentiate the cross-section — A-share shorting has been effectively shut for every name since the relending channel was zeroed on 30 September 2024 — but it is why the gap never closes anywhere: with no borrow and no share fungibility, the premium is a segmentation price, not an arbitrage.</w:t>
      </w:r>
    </w:p>
    <w:p>
      <w:pPr>
        <w:spacing w:before="260" w:after="80"/>
      </w:pPr>
      <w:r>
        <w:rPr>
          <w:b/>
          <w:color w:val="111111"/>
          <w:sz w:val="26"/>
        </w:rPr>
        <w:t>What this means for the desk</w:t>
      </w:r>
    </w:p>
    <w:p>
      <w:pPr>
        <w:pStyle w:val="ListBullet"/>
      </w:pPr>
      <w:r>
        <w:rPr>
          <w:b/>
          <w:color w:val="1C56A0"/>
        </w:rPr>
        <w:t>On a mega A+H deal</w:t>
      </w:r>
      <w:r>
        <w:rPr>
          <w:b w:val="0"/>
        </w:rPr>
        <w:t>, the H typically converges toward the A as Southbound inclusion lands roughly two to four weeks after listing — the premium compresses from the H side, and that window is the tradeable event.</w:t>
      </w:r>
    </w:p>
    <w:p>
      <w:pPr>
        <w:pStyle w:val="ListBullet"/>
      </w:pPr>
      <w:r>
        <w:rPr>
          <w:b/>
          <w:color w:val="C04A1E"/>
        </w:rPr>
        <w:t>On a sub-HK$5bn H-line</w:t>
      </w:r>
      <w:r>
        <w:rPr>
          <w:b w:val="0"/>
        </w:rPr>
        <w:t>, there is no such flow catalyst. The discount you buy at IPO is broadly the discount you keep, so it must be underwritten on fundamentals, not on convergence.</w:t>
      </w:r>
    </w:p>
    <w:p>
      <w:pPr>
        <w:pStyle w:val="ListBullet"/>
      </w:pPr>
      <w:r>
        <w:rPr>
          <w:b/>
        </w:rPr>
        <w:t>Do not size a convergence trade on borrow</w:t>
      </w:r>
      <w:r>
        <w:rPr>
          <w:b w:val="0"/>
        </w:rPr>
        <w:t>. Short-A/long-H is unexecutable at any size in the current regime; the only expressible leg is the H.</w:t>
      </w:r>
    </w:p>
    <w:p>
      <w:pPr>
        <w:pStyle w:val="ListBullet"/>
      </w:pPr>
      <w:r>
        <w:rPr>
          <w:b/>
        </w:rPr>
        <w:t>Premiums have been widening, not mean-reverting</w:t>
      </w:r>
      <w:r>
        <w:rPr>
          <w:b w:val="0"/>
        </w:rPr>
        <w:t>: since their IPOs the median pair moved +7pp wider (35 of 60 widened).</w:t>
      </w:r>
    </w:p>
    <w:p>
      <w:r>
        <w:br w:type="page"/>
      </w:r>
    </w:p>
    <w:p>
      <w:pPr>
        <w:spacing w:before="260" w:after="80"/>
      </w:pPr>
      <w:r>
        <w:rPr>
          <w:b/>
          <w:color w:val="111111"/>
          <w:sz w:val="28"/>
        </w:rPr>
        <w:t>1. Size is the story — and everything else is mostly size in disguise</w:t>
      </w:r>
    </w:p>
    <w:p>
      <w:r>
        <w:rPr>
          <w:i w:val="0"/>
          <w:sz w:val="21"/>
        </w:rPr>
        <w:t>Convention throughout this note: premium = A over H, so a positive number means the A-share is the more expensive line. Market backdrop first: across the 202-pair universe the median premium is 59%, the 10th–90th percentile range is 17% to 182%, and only 5 pairs trade with A below H. An A line cheaper than its H line is rare and elite.</w:t>
      </w:r>
    </w:p>
    <w:p>
      <w:pPr>
        <w:jc w:val="center"/>
      </w:pPr>
      <w:r>
        <w:drawing>
          <wp:inline xmlns:a="http://schemas.openxmlformats.org/drawingml/2006/main" xmlns:pic="http://schemas.openxmlformats.org/drawingml/2006/picture">
            <wp:extent cx="5943600" cy="2653769"/>
            <wp:docPr id="1" name="Picture 1"/>
            <wp:cNvGraphicFramePr>
              <a:graphicFrameLocks noChangeAspect="1"/>
            </wp:cNvGraphicFramePr>
            <a:graphic>
              <a:graphicData uri="http://schemas.openxmlformats.org/drawingml/2006/picture">
                <pic:pic>
                  <pic:nvPicPr>
                    <pic:cNvPr id="0" name="ah_1_size.png"/>
                    <pic:cNvPicPr/>
                  </pic:nvPicPr>
                  <pic:blipFill>
                    <a:blip r:embed="rId9"/>
                    <a:stretch>
                      <a:fillRect/>
                    </a:stretch>
                  </pic:blipFill>
                  <pic:spPr>
                    <a:xfrm>
                      <a:off x="0" y="0"/>
                      <a:ext cx="5943600" cy="2653769"/>
                    </a:xfrm>
                    <a:prstGeom prst="rect"/>
                  </pic:spPr>
                </pic:pic>
              </a:graphicData>
            </a:graphic>
          </wp:inline>
        </w:drawing>
      </w:r>
    </w:p>
    <w:p>
      <w:pPr>
        <w:jc w:val="center"/>
      </w:pPr>
      <w:r>
        <w:rPr>
          <w:i/>
          <w:color w:val="5B5B57"/>
          <w:sz w:val="17"/>
        </w:rPr>
        <w:t>Median A-over-H premium by market cap at IPO. Our 61 pairs, priced today.</w:t>
      </w:r>
    </w:p>
    <w:tbl>
      <w:tblPr>
        <w:tblStyle w:val="LightGrid-Accent1"/>
        <w:tblW w:type="auto" w:w="0"/>
        <w:jc w:val="center"/>
        <w:tblLook w:firstColumn="1" w:firstRow="1" w:lastColumn="0" w:lastRow="0" w:noHBand="0" w:noVBand="1" w:val="04A0"/>
      </w:tblPr>
      <w:tblGrid>
        <w:gridCol w:w="3264"/>
        <w:gridCol w:w="3264"/>
        <w:gridCol w:w="3264"/>
      </w:tblGrid>
      <w:tr>
        <w:tc>
          <w:tcPr>
            <w:tcW w:type="dxa" w:w="3744"/>
          </w:tcPr>
          <w:p>
            <w:r/>
            <w:r>
              <w:rPr>
                <w:b/>
                <w:sz w:val="18"/>
              </w:rPr>
              <w:t>Market-cap band</w:t>
            </w:r>
          </w:p>
        </w:tc>
        <w:tc>
          <w:tcPr>
            <w:tcW w:type="dxa" w:w="1296"/>
          </w:tcPr>
          <w:p>
            <w:pPr>
              <w:jc w:val="right"/>
            </w:pPr>
            <w:r/>
            <w:r>
              <w:rPr>
                <w:b/>
                <w:sz w:val="18"/>
              </w:rPr>
              <w:t>Pairs</w:t>
            </w:r>
          </w:p>
        </w:tc>
        <w:tc>
          <w:tcPr>
            <w:tcW w:type="dxa" w:w="2304"/>
          </w:tcPr>
          <w:p>
            <w:pPr>
              <w:jc w:val="right"/>
            </w:pPr>
            <w:r/>
            <w:r>
              <w:rPr>
                <w:b/>
                <w:sz w:val="18"/>
              </w:rPr>
              <w:t>Median premium</w:t>
            </w:r>
          </w:p>
        </w:tc>
      </w:tr>
      <w:tr>
        <w:tc>
          <w:tcPr>
            <w:tcW w:type="dxa" w:w="3744"/>
          </w:tcPr>
          <w:p>
            <w:r/>
            <w:r>
              <w:rPr>
                <w:sz w:val="18"/>
              </w:rPr>
              <w:t>Mega ≥ HK$100bn</w:t>
            </w:r>
          </w:p>
        </w:tc>
        <w:tc>
          <w:tcPr>
            <w:tcW w:type="dxa" w:w="1296"/>
          </w:tcPr>
          <w:p>
            <w:pPr>
              <w:jc w:val="right"/>
            </w:pPr>
            <w:r/>
            <w:r>
              <w:rPr>
                <w:sz w:val="18"/>
              </w:rPr>
              <w:t>21</w:t>
            </w:r>
          </w:p>
        </w:tc>
        <w:tc>
          <w:tcPr>
            <w:tcW w:type="dxa" w:w="2304"/>
          </w:tcPr>
          <w:p>
            <w:pPr>
              <w:jc w:val="right"/>
            </w:pPr>
            <w:r/>
            <w:r>
              <w:rPr>
                <w:sz w:val="18"/>
              </w:rPr>
              <w:t>+25%</w:t>
            </w:r>
          </w:p>
        </w:tc>
      </w:tr>
      <w:tr>
        <w:tc>
          <w:tcPr>
            <w:tcW w:type="dxa" w:w="3744"/>
          </w:tcPr>
          <w:p>
            <w:r/>
            <w:r>
              <w:rPr>
                <w:sz w:val="18"/>
              </w:rPr>
              <w:t>Large HK$20–100bn</w:t>
            </w:r>
          </w:p>
        </w:tc>
        <w:tc>
          <w:tcPr>
            <w:tcW w:type="dxa" w:w="1296"/>
          </w:tcPr>
          <w:p>
            <w:pPr>
              <w:jc w:val="right"/>
            </w:pPr>
            <w:r/>
            <w:r>
              <w:rPr>
                <w:sz w:val="18"/>
              </w:rPr>
              <w:t>18</w:t>
            </w:r>
          </w:p>
        </w:tc>
        <w:tc>
          <w:tcPr>
            <w:tcW w:type="dxa" w:w="2304"/>
          </w:tcPr>
          <w:p>
            <w:pPr>
              <w:jc w:val="right"/>
            </w:pPr>
            <w:r/>
            <w:r>
              <w:rPr>
                <w:sz w:val="18"/>
              </w:rPr>
              <w:t>+81%</w:t>
            </w:r>
          </w:p>
        </w:tc>
      </w:tr>
      <w:tr>
        <w:tc>
          <w:tcPr>
            <w:tcW w:type="dxa" w:w="3744"/>
          </w:tcPr>
          <w:p>
            <w:r/>
            <w:r>
              <w:rPr>
                <w:sz w:val="18"/>
              </w:rPr>
              <w:t>Mid HK$5–20bn</w:t>
            </w:r>
          </w:p>
        </w:tc>
        <w:tc>
          <w:tcPr>
            <w:tcW w:type="dxa" w:w="1296"/>
          </w:tcPr>
          <w:p>
            <w:pPr>
              <w:jc w:val="right"/>
            </w:pPr>
            <w:r/>
            <w:r>
              <w:rPr>
                <w:sz w:val="18"/>
              </w:rPr>
              <w:t>17</w:t>
            </w:r>
          </w:p>
        </w:tc>
        <w:tc>
          <w:tcPr>
            <w:tcW w:type="dxa" w:w="2304"/>
          </w:tcPr>
          <w:p>
            <w:pPr>
              <w:jc w:val="right"/>
            </w:pPr>
            <w:r/>
            <w:r>
              <w:rPr>
                <w:sz w:val="18"/>
              </w:rPr>
              <w:t>+109%</w:t>
            </w:r>
          </w:p>
        </w:tc>
      </w:tr>
      <w:tr>
        <w:tc>
          <w:tcPr>
            <w:tcW w:type="dxa" w:w="3744"/>
          </w:tcPr>
          <w:p>
            <w:r/>
            <w:r>
              <w:rPr>
                <w:sz w:val="18"/>
              </w:rPr>
              <w:t>Small &lt; HK$5bn</w:t>
            </w:r>
          </w:p>
        </w:tc>
        <w:tc>
          <w:tcPr>
            <w:tcW w:type="dxa" w:w="1296"/>
          </w:tcPr>
          <w:p>
            <w:pPr>
              <w:jc w:val="right"/>
            </w:pPr>
            <w:r/>
            <w:r>
              <w:rPr>
                <w:sz w:val="18"/>
              </w:rPr>
              <w:t>2</w:t>
            </w:r>
          </w:p>
        </w:tc>
        <w:tc>
          <w:tcPr>
            <w:tcW w:type="dxa" w:w="2304"/>
          </w:tcPr>
          <w:p>
            <w:pPr>
              <w:jc w:val="right"/>
            </w:pPr>
            <w:r/>
            <w:r>
              <w:rPr>
                <w:sz w:val="18"/>
              </w:rPr>
              <w:t>+105%</w:t>
            </w:r>
          </w:p>
        </w:tc>
      </w:tr>
    </w:tbl>
    <w:p>
      <w:pPr>
        <w:spacing w:after="40"/>
      </w:pPr>
    </w:p>
    <w:p>
      <w:r>
        <w:rPr>
          <w:i w:val="0"/>
          <w:sz w:val="21"/>
        </w:rPr>
        <w:t>The relationship is monotonic and strong (correlation -0.71 against log market cap). Fitted, the premium falls roughly 45 percentage points for every tenfold increase in size.</w:t>
      </w:r>
    </w:p>
    <w:p>
      <w:pPr>
        <w:jc w:val="center"/>
      </w:pPr>
      <w:r>
        <w:drawing>
          <wp:inline xmlns:a="http://schemas.openxmlformats.org/drawingml/2006/main" xmlns:pic="http://schemas.openxmlformats.org/drawingml/2006/picture">
            <wp:extent cx="5943600" cy="3432152"/>
            <wp:docPr id="2" name="Picture 2"/>
            <wp:cNvGraphicFramePr>
              <a:graphicFrameLocks noChangeAspect="1"/>
            </wp:cNvGraphicFramePr>
            <a:graphic>
              <a:graphicData uri="http://schemas.openxmlformats.org/drawingml/2006/picture">
                <pic:pic>
                  <pic:nvPicPr>
                    <pic:cNvPr id="0" name="ah_2_scatter.png"/>
                    <pic:cNvPicPr/>
                  </pic:nvPicPr>
                  <pic:blipFill>
                    <a:blip r:embed="rId10"/>
                    <a:stretch>
                      <a:fillRect/>
                    </a:stretch>
                  </pic:blipFill>
                  <pic:spPr>
                    <a:xfrm>
                      <a:off x="0" y="0"/>
                      <a:ext cx="5943600" cy="3432152"/>
                    </a:xfrm>
                    <a:prstGeom prst="rect"/>
                  </pic:spPr>
                </pic:pic>
              </a:graphicData>
            </a:graphic>
          </wp:inline>
        </w:drawing>
      </w:r>
    </w:p>
    <w:p>
      <w:pPr>
        <w:jc w:val="center"/>
      </w:pPr>
      <w:r>
        <w:rPr>
          <w:i/>
          <w:color w:val="5B5B57"/>
          <w:sz w:val="17"/>
        </w:rPr>
        <w:t>Every pair as one dot. Blue = the A line trades below the H line.</w:t>
      </w:r>
    </w:p>
    <w:p>
      <w:r>
        <w:br w:type="page"/>
      </w:r>
    </w:p>
    <w:p>
      <w:pPr>
        <w:spacing w:before="260" w:after="80"/>
      </w:pPr>
      <w:r>
        <w:rPr>
          <w:b/>
          <w:color w:val="111111"/>
          <w:sz w:val="28"/>
        </w:rPr>
        <w:t>2. The board effect (STAR vs ChiNext vs Main) is size in disguise</w:t>
      </w:r>
    </w:p>
    <w:p>
      <w:r>
        <w:rPr>
          <w:i w:val="0"/>
          <w:sz w:val="21"/>
        </w:rPr>
        <w:t>Raw venue medians suggest a STAR/ChiNext story. They do not survive a size control: inside the mega band every venue sits in a narrow 19–38% range, and inside the mid band every venue sits at 84–141%. STAR and ChiNext read high because the companies listed there are smaller and more thematic — not because of the board itself.</w:t>
      </w:r>
    </w:p>
    <w:p>
      <w:pPr>
        <w:jc w:val="center"/>
      </w:pPr>
      <w:r>
        <w:drawing>
          <wp:inline xmlns:a="http://schemas.openxmlformats.org/drawingml/2006/main" xmlns:pic="http://schemas.openxmlformats.org/drawingml/2006/picture">
            <wp:extent cx="5943600" cy="2538326"/>
            <wp:docPr id="3" name="Picture 3"/>
            <wp:cNvGraphicFramePr>
              <a:graphicFrameLocks noChangeAspect="1"/>
            </wp:cNvGraphicFramePr>
            <a:graphic>
              <a:graphicData uri="http://schemas.openxmlformats.org/drawingml/2006/picture">
                <pic:pic>
                  <pic:nvPicPr>
                    <pic:cNvPr id="0" name="ah_3_venue.png"/>
                    <pic:cNvPicPr/>
                  </pic:nvPicPr>
                  <pic:blipFill>
                    <a:blip r:embed="rId11"/>
                    <a:stretch>
                      <a:fillRect/>
                    </a:stretch>
                  </pic:blipFill>
                  <pic:spPr>
                    <a:xfrm>
                      <a:off x="0" y="0"/>
                      <a:ext cx="5943600" cy="2538326"/>
                    </a:xfrm>
                    <a:prstGeom prst="rect"/>
                  </pic:spPr>
                </pic:pic>
              </a:graphicData>
            </a:graphic>
          </wp:inline>
        </w:drawing>
      </w:r>
    </w:p>
    <w:p>
      <w:pPr>
        <w:jc w:val="center"/>
      </w:pPr>
      <w:r>
        <w:rPr>
          <w:i/>
          <w:color w:val="5B5B57"/>
          <w:sz w:val="17"/>
        </w:rPr>
        <w:t>Grey = all sizes (the naive read). Blue/orange = the same venues within one size band.</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2160"/>
          </w:tcPr>
          <w:p>
            <w:r/>
            <w:r>
              <w:rPr>
                <w:b/>
                <w:sz w:val="18"/>
              </w:rPr>
              <w:t>A-share venue</w:t>
            </w:r>
          </w:p>
        </w:tc>
        <w:tc>
          <w:tcPr>
            <w:tcW w:type="dxa" w:w="1152"/>
          </w:tcPr>
          <w:p>
            <w:pPr>
              <w:jc w:val="right"/>
            </w:pPr>
            <w:r/>
            <w:r>
              <w:rPr>
                <w:b/>
                <w:sz w:val="18"/>
              </w:rPr>
              <w:t>Pairs</w:t>
            </w:r>
          </w:p>
        </w:tc>
        <w:tc>
          <w:tcPr>
            <w:tcW w:type="dxa" w:w="2160"/>
          </w:tcPr>
          <w:p>
            <w:pPr>
              <w:jc w:val="right"/>
            </w:pPr>
            <w:r/>
            <w:r>
              <w:rPr>
                <w:b/>
                <w:sz w:val="18"/>
              </w:rPr>
              <w:t>Median, all sizes</w:t>
            </w:r>
          </w:p>
        </w:tc>
        <w:tc>
          <w:tcPr>
            <w:tcW w:type="dxa" w:w="2016"/>
          </w:tcPr>
          <w:p>
            <w:pPr>
              <w:jc w:val="right"/>
            </w:pPr>
            <w:r/>
            <w:r>
              <w:rPr>
                <w:b/>
                <w:sz w:val="18"/>
              </w:rPr>
              <w:t>Mega only</w:t>
            </w:r>
          </w:p>
        </w:tc>
        <w:tc>
          <w:tcPr>
            <w:tcW w:type="dxa" w:w="2016"/>
          </w:tcPr>
          <w:p>
            <w:pPr>
              <w:jc w:val="right"/>
            </w:pPr>
            <w:r/>
            <w:r>
              <w:rPr>
                <w:b/>
                <w:sz w:val="18"/>
              </w:rPr>
              <w:t>Mid only</w:t>
            </w:r>
          </w:p>
        </w:tc>
      </w:tr>
      <w:tr>
        <w:tc>
          <w:tcPr>
            <w:tcW w:type="dxa" w:w="2160"/>
          </w:tcPr>
          <w:p>
            <w:r/>
            <w:r>
              <w:rPr>
                <w:sz w:val="18"/>
              </w:rPr>
              <w:t>STAR</w:t>
            </w:r>
          </w:p>
        </w:tc>
        <w:tc>
          <w:tcPr>
            <w:tcW w:type="dxa" w:w="1152"/>
          </w:tcPr>
          <w:p>
            <w:pPr>
              <w:jc w:val="right"/>
            </w:pPr>
            <w:r/>
            <w:r>
              <w:rPr>
                <w:sz w:val="18"/>
              </w:rPr>
              <w:t>10</w:t>
            </w:r>
          </w:p>
        </w:tc>
        <w:tc>
          <w:tcPr>
            <w:tcW w:type="dxa" w:w="2160"/>
          </w:tcPr>
          <w:p>
            <w:pPr>
              <w:jc w:val="right"/>
            </w:pPr>
            <w:r/>
            <w:r>
              <w:rPr>
                <w:sz w:val="18"/>
              </w:rPr>
              <w:t>+67%</w:t>
            </w:r>
          </w:p>
        </w:tc>
        <w:tc>
          <w:tcPr>
            <w:tcW w:type="dxa" w:w="2016"/>
          </w:tcPr>
          <w:p>
            <w:pPr>
              <w:jc w:val="right"/>
            </w:pPr>
            <w:r/>
            <w:r>
              <w:rPr>
                <w:sz w:val="18"/>
              </w:rPr>
              <w:t>+30% (n=2)</w:t>
            </w:r>
          </w:p>
        </w:tc>
        <w:tc>
          <w:tcPr>
            <w:tcW w:type="dxa" w:w="2016"/>
          </w:tcPr>
          <w:p>
            <w:pPr>
              <w:jc w:val="right"/>
            </w:pPr>
            <w:r/>
            <w:r>
              <w:rPr>
                <w:sz w:val="18"/>
              </w:rPr>
              <w:t>+84% (n=6)</w:t>
            </w:r>
          </w:p>
        </w:tc>
      </w:tr>
      <w:tr>
        <w:tc>
          <w:tcPr>
            <w:tcW w:type="dxa" w:w="2160"/>
          </w:tcPr>
          <w:p>
            <w:r/>
            <w:r>
              <w:rPr>
                <w:sz w:val="18"/>
              </w:rPr>
              <w:t>ChiNext</w:t>
            </w:r>
          </w:p>
        </w:tc>
        <w:tc>
          <w:tcPr>
            <w:tcW w:type="dxa" w:w="1152"/>
          </w:tcPr>
          <w:p>
            <w:pPr>
              <w:jc w:val="right"/>
            </w:pPr>
            <w:r/>
            <w:r>
              <w:rPr>
                <w:sz w:val="18"/>
              </w:rPr>
              <w:t>16</w:t>
            </w:r>
          </w:p>
        </w:tc>
        <w:tc>
          <w:tcPr>
            <w:tcW w:type="dxa" w:w="2160"/>
          </w:tcPr>
          <w:p>
            <w:pPr>
              <w:jc w:val="right"/>
            </w:pPr>
            <w:r/>
            <w:r>
              <w:rPr>
                <w:sz w:val="18"/>
              </w:rPr>
              <w:t>+57%</w:t>
            </w:r>
          </w:p>
        </w:tc>
        <w:tc>
          <w:tcPr>
            <w:tcW w:type="dxa" w:w="2016"/>
          </w:tcPr>
          <w:p>
            <w:pPr>
              <w:jc w:val="right"/>
            </w:pPr>
            <w:r/>
            <w:r>
              <w:rPr>
                <w:sz w:val="18"/>
              </w:rPr>
              <w:t>+19% (n=6)</w:t>
            </w:r>
          </w:p>
        </w:tc>
        <w:tc>
          <w:tcPr>
            <w:tcW w:type="dxa" w:w="2016"/>
          </w:tcPr>
          <w:p>
            <w:pPr>
              <w:jc w:val="right"/>
            </w:pPr>
            <w:r/>
            <w:r>
              <w:rPr>
                <w:sz w:val="18"/>
              </w:rPr>
              <w:t>+141% (n=4)</w:t>
            </w:r>
          </w:p>
        </w:tc>
      </w:tr>
      <w:tr>
        <w:tc>
          <w:tcPr>
            <w:tcW w:type="dxa" w:w="2160"/>
          </w:tcPr>
          <w:p>
            <w:r/>
            <w:r>
              <w:rPr>
                <w:sz w:val="18"/>
              </w:rPr>
              <w:t>SSE main</w:t>
            </w:r>
          </w:p>
        </w:tc>
        <w:tc>
          <w:tcPr>
            <w:tcW w:type="dxa" w:w="1152"/>
          </w:tcPr>
          <w:p>
            <w:pPr>
              <w:jc w:val="right"/>
            </w:pPr>
            <w:r/>
            <w:r>
              <w:rPr>
                <w:sz w:val="18"/>
              </w:rPr>
              <w:t>18</w:t>
            </w:r>
          </w:p>
        </w:tc>
        <w:tc>
          <w:tcPr>
            <w:tcW w:type="dxa" w:w="2160"/>
          </w:tcPr>
          <w:p>
            <w:pPr>
              <w:jc w:val="right"/>
            </w:pPr>
            <w:r/>
            <w:r>
              <w:rPr>
                <w:sz w:val="18"/>
              </w:rPr>
              <w:t>+37%</w:t>
            </w:r>
          </w:p>
        </w:tc>
        <w:tc>
          <w:tcPr>
            <w:tcW w:type="dxa" w:w="2016"/>
          </w:tcPr>
          <w:p>
            <w:pPr>
              <w:jc w:val="right"/>
            </w:pPr>
            <w:r/>
            <w:r>
              <w:rPr>
                <w:sz w:val="18"/>
              </w:rPr>
              <w:t>+22% (n=8)</w:t>
            </w:r>
          </w:p>
        </w:tc>
        <w:tc>
          <w:tcPr>
            <w:tcW w:type="dxa" w:w="2016"/>
          </w:tcPr>
          <w:p>
            <w:pPr>
              <w:jc w:val="right"/>
            </w:pPr>
            <w:r/>
            <w:r>
              <w:rPr>
                <w:sz w:val="18"/>
              </w:rPr>
              <w:t>+122% (n=2)</w:t>
            </w:r>
          </w:p>
        </w:tc>
      </w:tr>
      <w:tr>
        <w:tc>
          <w:tcPr>
            <w:tcW w:type="dxa" w:w="2160"/>
          </w:tcPr>
          <w:p>
            <w:r/>
            <w:r>
              <w:rPr>
                <w:sz w:val="18"/>
              </w:rPr>
              <w:t>SZSE main</w:t>
            </w:r>
          </w:p>
        </w:tc>
        <w:tc>
          <w:tcPr>
            <w:tcW w:type="dxa" w:w="1152"/>
          </w:tcPr>
          <w:p>
            <w:pPr>
              <w:jc w:val="right"/>
            </w:pPr>
            <w:r/>
            <w:r>
              <w:rPr>
                <w:sz w:val="18"/>
              </w:rPr>
              <w:t>17</w:t>
            </w:r>
          </w:p>
        </w:tc>
        <w:tc>
          <w:tcPr>
            <w:tcW w:type="dxa" w:w="2160"/>
          </w:tcPr>
          <w:p>
            <w:pPr>
              <w:jc w:val="right"/>
            </w:pPr>
            <w:r/>
            <w:r>
              <w:rPr>
                <w:sz w:val="18"/>
              </w:rPr>
              <w:t>+64%</w:t>
            </w:r>
          </w:p>
        </w:tc>
        <w:tc>
          <w:tcPr>
            <w:tcW w:type="dxa" w:w="2016"/>
          </w:tcPr>
          <w:p>
            <w:pPr>
              <w:jc w:val="right"/>
            </w:pPr>
            <w:r/>
            <w:r>
              <w:rPr>
                <w:sz w:val="18"/>
              </w:rPr>
              <w:t>+38% (n=5)</w:t>
            </w:r>
          </w:p>
        </w:tc>
        <w:tc>
          <w:tcPr>
            <w:tcW w:type="dxa" w:w="2016"/>
          </w:tcPr>
          <w:p>
            <w:pPr>
              <w:jc w:val="right"/>
            </w:pPr>
            <w:r/>
            <w:r>
              <w:rPr>
                <w:sz w:val="18"/>
              </w:rPr>
              <w:t>+114% (n=5)</w:t>
            </w:r>
          </w:p>
        </w:tc>
      </w:tr>
    </w:tbl>
    <w:p>
      <w:pPr>
        <w:spacing w:after="40"/>
      </w:pPr>
    </w:p>
    <w:p>
      <w:pPr>
        <w:spacing w:before="260" w:after="80"/>
      </w:pPr>
      <w:r>
        <w:rPr>
          <w:b/>
          <w:color w:val="111111"/>
          <w:sz w:val="28"/>
        </w:rPr>
        <w:t>3. Valuation does not explain the premium</w:t>
      </w:r>
    </w:p>
    <w:p>
      <w:r>
        <w:rPr>
          <w:i w:val="0"/>
          <w:sz w:val="21"/>
        </w:rPr>
        <w:t>Correlation between the premium and P/E at IPO is +0.08 on 48 pairs — effectively nothing. The intuitive story (a more defensible multiple attracts international investors, which lifts the H and closes the gap) does not hold in-sample: CATL priced around 20x and trades with A below H, while single-digit P/E banks in the wider universe still carry chunky premiums. What decides the gap is who is allowed to buy the H line and in what size — ownership and flow, not the multiple.</w:t>
      </w:r>
    </w:p>
    <w:p>
      <w:r>
        <w:br w:type="page"/>
      </w:r>
    </w:p>
    <w:p>
      <w:pPr>
        <w:spacing w:before="260" w:after="80"/>
      </w:pPr>
      <w:r>
        <w:rPr>
          <w:b/>
          <w:color w:val="111111"/>
          <w:sz w:val="28"/>
        </w:rPr>
        <w:t>4. Thematics are real, and they show up by subsector</w:t>
      </w:r>
    </w:p>
    <w:p>
      <w:r>
        <w:rPr>
          <w:i w:val="0"/>
          <w:sz w:val="21"/>
        </w:rPr>
        <w:t>Within the same sector, the premium separates by business type. Domestic-policy and theme subsectors — the ones mainland retail rewards — sit at the top; globally-priced franchises sit at the bottom.</w:t>
      </w:r>
    </w:p>
    <w:p>
      <w:pPr>
        <w:jc w:val="center"/>
      </w:pPr>
      <w:r>
        <w:drawing>
          <wp:inline xmlns:a="http://schemas.openxmlformats.org/drawingml/2006/main" xmlns:pic="http://schemas.openxmlformats.org/drawingml/2006/picture">
            <wp:extent cx="5943600" cy="2871183"/>
            <wp:docPr id="4" name="Picture 4"/>
            <wp:cNvGraphicFramePr>
              <a:graphicFrameLocks noChangeAspect="1"/>
            </wp:cNvGraphicFramePr>
            <a:graphic>
              <a:graphicData uri="http://schemas.openxmlformats.org/drawingml/2006/picture">
                <pic:pic>
                  <pic:nvPicPr>
                    <pic:cNvPr id="0" name="ah_4_subsector.png"/>
                    <pic:cNvPicPr/>
                  </pic:nvPicPr>
                  <pic:blipFill>
                    <a:blip r:embed="rId12"/>
                    <a:stretch>
                      <a:fillRect/>
                    </a:stretch>
                  </pic:blipFill>
                  <pic:spPr>
                    <a:xfrm>
                      <a:off x="0" y="0"/>
                      <a:ext cx="5943600" cy="2871183"/>
                    </a:xfrm>
                    <a:prstGeom prst="rect"/>
                  </pic:spPr>
                </pic:pic>
              </a:graphicData>
            </a:graphic>
          </wp:inline>
        </w:drawing>
      </w:r>
    </w:p>
    <w:p>
      <w:pPr>
        <w:jc w:val="center"/>
      </w:pPr>
      <w:r>
        <w:rPr>
          <w:i/>
          <w:color w:val="5B5B57"/>
          <w:sz w:val="17"/>
        </w:rPr>
        <w:t>Subsectors with at least two A+H pairs in the book.</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872"/>
          </w:tcPr>
          <w:p>
            <w:r/>
            <w:r>
              <w:rPr>
                <w:b/>
                <w:sz w:val="18"/>
              </w:rPr>
              <w:t>Sector</w:t>
            </w:r>
          </w:p>
        </w:tc>
        <w:tc>
          <w:tcPr>
            <w:tcW w:type="dxa" w:w="3888"/>
          </w:tcPr>
          <w:p>
            <w:r/>
            <w:r>
              <w:rPr>
                <w:b/>
                <w:sz w:val="18"/>
              </w:rPr>
              <w:t>Subsector</w:t>
            </w:r>
          </w:p>
        </w:tc>
        <w:tc>
          <w:tcPr>
            <w:tcW w:type="dxa" w:w="1152"/>
          </w:tcPr>
          <w:p>
            <w:pPr>
              <w:jc w:val="right"/>
            </w:pPr>
            <w:r/>
            <w:r>
              <w:rPr>
                <w:b/>
                <w:sz w:val="18"/>
              </w:rPr>
              <w:t>Pairs</w:t>
            </w:r>
          </w:p>
        </w:tc>
        <w:tc>
          <w:tcPr>
            <w:tcW w:type="dxa" w:w="2016"/>
          </w:tcPr>
          <w:p>
            <w:pPr>
              <w:jc w:val="right"/>
            </w:pPr>
            <w:r/>
            <w:r>
              <w:rPr>
                <w:b/>
                <w:sz w:val="18"/>
              </w:rPr>
              <w:t>Median premium</w:t>
            </w:r>
          </w:p>
        </w:tc>
      </w:tr>
      <w:tr>
        <w:tc>
          <w:tcPr>
            <w:tcW w:type="dxa" w:w="1872"/>
          </w:tcPr>
          <w:p>
            <w:r/>
            <w:r>
              <w:rPr>
                <w:sz w:val="18"/>
              </w:rPr>
              <w:t>Industrials</w:t>
            </w:r>
          </w:p>
        </w:tc>
        <w:tc>
          <w:tcPr>
            <w:tcW w:type="dxa" w:w="3888"/>
          </w:tcPr>
          <w:p>
            <w:r/>
            <w:r>
              <w:rPr>
                <w:sz w:val="18"/>
              </w:rPr>
              <w:t>Solar / wind supply chain</w:t>
            </w:r>
          </w:p>
        </w:tc>
        <w:tc>
          <w:tcPr>
            <w:tcW w:type="dxa" w:w="1152"/>
          </w:tcPr>
          <w:p>
            <w:pPr>
              <w:jc w:val="right"/>
            </w:pPr>
            <w:r/>
            <w:r>
              <w:rPr>
                <w:sz w:val="18"/>
              </w:rPr>
              <w:t>2</w:t>
            </w:r>
          </w:p>
        </w:tc>
        <w:tc>
          <w:tcPr>
            <w:tcW w:type="dxa" w:w="2016"/>
          </w:tcPr>
          <w:p>
            <w:pPr>
              <w:jc w:val="right"/>
            </w:pPr>
            <w:r/>
            <w:r>
              <w:rPr>
                <w:sz w:val="18"/>
              </w:rPr>
              <w:t>+117%</w:t>
            </w:r>
          </w:p>
        </w:tc>
      </w:tr>
      <w:tr>
        <w:tc>
          <w:tcPr>
            <w:tcW w:type="dxa" w:w="1872"/>
          </w:tcPr>
          <w:p>
            <w:r/>
            <w:r>
              <w:rPr>
                <w:sz w:val="18"/>
              </w:rPr>
              <w:t>Materials/Energy</w:t>
            </w:r>
          </w:p>
        </w:tc>
        <w:tc>
          <w:tcPr>
            <w:tcW w:type="dxa" w:w="3888"/>
          </w:tcPr>
          <w:p>
            <w:r/>
            <w:r>
              <w:rPr>
                <w:sz w:val="18"/>
              </w:rPr>
              <w:t>Chemicals</w:t>
            </w:r>
          </w:p>
        </w:tc>
        <w:tc>
          <w:tcPr>
            <w:tcW w:type="dxa" w:w="1152"/>
          </w:tcPr>
          <w:p>
            <w:pPr>
              <w:jc w:val="right"/>
            </w:pPr>
            <w:r/>
            <w:r>
              <w:rPr>
                <w:sz w:val="18"/>
              </w:rPr>
              <w:t>2</w:t>
            </w:r>
          </w:p>
        </w:tc>
        <w:tc>
          <w:tcPr>
            <w:tcW w:type="dxa" w:w="2016"/>
          </w:tcPr>
          <w:p>
            <w:pPr>
              <w:jc w:val="right"/>
            </w:pPr>
            <w:r/>
            <w:r>
              <w:rPr>
                <w:sz w:val="18"/>
              </w:rPr>
              <w:t>+116%</w:t>
            </w:r>
          </w:p>
        </w:tc>
      </w:tr>
      <w:tr>
        <w:tc>
          <w:tcPr>
            <w:tcW w:type="dxa" w:w="1872"/>
          </w:tcPr>
          <w:p>
            <w:r/>
            <w:r>
              <w:rPr>
                <w:sz w:val="18"/>
              </w:rPr>
              <w:t>Healthcare</w:t>
            </w:r>
          </w:p>
        </w:tc>
        <w:tc>
          <w:tcPr>
            <w:tcW w:type="dxa" w:w="3888"/>
          </w:tcPr>
          <w:p>
            <w:r/>
            <w:r>
              <w:rPr>
                <w:sz w:val="18"/>
              </w:rPr>
              <w:t>Biotech pre-revenue (18A)</w:t>
            </w:r>
          </w:p>
        </w:tc>
        <w:tc>
          <w:tcPr>
            <w:tcW w:type="dxa" w:w="1152"/>
          </w:tcPr>
          <w:p>
            <w:pPr>
              <w:jc w:val="right"/>
            </w:pPr>
            <w:r/>
            <w:r>
              <w:rPr>
                <w:sz w:val="18"/>
              </w:rPr>
              <w:t>2</w:t>
            </w:r>
          </w:p>
        </w:tc>
        <w:tc>
          <w:tcPr>
            <w:tcW w:type="dxa" w:w="2016"/>
          </w:tcPr>
          <w:p>
            <w:pPr>
              <w:jc w:val="right"/>
            </w:pPr>
            <w:r/>
            <w:r>
              <w:rPr>
                <w:sz w:val="18"/>
              </w:rPr>
              <w:t>+101%</w:t>
            </w:r>
          </w:p>
        </w:tc>
      </w:tr>
      <w:tr>
        <w:tc>
          <w:tcPr>
            <w:tcW w:type="dxa" w:w="1872"/>
          </w:tcPr>
          <w:p>
            <w:r/>
            <w:r>
              <w:rPr>
                <w:sz w:val="18"/>
              </w:rPr>
              <w:t>Healthcare</w:t>
            </w:r>
          </w:p>
        </w:tc>
        <w:tc>
          <w:tcPr>
            <w:tcW w:type="dxa" w:w="3888"/>
          </w:tcPr>
          <w:p>
            <w:r/>
            <w:r>
              <w:rPr>
                <w:sz w:val="18"/>
              </w:rPr>
              <w:t>CXO / pharma services</w:t>
            </w:r>
          </w:p>
        </w:tc>
        <w:tc>
          <w:tcPr>
            <w:tcW w:type="dxa" w:w="1152"/>
          </w:tcPr>
          <w:p>
            <w:pPr>
              <w:jc w:val="right"/>
            </w:pPr>
            <w:r/>
            <w:r>
              <w:rPr>
                <w:sz w:val="18"/>
              </w:rPr>
              <w:t>2</w:t>
            </w:r>
          </w:p>
        </w:tc>
        <w:tc>
          <w:tcPr>
            <w:tcW w:type="dxa" w:w="2016"/>
          </w:tcPr>
          <w:p>
            <w:pPr>
              <w:jc w:val="right"/>
            </w:pPr>
            <w:r/>
            <w:r>
              <w:rPr>
                <w:sz w:val="18"/>
              </w:rPr>
              <w:t>+95%</w:t>
            </w:r>
          </w:p>
        </w:tc>
      </w:tr>
      <w:tr>
        <w:tc>
          <w:tcPr>
            <w:tcW w:type="dxa" w:w="1872"/>
          </w:tcPr>
          <w:p>
            <w:r/>
            <w:r>
              <w:rPr>
                <w:sz w:val="18"/>
              </w:rPr>
              <w:t>Industrials</w:t>
            </w:r>
          </w:p>
        </w:tc>
        <w:tc>
          <w:tcPr>
            <w:tcW w:type="dxa" w:w="3888"/>
          </w:tcPr>
          <w:p>
            <w:r/>
            <w:r>
              <w:rPr>
                <w:sz w:val="18"/>
              </w:rPr>
              <w:t>Capital goods / machinery</w:t>
            </w:r>
          </w:p>
        </w:tc>
        <w:tc>
          <w:tcPr>
            <w:tcW w:type="dxa" w:w="1152"/>
          </w:tcPr>
          <w:p>
            <w:pPr>
              <w:jc w:val="right"/>
            </w:pPr>
            <w:r/>
            <w:r>
              <w:rPr>
                <w:sz w:val="18"/>
              </w:rPr>
              <w:t>6</w:t>
            </w:r>
          </w:p>
        </w:tc>
        <w:tc>
          <w:tcPr>
            <w:tcW w:type="dxa" w:w="2016"/>
          </w:tcPr>
          <w:p>
            <w:pPr>
              <w:jc w:val="right"/>
            </w:pPr>
            <w:r/>
            <w:r>
              <w:rPr>
                <w:sz w:val="18"/>
              </w:rPr>
              <w:t>+85%</w:t>
            </w:r>
          </w:p>
        </w:tc>
      </w:tr>
      <w:tr>
        <w:tc>
          <w:tcPr>
            <w:tcW w:type="dxa" w:w="1872"/>
          </w:tcPr>
          <w:p>
            <w:r/>
            <w:r>
              <w:rPr>
                <w:sz w:val="18"/>
              </w:rPr>
              <w:t>Industrials</w:t>
            </w:r>
          </w:p>
        </w:tc>
        <w:tc>
          <w:tcPr>
            <w:tcW w:type="dxa" w:w="3888"/>
          </w:tcPr>
          <w:p>
            <w:r/>
            <w:r>
              <w:rPr>
                <w:sz w:val="18"/>
              </w:rPr>
              <w:t>Batteries / energy storage</w:t>
            </w:r>
          </w:p>
        </w:tc>
        <w:tc>
          <w:tcPr>
            <w:tcW w:type="dxa" w:w="1152"/>
          </w:tcPr>
          <w:p>
            <w:pPr>
              <w:jc w:val="right"/>
            </w:pPr>
            <w:r/>
            <w:r>
              <w:rPr>
                <w:sz w:val="18"/>
              </w:rPr>
              <w:t>5</w:t>
            </w:r>
          </w:p>
        </w:tc>
        <w:tc>
          <w:tcPr>
            <w:tcW w:type="dxa" w:w="2016"/>
          </w:tcPr>
          <w:p>
            <w:pPr>
              <w:jc w:val="right"/>
            </w:pPr>
            <w:r/>
            <w:r>
              <w:rPr>
                <w:sz w:val="18"/>
              </w:rPr>
              <w:t>+85%</w:t>
            </w:r>
          </w:p>
        </w:tc>
      </w:tr>
      <w:tr>
        <w:tc>
          <w:tcPr>
            <w:tcW w:type="dxa" w:w="1872"/>
          </w:tcPr>
          <w:p>
            <w:r/>
            <w:r>
              <w:rPr>
                <w:sz w:val="18"/>
              </w:rPr>
              <w:t>Consumer</w:t>
            </w:r>
          </w:p>
        </w:tc>
        <w:tc>
          <w:tcPr>
            <w:tcW w:type="dxa" w:w="3888"/>
          </w:tcPr>
          <w:p>
            <w:r/>
            <w:r>
              <w:rPr>
                <w:sz w:val="18"/>
              </w:rPr>
              <w:t>Auto parts / supply chain</w:t>
            </w:r>
          </w:p>
        </w:tc>
        <w:tc>
          <w:tcPr>
            <w:tcW w:type="dxa" w:w="1152"/>
          </w:tcPr>
          <w:p>
            <w:pPr>
              <w:jc w:val="right"/>
            </w:pPr>
            <w:r/>
            <w:r>
              <w:rPr>
                <w:sz w:val="18"/>
              </w:rPr>
              <w:t>2</w:t>
            </w:r>
          </w:p>
        </w:tc>
        <w:tc>
          <w:tcPr>
            <w:tcW w:type="dxa" w:w="2016"/>
          </w:tcPr>
          <w:p>
            <w:pPr>
              <w:jc w:val="right"/>
            </w:pPr>
            <w:r/>
            <w:r>
              <w:rPr>
                <w:sz w:val="18"/>
              </w:rPr>
              <w:t>+68%</w:t>
            </w:r>
          </w:p>
        </w:tc>
      </w:tr>
      <w:tr>
        <w:tc>
          <w:tcPr>
            <w:tcW w:type="dxa" w:w="1872"/>
          </w:tcPr>
          <w:p>
            <w:r/>
            <w:r>
              <w:rPr>
                <w:sz w:val="18"/>
              </w:rPr>
              <w:t>Tech/AI</w:t>
            </w:r>
          </w:p>
        </w:tc>
        <w:tc>
          <w:tcPr>
            <w:tcW w:type="dxa" w:w="3888"/>
          </w:tcPr>
          <w:p>
            <w:r/>
            <w:r>
              <w:rPr>
                <w:sz w:val="18"/>
              </w:rPr>
              <w:t>AI chips &amp; semis</w:t>
            </w:r>
          </w:p>
        </w:tc>
        <w:tc>
          <w:tcPr>
            <w:tcW w:type="dxa" w:w="1152"/>
          </w:tcPr>
          <w:p>
            <w:pPr>
              <w:jc w:val="right"/>
            </w:pPr>
            <w:r/>
            <w:r>
              <w:rPr>
                <w:sz w:val="18"/>
              </w:rPr>
              <w:t>10</w:t>
            </w:r>
          </w:p>
        </w:tc>
        <w:tc>
          <w:tcPr>
            <w:tcW w:type="dxa" w:w="2016"/>
          </w:tcPr>
          <w:p>
            <w:pPr>
              <w:jc w:val="right"/>
            </w:pPr>
            <w:r/>
            <w:r>
              <w:rPr>
                <w:sz w:val="18"/>
              </w:rPr>
              <w:t>+52%</w:t>
            </w:r>
          </w:p>
        </w:tc>
      </w:tr>
      <w:tr>
        <w:tc>
          <w:tcPr>
            <w:tcW w:type="dxa" w:w="1872"/>
          </w:tcPr>
          <w:p>
            <w:r/>
            <w:r>
              <w:rPr>
                <w:sz w:val="18"/>
              </w:rPr>
              <w:t>Materials/Energy</w:t>
            </w:r>
          </w:p>
        </w:tc>
        <w:tc>
          <w:tcPr>
            <w:tcW w:type="dxa" w:w="3888"/>
          </w:tcPr>
          <w:p>
            <w:r/>
            <w:r>
              <w:rPr>
                <w:sz w:val="18"/>
              </w:rPr>
              <w:t>Mining / metals</w:t>
            </w:r>
          </w:p>
        </w:tc>
        <w:tc>
          <w:tcPr>
            <w:tcW w:type="dxa" w:w="1152"/>
          </w:tcPr>
          <w:p>
            <w:pPr>
              <w:jc w:val="right"/>
            </w:pPr>
            <w:r/>
            <w:r>
              <w:rPr>
                <w:sz w:val="18"/>
              </w:rPr>
              <w:t>2</w:t>
            </w:r>
          </w:p>
        </w:tc>
        <w:tc>
          <w:tcPr>
            <w:tcW w:type="dxa" w:w="2016"/>
          </w:tcPr>
          <w:p>
            <w:pPr>
              <w:jc w:val="right"/>
            </w:pPr>
            <w:r/>
            <w:r>
              <w:rPr>
                <w:sz w:val="18"/>
              </w:rPr>
              <w:t>+40%</w:t>
            </w:r>
          </w:p>
        </w:tc>
      </w:tr>
      <w:tr>
        <w:tc>
          <w:tcPr>
            <w:tcW w:type="dxa" w:w="1872"/>
          </w:tcPr>
          <w:p>
            <w:r/>
            <w:r>
              <w:rPr>
                <w:sz w:val="18"/>
              </w:rPr>
              <w:t>Tech/AI</w:t>
            </w:r>
          </w:p>
        </w:tc>
        <w:tc>
          <w:tcPr>
            <w:tcW w:type="dxa" w:w="3888"/>
          </w:tcPr>
          <w:p>
            <w:r/>
            <w:r>
              <w:rPr>
                <w:sz w:val="18"/>
              </w:rPr>
              <w:t>Smart hardware / consumer electronics</w:t>
            </w:r>
          </w:p>
        </w:tc>
        <w:tc>
          <w:tcPr>
            <w:tcW w:type="dxa" w:w="1152"/>
          </w:tcPr>
          <w:p>
            <w:pPr>
              <w:jc w:val="right"/>
            </w:pPr>
            <w:r/>
            <w:r>
              <w:rPr>
                <w:sz w:val="18"/>
              </w:rPr>
              <w:t>16</w:t>
            </w:r>
          </w:p>
        </w:tc>
        <w:tc>
          <w:tcPr>
            <w:tcW w:type="dxa" w:w="2016"/>
          </w:tcPr>
          <w:p>
            <w:pPr>
              <w:jc w:val="right"/>
            </w:pPr>
            <w:r/>
            <w:r>
              <w:rPr>
                <w:sz w:val="18"/>
              </w:rPr>
              <w:t>+35%</w:t>
            </w:r>
          </w:p>
        </w:tc>
      </w:tr>
      <w:tr>
        <w:tc>
          <w:tcPr>
            <w:tcW w:type="dxa" w:w="1872"/>
          </w:tcPr>
          <w:p>
            <w:r/>
            <w:r>
              <w:rPr>
                <w:sz w:val="18"/>
              </w:rPr>
              <w:t>Consumer</w:t>
            </w:r>
          </w:p>
        </w:tc>
        <w:tc>
          <w:tcPr>
            <w:tcW w:type="dxa" w:w="3888"/>
          </w:tcPr>
          <w:p>
            <w:r/>
            <w:r>
              <w:rPr>
                <w:sz w:val="18"/>
              </w:rPr>
              <w:t>Beverages / packaged food</w:t>
            </w:r>
          </w:p>
        </w:tc>
        <w:tc>
          <w:tcPr>
            <w:tcW w:type="dxa" w:w="1152"/>
          </w:tcPr>
          <w:p>
            <w:pPr>
              <w:jc w:val="right"/>
            </w:pPr>
            <w:r/>
            <w:r>
              <w:rPr>
                <w:sz w:val="18"/>
              </w:rPr>
              <w:t>4</w:t>
            </w:r>
          </w:p>
        </w:tc>
        <w:tc>
          <w:tcPr>
            <w:tcW w:type="dxa" w:w="2016"/>
          </w:tcPr>
          <w:p>
            <w:pPr>
              <w:jc w:val="right"/>
            </w:pPr>
            <w:r/>
            <w:r>
              <w:rPr>
                <w:sz w:val="18"/>
              </w:rPr>
              <w:t>+34%</w:t>
            </w:r>
          </w:p>
        </w:tc>
      </w:tr>
    </w:tbl>
    <w:p>
      <w:pPr>
        <w:spacing w:after="40"/>
      </w:pPr>
    </w:p>
    <w:p>
      <w:pPr>
        <w:spacing w:before="260" w:after="80"/>
      </w:pPr>
      <w:r>
        <w:rPr>
          <w:b/>
          <w:color w:val="111111"/>
          <w:sz w:val="28"/>
        </w:rPr>
        <w:t>5. The two tails, by name</w:t>
      </w:r>
    </w:p>
    <w:p>
      <w:pPr>
        <w:jc w:val="center"/>
      </w:pPr>
      <w:r>
        <w:drawing>
          <wp:inline xmlns:a="http://schemas.openxmlformats.org/drawingml/2006/main" xmlns:pic="http://schemas.openxmlformats.org/drawingml/2006/picture">
            <wp:extent cx="5943600" cy="2796015"/>
            <wp:docPr id="5" name="Picture 5"/>
            <wp:cNvGraphicFramePr>
              <a:graphicFrameLocks noChangeAspect="1"/>
            </wp:cNvGraphicFramePr>
            <a:graphic>
              <a:graphicData uri="http://schemas.openxmlformats.org/drawingml/2006/picture">
                <pic:pic>
                  <pic:nvPicPr>
                    <pic:cNvPr id="0" name="ah_5_tails.png"/>
                    <pic:cNvPicPr/>
                  </pic:nvPicPr>
                  <pic:blipFill>
                    <a:blip r:embed="rId13"/>
                    <a:stretch>
                      <a:fillRect/>
                    </a:stretch>
                  </pic:blipFill>
                  <pic:spPr>
                    <a:xfrm>
                      <a:off x="0" y="0"/>
                      <a:ext cx="5943600" cy="2796015"/>
                    </a:xfrm>
                    <a:prstGeom prst="rect"/>
                  </pic:spPr>
                </pic:pic>
              </a:graphicData>
            </a:graphic>
          </wp:inline>
        </w:drawing>
      </w:r>
    </w:p>
    <w:p>
      <w:pPr>
        <w:jc w:val="center"/>
      </w:pPr>
      <w:r>
        <w:rPr>
          <w:i/>
          <w:color w:val="5B5B57"/>
          <w:sz w:val="17"/>
        </w:rPr>
        <w:t>Top six and bottom six of the 61 pairs, priced today.</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Rich A lines (theme mid-caps)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HANS CNC</w:t>
            </w:r>
          </w:p>
        </w:tc>
        <w:tc>
          <w:tcPr>
            <w:tcW w:type="dxa" w:w="1008"/>
          </w:tcPr>
          <w:p>
            <w:r/>
            <w:r>
              <w:rPr>
                <w:sz w:val="18"/>
              </w:rPr>
              <w:t>3200</w:t>
            </w:r>
          </w:p>
        </w:tc>
        <w:tc>
          <w:tcPr>
            <w:tcW w:type="dxa" w:w="1584"/>
          </w:tcPr>
          <w:p>
            <w:r/>
            <w:r>
              <w:rPr>
                <w:sz w:val="18"/>
              </w:rPr>
              <w:t>ChiNext</w:t>
            </w:r>
          </w:p>
        </w:tc>
        <w:tc>
          <w:tcPr>
            <w:tcW w:type="dxa" w:w="2016"/>
          </w:tcPr>
          <w:p>
            <w:pPr>
              <w:jc w:val="right"/>
            </w:pPr>
            <w:r/>
            <w:r>
              <w:rPr>
                <w:sz w:val="18"/>
              </w:rPr>
              <w:t>HK$40bn</w:t>
            </w:r>
          </w:p>
        </w:tc>
        <w:tc>
          <w:tcPr>
            <w:tcW w:type="dxa" w:w="1440"/>
          </w:tcPr>
          <w:p>
            <w:pPr>
              <w:jc w:val="right"/>
            </w:pPr>
            <w:r/>
            <w:r>
              <w:rPr>
                <w:sz w:val="18"/>
              </w:rPr>
              <w:t>+232%</w:t>
            </w:r>
          </w:p>
        </w:tc>
      </w:tr>
      <w:tr>
        <w:tc>
          <w:tcPr>
            <w:tcW w:type="dxa" w:w="3024"/>
          </w:tcPr>
          <w:p>
            <w:r/>
            <w:r>
              <w:rPr>
                <w:sz w:val="18"/>
              </w:rPr>
              <w:t>DRINDA</w:t>
            </w:r>
          </w:p>
        </w:tc>
        <w:tc>
          <w:tcPr>
            <w:tcW w:type="dxa" w:w="1008"/>
          </w:tcPr>
          <w:p>
            <w:r/>
            <w:r>
              <w:rPr>
                <w:sz w:val="18"/>
              </w:rPr>
              <w:t>2865</w:t>
            </w:r>
          </w:p>
        </w:tc>
        <w:tc>
          <w:tcPr>
            <w:tcW w:type="dxa" w:w="1584"/>
          </w:tcPr>
          <w:p>
            <w:r/>
            <w:r>
              <w:rPr>
                <w:sz w:val="18"/>
              </w:rPr>
              <w:t>SZSE main</w:t>
            </w:r>
          </w:p>
        </w:tc>
        <w:tc>
          <w:tcPr>
            <w:tcW w:type="dxa" w:w="2016"/>
          </w:tcPr>
          <w:p>
            <w:pPr>
              <w:jc w:val="right"/>
            </w:pPr>
            <w:r/>
            <w:r>
              <w:rPr>
                <w:sz w:val="18"/>
              </w:rPr>
              <w:t>HK$6bn</w:t>
            </w:r>
          </w:p>
        </w:tc>
        <w:tc>
          <w:tcPr>
            <w:tcW w:type="dxa" w:w="1440"/>
          </w:tcPr>
          <w:p>
            <w:pPr>
              <w:jc w:val="right"/>
            </w:pPr>
            <w:r/>
            <w:r>
              <w:rPr>
                <w:sz w:val="18"/>
              </w:rPr>
              <w:t>+195%</w:t>
            </w:r>
          </w:p>
        </w:tc>
      </w:tr>
      <w:tr>
        <w:tc>
          <w:tcPr>
            <w:tcW w:type="dxa" w:w="3024"/>
          </w:tcPr>
          <w:p>
            <w:r/>
            <w:r>
              <w:rPr>
                <w:sz w:val="18"/>
              </w:rPr>
              <w:t>FIBOCOM</w:t>
            </w:r>
          </w:p>
        </w:tc>
        <w:tc>
          <w:tcPr>
            <w:tcW w:type="dxa" w:w="1008"/>
          </w:tcPr>
          <w:p>
            <w:r/>
            <w:r>
              <w:rPr>
                <w:sz w:val="18"/>
              </w:rPr>
              <w:t>0638</w:t>
            </w:r>
          </w:p>
        </w:tc>
        <w:tc>
          <w:tcPr>
            <w:tcW w:type="dxa" w:w="1584"/>
          </w:tcPr>
          <w:p>
            <w:r/>
            <w:r>
              <w:rPr>
                <w:sz w:val="18"/>
              </w:rPr>
              <w:t>ChiNext</w:t>
            </w:r>
          </w:p>
        </w:tc>
        <w:tc>
          <w:tcPr>
            <w:tcW w:type="dxa" w:w="2016"/>
          </w:tcPr>
          <w:p>
            <w:pPr>
              <w:jc w:val="right"/>
            </w:pPr>
            <w:r/>
            <w:r>
              <w:rPr>
                <w:sz w:val="18"/>
              </w:rPr>
              <w:t>HK$19bn</w:t>
            </w:r>
          </w:p>
        </w:tc>
        <w:tc>
          <w:tcPr>
            <w:tcW w:type="dxa" w:w="1440"/>
          </w:tcPr>
          <w:p>
            <w:pPr>
              <w:jc w:val="right"/>
            </w:pPr>
            <w:r/>
            <w:r>
              <w:rPr>
                <w:sz w:val="18"/>
              </w:rPr>
              <w:t>+192%</w:t>
            </w:r>
          </w:p>
        </w:tc>
      </w:tr>
      <w:tr>
        <w:tc>
          <w:tcPr>
            <w:tcW w:type="dxa" w:w="3024"/>
          </w:tcPr>
          <w:p>
            <w:r/>
            <w:r>
              <w:rPr>
                <w:sz w:val="18"/>
              </w:rPr>
              <w:t>NSING TECH</w:t>
            </w:r>
          </w:p>
        </w:tc>
        <w:tc>
          <w:tcPr>
            <w:tcW w:type="dxa" w:w="1008"/>
          </w:tcPr>
          <w:p>
            <w:r/>
            <w:r>
              <w:rPr>
                <w:sz w:val="18"/>
              </w:rPr>
              <w:t>2701</w:t>
            </w:r>
          </w:p>
        </w:tc>
        <w:tc>
          <w:tcPr>
            <w:tcW w:type="dxa" w:w="1584"/>
          </w:tcPr>
          <w:p>
            <w:r/>
            <w:r>
              <w:rPr>
                <w:sz w:val="18"/>
              </w:rPr>
              <w:t>ChiNext</w:t>
            </w:r>
          </w:p>
        </w:tc>
        <w:tc>
          <w:tcPr>
            <w:tcW w:type="dxa" w:w="2016"/>
          </w:tcPr>
          <w:p>
            <w:pPr>
              <w:jc w:val="right"/>
            </w:pPr>
            <w:r/>
            <w:r>
              <w:rPr>
                <w:sz w:val="18"/>
              </w:rPr>
              <w:t>HK$7bn</w:t>
            </w:r>
          </w:p>
        </w:tc>
        <w:tc>
          <w:tcPr>
            <w:tcW w:type="dxa" w:w="1440"/>
          </w:tcPr>
          <w:p>
            <w:pPr>
              <w:jc w:val="right"/>
            </w:pPr>
            <w:r/>
            <w:r>
              <w:rPr>
                <w:sz w:val="18"/>
              </w:rPr>
              <w:t>+164%</w:t>
            </w:r>
          </w:p>
        </w:tc>
      </w:tr>
      <w:tr>
        <w:tc>
          <w:tcPr>
            <w:tcW w:type="dxa" w:w="3024"/>
          </w:tcPr>
          <w:p>
            <w:r/>
            <w:r>
              <w:rPr>
                <w:sz w:val="18"/>
              </w:rPr>
              <w:t>MEIG</w:t>
            </w:r>
          </w:p>
        </w:tc>
        <w:tc>
          <w:tcPr>
            <w:tcW w:type="dxa" w:w="1008"/>
          </w:tcPr>
          <w:p>
            <w:r/>
            <w:r>
              <w:rPr>
                <w:sz w:val="18"/>
              </w:rPr>
              <w:t>3268</w:t>
            </w:r>
          </w:p>
        </w:tc>
        <w:tc>
          <w:tcPr>
            <w:tcW w:type="dxa" w:w="1584"/>
          </w:tcPr>
          <w:p>
            <w:r/>
            <w:r>
              <w:rPr>
                <w:sz w:val="18"/>
              </w:rPr>
              <w:t>SZSE main</w:t>
            </w:r>
          </w:p>
        </w:tc>
        <w:tc>
          <w:tcPr>
            <w:tcW w:type="dxa" w:w="2016"/>
          </w:tcPr>
          <w:p>
            <w:pPr>
              <w:jc w:val="right"/>
            </w:pPr>
            <w:r/>
            <w:r>
              <w:rPr>
                <w:sz w:val="18"/>
              </w:rPr>
              <w:t>HK$9bn</w:t>
            </w:r>
          </w:p>
        </w:tc>
        <w:tc>
          <w:tcPr>
            <w:tcW w:type="dxa" w:w="1440"/>
          </w:tcPr>
          <w:p>
            <w:pPr>
              <w:jc w:val="right"/>
            </w:pPr>
            <w:r/>
            <w:r>
              <w:rPr>
                <w:sz w:val="18"/>
              </w:rPr>
              <w:t>+152%</w:t>
            </w:r>
          </w:p>
        </w:tc>
      </w:tr>
      <w:tr>
        <w:tc>
          <w:tcPr>
            <w:tcW w:type="dxa" w:w="3024"/>
          </w:tcPr>
          <w:p>
            <w:r/>
            <w:r>
              <w:rPr>
                <w:sz w:val="18"/>
              </w:rPr>
              <w:t>BIOCYTOGEN-B</w:t>
            </w:r>
          </w:p>
        </w:tc>
        <w:tc>
          <w:tcPr>
            <w:tcW w:type="dxa" w:w="1008"/>
          </w:tcPr>
          <w:p>
            <w:r/>
            <w:r>
              <w:rPr>
                <w:sz w:val="18"/>
              </w:rPr>
              <w:t>2315</w:t>
            </w:r>
          </w:p>
        </w:tc>
        <w:tc>
          <w:tcPr>
            <w:tcW w:type="dxa" w:w="1584"/>
          </w:tcPr>
          <w:p>
            <w:r/>
            <w:r>
              <w:rPr>
                <w:sz w:val="18"/>
              </w:rPr>
              <w:t>STAR</w:t>
            </w:r>
          </w:p>
        </w:tc>
        <w:tc>
          <w:tcPr>
            <w:tcW w:type="dxa" w:w="2016"/>
          </w:tcPr>
          <w:p>
            <w:pPr>
              <w:jc w:val="right"/>
            </w:pPr>
            <w:r/>
            <w:r>
              <w:rPr>
                <w:sz w:val="18"/>
              </w:rPr>
              <w:t>HK$10bn</w:t>
            </w:r>
          </w:p>
        </w:tc>
        <w:tc>
          <w:tcPr>
            <w:tcW w:type="dxa" w:w="1440"/>
          </w:tcPr>
          <w:p>
            <w:pPr>
              <w:jc w:val="right"/>
            </w:pPr>
            <w:r/>
            <w:r>
              <w:rPr>
                <w:sz w:val="18"/>
              </w:rPr>
              <w:t>+144%</w:t>
            </w:r>
          </w:p>
        </w:tc>
      </w:tr>
    </w:tbl>
    <w:p>
      <w:pPr>
        <w:spacing w:after="40"/>
      </w:pPr>
    </w:p>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Tight / inverted (global megas)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CATL</w:t>
            </w:r>
          </w:p>
        </w:tc>
        <w:tc>
          <w:tcPr>
            <w:tcW w:type="dxa" w:w="1008"/>
          </w:tcPr>
          <w:p>
            <w:r/>
            <w:r>
              <w:rPr>
                <w:sz w:val="18"/>
              </w:rPr>
              <w:t>3750</w:t>
            </w:r>
          </w:p>
        </w:tc>
        <w:tc>
          <w:tcPr>
            <w:tcW w:type="dxa" w:w="1584"/>
          </w:tcPr>
          <w:p>
            <w:r/>
            <w:r>
              <w:rPr>
                <w:sz w:val="18"/>
              </w:rPr>
              <w:t>ChiNext</w:t>
            </w:r>
          </w:p>
        </w:tc>
        <w:tc>
          <w:tcPr>
            <w:tcW w:type="dxa" w:w="2016"/>
          </w:tcPr>
          <w:p>
            <w:pPr>
              <w:jc w:val="right"/>
            </w:pPr>
            <w:r/>
            <w:r>
              <w:rPr>
                <w:sz w:val="18"/>
              </w:rPr>
              <w:t>HK$1,193bn</w:t>
            </w:r>
          </w:p>
        </w:tc>
        <w:tc>
          <w:tcPr>
            <w:tcW w:type="dxa" w:w="1440"/>
          </w:tcPr>
          <w:p>
            <w:pPr>
              <w:jc w:val="right"/>
            </w:pPr>
            <w:r/>
            <w:r>
              <w:rPr>
                <w:sz w:val="18"/>
              </w:rPr>
              <w:t>-29%</w:t>
            </w:r>
          </w:p>
        </w:tc>
      </w:tr>
      <w:tr>
        <w:tc>
          <w:tcPr>
            <w:tcW w:type="dxa" w:w="3024"/>
          </w:tcPr>
          <w:p>
            <w:r/>
            <w:r>
              <w:rPr>
                <w:sz w:val="18"/>
              </w:rPr>
              <w:t>MONTAGE TECH</w:t>
            </w:r>
          </w:p>
        </w:tc>
        <w:tc>
          <w:tcPr>
            <w:tcW w:type="dxa" w:w="1008"/>
          </w:tcPr>
          <w:p>
            <w:r/>
            <w:r>
              <w:rPr>
                <w:sz w:val="18"/>
              </w:rPr>
              <w:t>6809</w:t>
            </w:r>
          </w:p>
        </w:tc>
        <w:tc>
          <w:tcPr>
            <w:tcW w:type="dxa" w:w="1584"/>
          </w:tcPr>
          <w:p>
            <w:r/>
            <w:r>
              <w:rPr>
                <w:sz w:val="18"/>
              </w:rPr>
              <w:t>STAR</w:t>
            </w:r>
          </w:p>
        </w:tc>
        <w:tc>
          <w:tcPr>
            <w:tcW w:type="dxa" w:w="2016"/>
          </w:tcPr>
          <w:p>
            <w:pPr>
              <w:jc w:val="right"/>
            </w:pPr>
            <w:r/>
            <w:r>
              <w:rPr>
                <w:sz w:val="18"/>
              </w:rPr>
              <w:t>HK$114bn</w:t>
            </w:r>
          </w:p>
        </w:tc>
        <w:tc>
          <w:tcPr>
            <w:tcW w:type="dxa" w:w="1440"/>
          </w:tcPr>
          <w:p>
            <w:pPr>
              <w:jc w:val="right"/>
            </w:pPr>
            <w:r/>
            <w:r>
              <w:rPr>
                <w:sz w:val="18"/>
              </w:rPr>
              <w:t>-10%</w:t>
            </w:r>
          </w:p>
        </w:tc>
      </w:tr>
      <w:tr>
        <w:tc>
          <w:tcPr>
            <w:tcW w:type="dxa" w:w="3024"/>
          </w:tcPr>
          <w:p>
            <w:r/>
            <w:r>
              <w:rPr>
                <w:sz w:val="18"/>
              </w:rPr>
              <w:t>GIGADEVICE</w:t>
            </w:r>
          </w:p>
        </w:tc>
        <w:tc>
          <w:tcPr>
            <w:tcW w:type="dxa" w:w="1008"/>
          </w:tcPr>
          <w:p>
            <w:r/>
            <w:r>
              <w:rPr>
                <w:sz w:val="18"/>
              </w:rPr>
              <w:t>3986</w:t>
            </w:r>
          </w:p>
        </w:tc>
        <w:tc>
          <w:tcPr>
            <w:tcW w:type="dxa" w:w="1584"/>
          </w:tcPr>
          <w:p>
            <w:r/>
            <w:r>
              <w:rPr>
                <w:sz w:val="18"/>
              </w:rPr>
              <w:t>SSE main</w:t>
            </w:r>
          </w:p>
        </w:tc>
        <w:tc>
          <w:tcPr>
            <w:tcW w:type="dxa" w:w="2016"/>
          </w:tcPr>
          <w:p>
            <w:pPr>
              <w:jc w:val="right"/>
            </w:pPr>
            <w:r/>
            <w:r>
              <w:rPr>
                <w:sz w:val="18"/>
              </w:rPr>
              <w:t>HK$114bn</w:t>
            </w:r>
          </w:p>
        </w:tc>
        <w:tc>
          <w:tcPr>
            <w:tcW w:type="dxa" w:w="1440"/>
          </w:tcPr>
          <w:p>
            <w:pPr>
              <w:jc w:val="right"/>
            </w:pPr>
            <w:r/>
            <w:r>
              <w:rPr>
                <w:sz w:val="18"/>
              </w:rPr>
              <w:t>-6%</w:t>
            </w:r>
          </w:p>
        </w:tc>
      </w:tr>
      <w:tr>
        <w:tc>
          <w:tcPr>
            <w:tcW w:type="dxa" w:w="3024"/>
          </w:tcPr>
          <w:p>
            <w:r/>
            <w:r>
              <w:rPr>
                <w:sz w:val="18"/>
              </w:rPr>
              <w:t>ZJ INNOLIGHT</w:t>
            </w:r>
          </w:p>
        </w:tc>
        <w:tc>
          <w:tcPr>
            <w:tcW w:type="dxa" w:w="1008"/>
          </w:tcPr>
          <w:p>
            <w:r/>
            <w:r>
              <w:rPr>
                <w:sz w:val="18"/>
              </w:rPr>
              <w:t>3308</w:t>
            </w:r>
          </w:p>
        </w:tc>
        <w:tc>
          <w:tcPr>
            <w:tcW w:type="dxa" w:w="1584"/>
          </w:tcPr>
          <w:p>
            <w:r/>
            <w:r>
              <w:rPr>
                <w:sz w:val="18"/>
              </w:rPr>
              <w:t>ChiNext</w:t>
            </w:r>
          </w:p>
        </w:tc>
        <w:tc>
          <w:tcPr>
            <w:tcW w:type="dxa" w:w="2016"/>
          </w:tcPr>
          <w:p>
            <w:pPr>
              <w:jc w:val="right"/>
            </w:pPr>
            <w:r/>
            <w:r>
              <w:rPr>
                <w:sz w:val="18"/>
              </w:rPr>
              <w:t>HK$1,577bn</w:t>
            </w:r>
          </w:p>
        </w:tc>
        <w:tc>
          <w:tcPr>
            <w:tcW w:type="dxa" w:w="1440"/>
          </w:tcPr>
          <w:p>
            <w:pPr>
              <w:jc w:val="right"/>
            </w:pPr>
            <w:r/>
            <w:r>
              <w:rPr>
                <w:sz w:val="18"/>
              </w:rPr>
              <w:t>+0%</w:t>
            </w:r>
          </w:p>
        </w:tc>
      </w:tr>
      <w:tr>
        <w:tc>
          <w:tcPr>
            <w:tcW w:type="dxa" w:w="3024"/>
          </w:tcPr>
          <w:p>
            <w:r/>
            <w:r>
              <w:rPr>
                <w:sz w:val="18"/>
              </w:rPr>
              <w:t>MIDEA GROUP</w:t>
            </w:r>
          </w:p>
        </w:tc>
        <w:tc>
          <w:tcPr>
            <w:tcW w:type="dxa" w:w="1008"/>
          </w:tcPr>
          <w:p>
            <w:r/>
            <w:r>
              <w:rPr>
                <w:sz w:val="18"/>
              </w:rPr>
              <w:t>0300</w:t>
            </w:r>
          </w:p>
        </w:tc>
        <w:tc>
          <w:tcPr>
            <w:tcW w:type="dxa" w:w="1584"/>
          </w:tcPr>
          <w:p>
            <w:r/>
            <w:r>
              <w:rPr>
                <w:sz w:val="18"/>
              </w:rPr>
              <w:t>SZSE main</w:t>
            </w:r>
          </w:p>
        </w:tc>
        <w:tc>
          <w:tcPr>
            <w:tcW w:type="dxa" w:w="2016"/>
          </w:tcPr>
          <w:p>
            <w:pPr>
              <w:jc w:val="right"/>
            </w:pPr>
            <w:r/>
            <w:r>
              <w:rPr>
                <w:sz w:val="18"/>
              </w:rPr>
              <w:t>HK$414bn</w:t>
            </w:r>
          </w:p>
        </w:tc>
        <w:tc>
          <w:tcPr>
            <w:tcW w:type="dxa" w:w="1440"/>
          </w:tcPr>
          <w:p>
            <w:pPr>
              <w:jc w:val="right"/>
            </w:pPr>
            <w:r/>
            <w:r>
              <w:rPr>
                <w:sz w:val="18"/>
              </w:rPr>
              <w:t>+2%</w:t>
            </w:r>
          </w:p>
        </w:tc>
      </w:tr>
      <w:tr>
        <w:tc>
          <w:tcPr>
            <w:tcW w:type="dxa" w:w="3024"/>
          </w:tcPr>
          <w:p>
            <w:r/>
            <w:r>
              <w:rPr>
                <w:sz w:val="18"/>
              </w:rPr>
              <w:t>LUXSHARE ICT</w:t>
            </w:r>
          </w:p>
        </w:tc>
        <w:tc>
          <w:tcPr>
            <w:tcW w:type="dxa" w:w="1008"/>
          </w:tcPr>
          <w:p>
            <w:r/>
            <w:r>
              <w:rPr>
                <w:sz w:val="18"/>
              </w:rPr>
              <w:t>2475</w:t>
            </w:r>
          </w:p>
        </w:tc>
        <w:tc>
          <w:tcPr>
            <w:tcW w:type="dxa" w:w="1584"/>
          </w:tcPr>
          <w:p>
            <w:r/>
            <w:r>
              <w:rPr>
                <w:sz w:val="18"/>
              </w:rPr>
              <w:t>SZSE main</w:t>
            </w:r>
          </w:p>
        </w:tc>
        <w:tc>
          <w:tcPr>
            <w:tcW w:type="dxa" w:w="2016"/>
          </w:tcPr>
          <w:p>
            <w:pPr>
              <w:jc w:val="right"/>
            </w:pPr>
            <w:r/>
            <w:r>
              <w:rPr>
                <w:sz w:val="18"/>
              </w:rPr>
              <w:t>—</w:t>
            </w:r>
          </w:p>
        </w:tc>
        <w:tc>
          <w:tcPr>
            <w:tcW w:type="dxa" w:w="1440"/>
          </w:tcPr>
          <w:p>
            <w:pPr>
              <w:jc w:val="right"/>
            </w:pPr>
            <w:r/>
            <w:r>
              <w:rPr>
                <w:sz w:val="18"/>
              </w:rPr>
              <w:t>+6%</w:t>
            </w:r>
          </w:p>
        </w:tc>
      </w:tr>
    </w:tbl>
    <w:p>
      <w:pPr>
        <w:spacing w:after="40"/>
      </w:pPr>
    </w:p>
    <w:p>
      <w:r>
        <w:br w:type="page"/>
      </w:r>
    </w:p>
    <w:p>
      <w:pPr>
        <w:spacing w:before="260" w:after="80"/>
      </w:pPr>
      <w:r>
        <w:rPr>
          <w:b/>
          <w:color w:val="111111"/>
          <w:sz w:val="28"/>
        </w:rPr>
        <w:t>6. Why the gap persists: borrow, Connect and fungibility</w:t>
      </w:r>
    </w:p>
    <w:p>
      <w:r>
        <w:rPr>
          <w:i w:val="0"/>
          <w:sz w:val="21"/>
        </w:rPr>
        <w:t>Three structural facts, each verified against primary sources, explain why these premiums are stable rather than arbitraged away.</w:t>
      </w:r>
    </w:p>
    <w:p>
      <w:pPr>
        <w:pStyle w:val="ListBullet"/>
      </w:pPr>
      <w:r>
        <w:rPr>
          <w:b/>
        </w:rPr>
        <w:t xml:space="preserve">A-share borrow is effectively dead — for everyone. </w:t>
      </w:r>
      <w:r>
        <w:rPr>
          <w:b w:val="0"/>
        </w:rPr>
        <w:t>The CSRC tightened securities lending from October 2023, banned lending of locked-up shares in January 2024, and suspended the securities-relending (转融券) channel entirely from 11 July 2024; the relending balance reached zero on 30 September 2024 and has not been revived. Market-wide lending is roughly RMB22bn against a RMB3.0tn margin book (about 0.7%). Every name in this study is technically margin-eligible, including the high-premium mid-caps — even CATL's lending balance peaks near RMB170m against a float above US$100bn. Borrow therefore does not explain why premiums differ; it explains why none of them can be compressed by shorting the A.</w:t>
      </w:r>
    </w:p>
    <w:p>
      <w:pPr>
        <w:pStyle w:val="ListBullet"/>
      </w:pPr>
      <w:r>
        <w:rPr>
          <w:b/>
        </w:rPr>
        <w:t xml:space="preserve">A and H shares are not fungible. </w:t>
      </w:r>
      <w:r>
        <w:rPr>
          <w:b w:val="0"/>
        </w:rPr>
        <w:t>There is no conversion mechanism between the two listed lines — standard HKEX prospectus language states they are "neither interchangeable nor fungible". Unlike an ADR against its ordinary share, no share flow can equalise the two prices. The premium is a price of market segmentation, not a mispricing with a closing mechanism.</w:t>
      </w:r>
    </w:p>
    <w:p>
      <w:pPr>
        <w:pStyle w:val="ListBullet"/>
      </w:pPr>
      <w:r>
        <w:rPr>
          <w:b/>
        </w:rPr>
        <w:t xml:space="preserve">Southbound access is the real differentiator. </w:t>
      </w:r>
      <w:r>
        <w:rPr>
          <w:b w:val="0"/>
        </w:rPr>
        <w:t>An IPO whose first-day market cap ranks in the top 10% of Hang Seng Composite constituents joins the index — and Southbound — after its 10th trading day; an A+H issuer's new H line enters once the post-IPO stabilisation window closes, roughly a month (Midea listed 17 Sep 2024 and was in Southbound by 14 Oct 2024; CATL, GigaDevice and Zhongji Innolight followed the same path). An H line below the HK$5bn threshold may never qualify. That is the fork in the road: mega H lines get mainland plus global demand, small H lines get neither.</w:t>
      </w:r>
    </w:p>
    <w:p>
      <w:pPr>
        <w:spacing w:before="260" w:after="80"/>
      </w:pPr>
      <w:r>
        <w:rPr>
          <w:b/>
          <w:color w:val="111111"/>
          <w:sz w:val="28"/>
        </w:rPr>
        <w:t>7. Sector-by-sector read</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880"/>
          </w:tcPr>
          <w:p>
            <w:r/>
            <w:r>
              <w:rPr>
                <w:b/>
                <w:sz w:val="18"/>
              </w:rPr>
              <w:t>Sector</w:t>
            </w:r>
          </w:p>
        </w:tc>
        <w:tc>
          <w:tcPr>
            <w:tcW w:type="dxa" w:w="1296"/>
          </w:tcPr>
          <w:p>
            <w:pPr>
              <w:jc w:val="right"/>
            </w:pPr>
            <w:r/>
            <w:r>
              <w:rPr>
                <w:b/>
                <w:sz w:val="18"/>
              </w:rPr>
              <w:t>Pairs</w:t>
            </w:r>
          </w:p>
        </w:tc>
        <w:tc>
          <w:tcPr>
            <w:tcW w:type="dxa" w:w="2592"/>
          </w:tcPr>
          <w:p>
            <w:pPr>
              <w:jc w:val="right"/>
            </w:pPr>
            <w:r/>
            <w:r>
              <w:rPr>
                <w:b/>
                <w:sz w:val="18"/>
              </w:rPr>
              <w:t>Median premium today</w:t>
            </w:r>
          </w:p>
        </w:tc>
        <w:tc>
          <w:tcPr>
            <w:tcW w:type="dxa" w:w="2304"/>
          </w:tcPr>
          <w:p>
            <w:pPr>
              <w:jc w:val="right"/>
            </w:pPr>
            <w:r/>
            <w:r>
              <w:rPr>
                <w:b/>
                <w:sz w:val="18"/>
              </w:rPr>
              <w:t>Median at IPO</w:t>
            </w:r>
          </w:p>
        </w:tc>
      </w:tr>
      <w:tr>
        <w:tc>
          <w:tcPr>
            <w:tcW w:type="dxa" w:w="2880"/>
          </w:tcPr>
          <w:p>
            <w:r/>
            <w:r>
              <w:rPr>
                <w:sz w:val="18"/>
              </w:rPr>
              <w:t>Financials</w:t>
            </w:r>
          </w:p>
        </w:tc>
        <w:tc>
          <w:tcPr>
            <w:tcW w:type="dxa" w:w="1296"/>
          </w:tcPr>
          <w:p>
            <w:pPr>
              <w:jc w:val="right"/>
            </w:pPr>
            <w:r/>
            <w:r>
              <w:rPr>
                <w:sz w:val="18"/>
              </w:rPr>
              <w:t>1</w:t>
            </w:r>
          </w:p>
        </w:tc>
        <w:tc>
          <w:tcPr>
            <w:tcW w:type="dxa" w:w="2592"/>
          </w:tcPr>
          <w:p>
            <w:pPr>
              <w:jc w:val="right"/>
            </w:pPr>
            <w:r/>
            <w:r>
              <w:rPr>
                <w:sz w:val="18"/>
              </w:rPr>
              <w:t>+104%</w:t>
            </w:r>
          </w:p>
        </w:tc>
        <w:tc>
          <w:tcPr>
            <w:tcW w:type="dxa" w:w="2304"/>
          </w:tcPr>
          <w:p>
            <w:pPr>
              <w:jc w:val="right"/>
            </w:pPr>
            <w:r/>
            <w:r>
              <w:rPr>
                <w:sz w:val="18"/>
              </w:rPr>
              <w:t>+77%</w:t>
            </w:r>
          </w:p>
        </w:tc>
      </w:tr>
      <w:tr>
        <w:tc>
          <w:tcPr>
            <w:tcW w:type="dxa" w:w="2880"/>
          </w:tcPr>
          <w:p>
            <w:r/>
            <w:r>
              <w:rPr>
                <w:sz w:val="18"/>
              </w:rPr>
              <w:t>Industrials</w:t>
            </w:r>
          </w:p>
        </w:tc>
        <w:tc>
          <w:tcPr>
            <w:tcW w:type="dxa" w:w="1296"/>
          </w:tcPr>
          <w:p>
            <w:pPr>
              <w:jc w:val="right"/>
            </w:pPr>
            <w:r/>
            <w:r>
              <w:rPr>
                <w:sz w:val="18"/>
              </w:rPr>
              <w:t>14</w:t>
            </w:r>
          </w:p>
        </w:tc>
        <w:tc>
          <w:tcPr>
            <w:tcW w:type="dxa" w:w="2592"/>
          </w:tcPr>
          <w:p>
            <w:pPr>
              <w:jc w:val="right"/>
            </w:pPr>
            <w:r/>
            <w:r>
              <w:rPr>
                <w:sz w:val="18"/>
              </w:rPr>
              <w:t>+84%</w:t>
            </w:r>
          </w:p>
        </w:tc>
        <w:tc>
          <w:tcPr>
            <w:tcW w:type="dxa" w:w="2304"/>
          </w:tcPr>
          <w:p>
            <w:pPr>
              <w:jc w:val="right"/>
            </w:pPr>
            <w:r/>
            <w:r>
              <w:rPr>
                <w:sz w:val="18"/>
              </w:rPr>
              <w:t>+49%</w:t>
            </w:r>
          </w:p>
        </w:tc>
      </w:tr>
      <w:tr>
        <w:tc>
          <w:tcPr>
            <w:tcW w:type="dxa" w:w="2880"/>
          </w:tcPr>
          <w:p>
            <w:r/>
            <w:r>
              <w:rPr>
                <w:sz w:val="18"/>
              </w:rPr>
              <w:t>Materials/Energy</w:t>
            </w:r>
          </w:p>
        </w:tc>
        <w:tc>
          <w:tcPr>
            <w:tcW w:type="dxa" w:w="1296"/>
          </w:tcPr>
          <w:p>
            <w:pPr>
              <w:jc w:val="right"/>
            </w:pPr>
            <w:r/>
            <w:r>
              <w:rPr>
                <w:sz w:val="18"/>
              </w:rPr>
              <w:t>4</w:t>
            </w:r>
          </w:p>
        </w:tc>
        <w:tc>
          <w:tcPr>
            <w:tcW w:type="dxa" w:w="2592"/>
          </w:tcPr>
          <w:p>
            <w:pPr>
              <w:jc w:val="right"/>
            </w:pPr>
            <w:r/>
            <w:r>
              <w:rPr>
                <w:sz w:val="18"/>
              </w:rPr>
              <w:t>+71%</w:t>
            </w:r>
          </w:p>
        </w:tc>
        <w:tc>
          <w:tcPr>
            <w:tcW w:type="dxa" w:w="2304"/>
          </w:tcPr>
          <w:p>
            <w:pPr>
              <w:jc w:val="right"/>
            </w:pPr>
            <w:r/>
            <w:r>
              <w:rPr>
                <w:sz w:val="18"/>
              </w:rPr>
              <w:t>+70%</w:t>
            </w:r>
          </w:p>
        </w:tc>
      </w:tr>
      <w:tr>
        <w:tc>
          <w:tcPr>
            <w:tcW w:type="dxa" w:w="2880"/>
          </w:tcPr>
          <w:p>
            <w:r/>
            <w:r>
              <w:rPr>
                <w:sz w:val="18"/>
              </w:rPr>
              <w:t>Healthcare</w:t>
            </w:r>
          </w:p>
        </w:tc>
        <w:tc>
          <w:tcPr>
            <w:tcW w:type="dxa" w:w="1296"/>
          </w:tcPr>
          <w:p>
            <w:pPr>
              <w:jc w:val="right"/>
            </w:pPr>
            <w:r/>
            <w:r>
              <w:rPr>
                <w:sz w:val="18"/>
              </w:rPr>
              <w:t>6</w:t>
            </w:r>
          </w:p>
        </w:tc>
        <w:tc>
          <w:tcPr>
            <w:tcW w:type="dxa" w:w="2592"/>
          </w:tcPr>
          <w:p>
            <w:pPr>
              <w:jc w:val="right"/>
            </w:pPr>
            <w:r/>
            <w:r>
              <w:rPr>
                <w:sz w:val="18"/>
              </w:rPr>
              <w:t>+70%</w:t>
            </w:r>
          </w:p>
        </w:tc>
        <w:tc>
          <w:tcPr>
            <w:tcW w:type="dxa" w:w="2304"/>
          </w:tcPr>
          <w:p>
            <w:pPr>
              <w:jc w:val="right"/>
            </w:pPr>
            <w:r/>
            <w:r>
              <w:rPr>
                <w:sz w:val="18"/>
              </w:rPr>
              <w:t>+51%</w:t>
            </w:r>
          </w:p>
        </w:tc>
      </w:tr>
      <w:tr>
        <w:tc>
          <w:tcPr>
            <w:tcW w:type="dxa" w:w="2880"/>
          </w:tcPr>
          <w:p>
            <w:r/>
            <w:r>
              <w:rPr>
                <w:sz w:val="18"/>
              </w:rPr>
              <w:t>Tech/AI</w:t>
            </w:r>
          </w:p>
        </w:tc>
        <w:tc>
          <w:tcPr>
            <w:tcW w:type="dxa" w:w="1296"/>
          </w:tcPr>
          <w:p>
            <w:pPr>
              <w:jc w:val="right"/>
            </w:pPr>
            <w:r/>
            <w:r>
              <w:rPr>
                <w:sz w:val="18"/>
              </w:rPr>
              <w:t>28</w:t>
            </w:r>
          </w:p>
        </w:tc>
        <w:tc>
          <w:tcPr>
            <w:tcW w:type="dxa" w:w="2592"/>
          </w:tcPr>
          <w:p>
            <w:pPr>
              <w:jc w:val="right"/>
            </w:pPr>
            <w:r/>
            <w:r>
              <w:rPr>
                <w:sz w:val="18"/>
              </w:rPr>
              <w:t>+52%</w:t>
            </w:r>
          </w:p>
        </w:tc>
        <w:tc>
          <w:tcPr>
            <w:tcW w:type="dxa" w:w="2304"/>
          </w:tcPr>
          <w:p>
            <w:pPr>
              <w:jc w:val="right"/>
            </w:pPr>
            <w:r/>
            <w:r>
              <w:rPr>
                <w:sz w:val="18"/>
              </w:rPr>
              <w:t>+71%</w:t>
            </w:r>
          </w:p>
        </w:tc>
      </w:tr>
      <w:tr>
        <w:tc>
          <w:tcPr>
            <w:tcW w:type="dxa" w:w="2880"/>
          </w:tcPr>
          <w:p>
            <w:r/>
            <w:r>
              <w:rPr>
                <w:sz w:val="18"/>
              </w:rPr>
              <w:t>Consumer</w:t>
            </w:r>
          </w:p>
        </w:tc>
        <w:tc>
          <w:tcPr>
            <w:tcW w:type="dxa" w:w="1296"/>
          </w:tcPr>
          <w:p>
            <w:pPr>
              <w:jc w:val="right"/>
            </w:pPr>
            <w:r/>
            <w:r>
              <w:rPr>
                <w:sz w:val="18"/>
              </w:rPr>
              <w:t>8</w:t>
            </w:r>
          </w:p>
        </w:tc>
        <w:tc>
          <w:tcPr>
            <w:tcW w:type="dxa" w:w="2592"/>
          </w:tcPr>
          <w:p>
            <w:pPr>
              <w:jc w:val="right"/>
            </w:pPr>
            <w:r/>
            <w:r>
              <w:rPr>
                <w:sz w:val="18"/>
              </w:rPr>
              <w:t>+40%</w:t>
            </w:r>
          </w:p>
        </w:tc>
        <w:tc>
          <w:tcPr>
            <w:tcW w:type="dxa" w:w="2304"/>
          </w:tcPr>
          <w:p>
            <w:pPr>
              <w:jc w:val="right"/>
            </w:pPr>
            <w:r/>
            <w:r>
              <w:rPr>
                <w:sz w:val="18"/>
              </w:rPr>
              <w:t>+31%</w:t>
            </w:r>
          </w:p>
        </w:tc>
      </w:tr>
    </w:tbl>
    <w:p>
      <w:pPr>
        <w:spacing w:after="40"/>
      </w:pPr>
    </w:p>
    <w:p>
      <w:pPr>
        <w:pStyle w:val="ListBullet"/>
      </w:pPr>
      <w:r>
        <w:rPr>
          <w:i w:val="0"/>
          <w:sz w:val="21"/>
        </w:rPr>
        <w:t>Tech/AI is the barbell and the most instructive sector: the same label contains semiconductor and optics mega-caps trading at or below parity (Montage, GigaDevice, Zhongji Innolight — the AI-capex names global funds must own) and module/device mid-caps at +150% to +190% (Fibocom, MEIG, NSing). Identical sector, opposite ownership base.</w:t>
      </w:r>
    </w:p>
    <w:p>
      <w:pPr>
        <w:pStyle w:val="ListBullet"/>
      </w:pPr>
      <w:r>
        <w:rPr>
          <w:i w:val="0"/>
          <w:sz w:val="21"/>
        </w:rPr>
        <w:t>Industrials carries the book's ceiling — machinery, robotics and solar theme names, with Hans CNC at +232%. SANY at +17% is the exception that proves the rule: it is the mega-cap with genuine global revenue.</w:t>
      </w:r>
    </w:p>
    <w:p>
      <w:pPr>
        <w:pStyle w:val="ListBullet"/>
      </w:pPr>
      <w:r>
        <w:rPr>
          <w:i w:val="0"/>
          <w:sz w:val="21"/>
        </w:rPr>
        <w:t>Healthcare splits by stage: pre-revenue 18A names around +101% (Biocytogen +144%, where a STAR biotech culture meets a thin H float) against CXO/pharma services near +95%.</w:t>
      </w:r>
    </w:p>
    <w:p>
      <w:pPr>
        <w:pStyle w:val="ListBullet"/>
      </w:pPr>
      <w:r>
        <w:rPr>
          <w:i w:val="0"/>
          <w:sz w:val="21"/>
        </w:rPr>
        <w:t>Consumer is the tightest sector in the book — brands international investors understand and can underwrite, with deep Southbound sponsorship.</w:t>
      </w:r>
    </w:p>
    <w:p>
      <w:pPr>
        <w:pStyle w:val="ListBullet"/>
      </w:pPr>
      <w:r>
        <w:rPr>
          <w:i w:val="0"/>
          <w:sz w:val="21"/>
        </w:rPr>
        <w:t>Materials/Energy divides cleanly: chemicals rich (Befar +141%), miners tight (+40%), because miners are priced off globally-quoted commodities.</w:t>
      </w:r>
    </w:p>
    <w:p>
      <w:pPr>
        <w:pStyle w:val="ListBullet"/>
      </w:pPr>
      <w:r>
        <w:rPr>
          <w:i w:val="0"/>
          <w:sz w:val="21"/>
        </w:rPr>
        <w:t>Financials is a single pair in our IPO book and not meaningful on its own; in the wider universe bank pairs sit near the market median despite enormous size — the one place the size rule bends, since A-share bank lines are retail yield favourites while H bank lines are priced as value traps.</w:t>
      </w:r>
    </w:p>
    <w:p>
      <w:pPr>
        <w:spacing w:before="260" w:after="80"/>
      </w:pPr>
      <w:r>
        <w:rPr>
          <w:b/>
          <w:color w:val="5B5B57"/>
          <w:sz w:val="24"/>
        </w:rPr>
        <w:t>Method and provenance</w:t>
      </w:r>
    </w:p>
    <w:p>
      <w:r>
        <w:rPr>
          <w:i w:val="0"/>
          <w:color w:val="5B5B57"/>
          <w:sz w:val="18"/>
        </w:rPr>
        <w:t>Premiums are A-over-H: a_premium_now = A close × CNY→HKD ÷ H close − 1, computed per session so the FX is the same day on both legs. The IPO-date premium uses the A close the day before H pricing against the H offer price. Sample: 61 A+H pairs from the 511-deal Main Board IPO book, priced as of the current build; the market universe is the 202 AAStocks A/H pairs. Market cap is at the IPO offer price. Every figure in this note is generated from the database at build time, so the tables, charts and prose cannot drift apart. Regulatory and Connect facts are sourced to CSRC and exchange notices, HKEX prospectuses and Hang Seng Index methodology; per-name margin and lending balances to mainland market-data providers.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