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港股解禁配對交易分析</w:t>
      </w:r>
    </w:p>
    <w:p>
      <w:pPr>
        <w:spacing w:after="200"/>
      </w:pPr>
      <w:r>
        <w:rPr>
          <w:b w:val="0"/>
          <w:sz w:val="23"/>
        </w:rPr>
        <w:t>2026年8月至9月　｜　買入最接近港股peer　沽出解禁股</w:t>
      </w:r>
    </w:p>
    <w:p>
      <w:pPr>
        <w:spacing w:after="120"/>
      </w:pPr>
      <w:r>
        <w:rPr>
          <w:b/>
        </w:rPr>
        <w:t>東鵬相對農夫山泉的跑輸成立，但主要集中在8月底，並非解禁前後一直跑輸。下文先拆清這一組，再用同一口徑檢查附件其餘20組，解釋收益來自short下跌、long上升，還是兩者共同作用。</w:t>
      </w:r>
    </w:p>
    <w:p>
      <w:pPr>
        <w:pStyle w:val="Heading2"/>
      </w:pPr>
      <w:r>
        <w:t>東鵬09980對農夫山泉09633</w:t>
      </w:r>
    </w:p>
    <w:p>
      <w:pPr>
        <w:spacing w:after="120"/>
      </w:pPr>
      <w:r>
        <w:rPr>
          <w:b w:val="0"/>
          <w:sz w:val="20"/>
        </w:rPr>
        <w:t>農夫是較接近的港股品牌飲料參照，水及茶比重較高；東鵬主力為能量飲料。原截圖未顯示完整配對公式，本稿明示採這一對重新計算。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7"/>
        <w:gridCol w:w="2088"/>
        <w:gridCol w:w="2088"/>
        <w:gridCol w:w="2214"/>
      </w:tblGrid>
      <w:tr>
        <w:trPr>
          <w:cantSplit/>
          <w:tblHeader/>
        </w:trPr>
        <w:tc>
          <w:tcPr>
            <w:tcW w:type="dxa" w:w="355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/>
                <w:color w:val="FFFFFF"/>
                <w:sz w:val="20"/>
              </w:rPr>
              <w:t>觀察段</w:t>
            </w:r>
          </w:p>
        </w:tc>
        <w:tc>
          <w:tcPr>
            <w:tcW w:type="dxa" w:w="208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20"/>
              </w:rPr>
              <w:t>東鵬回報％</w:t>
            </w:r>
          </w:p>
        </w:tc>
        <w:tc>
          <w:tcPr>
            <w:tcW w:type="dxa" w:w="208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20"/>
              </w:rPr>
              <w:t>農夫回報％</w:t>
            </w:r>
          </w:p>
        </w:tc>
        <w:tc>
          <w:tcPr>
            <w:tcW w:type="dxa" w:w="221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20"/>
              </w:rPr>
              <w:t>配對差值</w:t>
              <w:br/>
              <w:t>百分點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解禁前15日</w:t>
              <w:br/>
              <w:t>07/10 → 07/31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+15.6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+10.2</w:t>
            </w:r>
          </w:p>
        </w:tc>
        <w:tc>
          <w:tcPr>
            <w:tcW w:type="dxa" w:w="221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20"/>
              </w:rPr>
              <w:t>-5.5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解禁當日</w:t>
              <w:br/>
              <w:t>07/31 → 08/03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-4.6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-0.4</w:t>
            </w:r>
          </w:p>
        </w:tc>
        <w:tc>
          <w:tcPr>
            <w:tcW w:type="dxa" w:w="22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20"/>
              </w:rPr>
              <w:t>+4.1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到期後15日</w:t>
              <w:br/>
              <w:t>08/03 → 08/24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-0.9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-1.1</w:t>
            </w:r>
          </w:p>
        </w:tc>
        <w:tc>
          <w:tcPr>
            <w:tcW w:type="dxa" w:w="221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20"/>
              </w:rPr>
              <w:t>-0.1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農夫業績前後</w:t>
              <w:br/>
              <w:t>08/24 → 08/26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-4.6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+2.2</w:t>
            </w:r>
          </w:p>
        </w:tc>
        <w:tc>
          <w:tcPr>
            <w:tcW w:type="dxa" w:w="22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20"/>
              </w:rPr>
              <w:t>+6.7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隨後一段</w:t>
              <w:br/>
              <w:t>08/26 → 09/04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-8.5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-3.8</w:t>
            </w:r>
          </w:p>
        </w:tc>
        <w:tc>
          <w:tcPr>
            <w:tcW w:type="dxa" w:w="221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20"/>
              </w:rPr>
              <w:t>+4.7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再後一段</w:t>
              <w:br/>
              <w:t>09/04 → 10/16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-2.4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-2.8</w:t>
            </w:r>
          </w:p>
        </w:tc>
        <w:tc>
          <w:tcPr>
            <w:tcW w:type="dxa" w:w="22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20"/>
              </w:rPr>
              <w:t>-0.4</w:t>
            </w:r>
          </w:p>
        </w:tc>
      </w:tr>
      <w:tr>
        <w:trPr>
          <w:cantSplit/>
        </w:trPr>
        <w:tc>
          <w:tcPr>
            <w:tcW w:type="dxa" w:w="355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由到期前收市持有至今</w:t>
              <w:br/>
              <w:t>07/31 → 10/16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-19.4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-5.9</w:t>
            </w:r>
          </w:p>
        </w:tc>
        <w:tc>
          <w:tcPr>
            <w:tcW w:type="dxa" w:w="221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20"/>
              </w:rPr>
              <w:t>+13.5</w:t>
            </w:r>
          </w:p>
        </w:tc>
      </w:tr>
    </w:tbl>
    <w:p>
      <w:pPr>
        <w:spacing w:after="0" w:line="240" w:lineRule="auto"/>
      </w:pPr>
      <w:r>
        <w:rPr>
          <w:b w:val="0"/>
        </w:rPr>
      </w:r>
    </w:p>
    <w:p>
      <w:r>
        <w:rPr>
          <w:b/>
        </w:rPr>
        <w:t xml:space="preserve">時間上的答案　</w:t>
      </w:r>
      <w:r>
        <w:t>8月3日至24日差值只有−0.1，東鵬沒有持續落後。8月24日至10月16日差值達+10.3；其中8月24日至26日就有+6.7。8月25日農夫公布中期業績，與後段差距擴大的時間更吻合。</w:t>
      </w:r>
    </w:p>
    <w:p>
      <w:r>
        <w:rPr>
          <w:b/>
        </w:rPr>
        <w:t xml:space="preserve">業務上的答案　</w:t>
      </w:r>
      <w:r>
        <w:t>東鵬7月30日公布：佔收入71.9%的能量飲料只增6.9%；茶飲增209%，但僅佔8.5%。8月3日披露的調研紀錄又指出，天氣拖慢補水類需求，促銷競爭加劇，增加投獎會影響收入及淨利。農夫8月25日公布：佔收入44.2%的茶飲增30.1%。較合理的相對定價解釋，是東鵬核心增長放慢、促銷投入加重，對比農夫較大茶飲業務的增長；仍不能據此量化各因素造成多少跌幅。</w:t>
      </w:r>
    </w:p>
    <w:p>
      <w:r>
        <w:rPr>
          <w:b/>
        </w:rPr>
        <w:t xml:space="preserve">解禁的份量　</w:t>
      </w:r>
      <w:r>
        <w:t>東鵬潛在基石供給約40倍日均成交，可能加重H股承接壓力；但未有足夠實售證據量化其貢獻。8月3日東鵬A股與H股都跌約4.6%，也削弱了「當天全是H股解禁」的單一解釋。以上是有時間依據的歸因，並非已分離出的因果效應。</w:t>
      </w:r>
    </w:p>
    <w:p>
      <w:pPr>
        <w:spacing w:after="180" w:line="240" w:lineRule="auto"/>
      </w:pPr>
      <w:hyperlink r:id="rId11">
        <w:r>
          <w:rPr>
            <w:rFonts w:eastAsia="Heiti TC" w:ascii="Arial"/>
            <w:color w:val="244B6B"/>
            <w:sz w:val="17"/>
          </w:rPr>
          <w:t>東鵬7月30日業績</w:t>
        </w:r>
      </w:hyperlink>
      <w:r>
        <w:rPr>
          <w:sz w:val="17"/>
        </w:rPr>
        <w:t xml:space="preserve">　／　</w:t>
      </w:r>
      <w:hyperlink r:id="rId12">
        <w:r>
          <w:rPr>
            <w:rFonts w:eastAsia="Heiti TC" w:ascii="Arial"/>
            <w:color w:val="244B6B"/>
            <w:sz w:val="17"/>
          </w:rPr>
          <w:t>東鵬公司調研紀錄</w:t>
        </w:r>
      </w:hyperlink>
      <w:r>
        <w:rPr>
          <w:sz w:val="17"/>
        </w:rPr>
        <w:t xml:space="preserve">　／　</w:t>
      </w:r>
      <w:hyperlink r:id="rId13">
        <w:r>
          <w:rPr>
            <w:rFonts w:eastAsia="Heiti TC" w:ascii="Arial"/>
            <w:color w:val="244B6B"/>
            <w:sz w:val="17"/>
          </w:rPr>
          <w:t>農夫8月25日業績</w:t>
        </w:r>
      </w:hyperlink>
      <w:r>
        <w:rPr>
          <w:sz w:val="17"/>
        </w:rPr>
        <w:t xml:space="preserve">　／　</w:t>
      </w:r>
      <w:hyperlink r:id="rId14">
        <w:r>
          <w:rPr>
            <w:rFonts w:eastAsia="Heiti TC" w:ascii="Arial"/>
            <w:color w:val="244B6B"/>
            <w:sz w:val="17"/>
          </w:rPr>
          <w:t>東鵬A股行情</w:t>
        </w:r>
      </w:hyperlink>
    </w:p>
    <w:p>
      <w:r>
        <w:br w:type="page"/>
      </w:r>
    </w:p>
    <w:p>
      <w:pPr>
        <w:pStyle w:val="Heading1"/>
      </w:pPr>
      <w:r>
        <w:t>21組固定配對的回報差值</w:t>
      </w:r>
    </w:p>
    <w:p>
      <w:pPr>
        <w:spacing w:after="120"/>
      </w:pPr>
      <w:r>
        <w:rPr>
          <w:b w:val="0"/>
          <w:sz w:val="20"/>
        </w:rPr>
        <w:t>每格＝peer總回報減解禁股總回報，單位為百分點。綠色正數表示買peer／沽解禁股有利；紅色負數表示相反。每一欄均從該段起點重新計算，不能相加。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843"/>
        <w:gridCol w:w="734"/>
        <w:gridCol w:w="1123"/>
        <w:gridCol w:w="1123"/>
        <w:gridCol w:w="1123"/>
        <w:gridCol w:w="1123"/>
        <w:gridCol w:w="1149"/>
      </w:tblGrid>
      <w:tr>
        <w:trPr>
          <w:cantSplit/>
          <w:tblHeader/>
        </w:trPr>
        <w:tc>
          <w:tcPr>
            <w:tcW w:type="dxa" w:w="172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/>
                <w:color w:val="FFFFFF"/>
                <w:sz w:val="18"/>
              </w:rPr>
              <w:t>沽出解禁股</w:t>
            </w:r>
          </w:p>
        </w:tc>
        <w:tc>
          <w:tcPr>
            <w:tcW w:type="dxa" w:w="184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買入peer</w:t>
            </w:r>
          </w:p>
        </w:tc>
        <w:tc>
          <w:tcPr>
            <w:tcW w:type="dxa" w:w="73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T0</w:t>
            </w:r>
          </w:p>
        </w:tc>
        <w:tc>
          <w:tcPr>
            <w:tcW w:type="dxa" w:w="112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前15日</w:t>
            </w:r>
          </w:p>
        </w:tc>
        <w:tc>
          <w:tcPr>
            <w:tcW w:type="dxa" w:w="112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前5日</w:t>
            </w:r>
          </w:p>
        </w:tc>
        <w:tc>
          <w:tcPr>
            <w:tcW w:type="dxa" w:w="112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當日</w:t>
            </w:r>
          </w:p>
        </w:tc>
        <w:tc>
          <w:tcPr>
            <w:tcW w:type="dxa" w:w="112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後5日</w:t>
            </w:r>
          </w:p>
        </w:tc>
        <w:tc>
          <w:tcPr>
            <w:tcW w:type="dxa" w:w="114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18"/>
              </w:rPr>
              <w:t>後10日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09980</w:t>
              <w:br/>
              <w:t>東鵬飲料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09633</w:t>
              <w:br/>
              <w:t>農夫山泉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08/03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-5.5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+4.1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-3.4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02677</w:t>
              <w:br/>
              <w:t>卓正醫療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01518</w:t>
              <w:br/>
              <w:t>新世紀醫療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+1.1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-10.8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+14.8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-14.2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-11.8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02714</w:t>
              <w:br/>
              <w:t>牧原股份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02419</w:t>
              <w:br/>
              <w:t>德康農牧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+7.1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+0.5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-4.0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-5.8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03200</w:t>
              <w:br/>
              <w:t>大族數控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09630</w:t>
              <w:br/>
              <w:t>芯碁微裝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+10.8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+13.7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+1.4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-8.0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+10.7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06809</w:t>
              <w:br/>
              <w:t>瀾起科技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01879</w:t>
              <w:br/>
              <w:t>曦智科技*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08/10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+13.3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+24.1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+8.3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-16.1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-4.5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00600</w:t>
              <w:br/>
              <w:t>愛芯元智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09660</w:t>
              <w:br/>
              <w:t>地平線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08/10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+2.1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-34.8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+5.9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-9.7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-16.0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00470</w:t>
              <w:br/>
              <w:t>先導智能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02715</w:t>
              <w:br/>
              <w:t>埃斯頓*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08/11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-13.7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-3.6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+6.9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+2.4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-8.4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02706</w:t>
              <w:br/>
              <w:t>海致科技集團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02718</w:t>
              <w:br/>
              <w:t>明略科技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08/13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-93.9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+11.4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+0.9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-15.7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-20.1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02591</w:t>
              <w:br/>
              <w:t>銀諾醫藥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02565</w:t>
              <w:br/>
              <w:t>派格生物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08/17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+10.4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+7.8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+26.8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+11.5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+12.9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06960</w:t>
              <w:br/>
              <w:t>雙登股份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00842</w:t>
              <w:br/>
              <w:t>理士國際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08/26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-9.6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+12.2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-2.5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+16.8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+17.1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03858</w:t>
              <w:br/>
              <w:t>佳鑫國際資源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03993</w:t>
              <w:br/>
              <w:t>洛陽鉬業*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08/28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-16.4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-1.5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+10.2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+5.2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02580</w:t>
              <w:br/>
              <w:t>奧克斯電氣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00921</w:t>
              <w:br/>
              <w:t>海信家電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09/02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-6.7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+10.6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-0.1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+3.0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02525</w:t>
              <w:br/>
              <w:t>禾賽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02498</w:t>
              <w:br/>
              <w:t>速騰聚創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09/16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-6.8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+0.3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+1.4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+8.2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02656</w:t>
              <w:br/>
              <w:t>健康160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02587</w:t>
              <w:br/>
              <w:t>健康之路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09/17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-19.7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+4.2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-4.8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+30.6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+27.2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02595</w:t>
              <w:br/>
              <w:t>勁方醫藥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01167</w:t>
              <w:br/>
              <w:t>加科思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09/21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+2.4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-6.0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+3.2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-5.9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01989</w:t>
              <w:br/>
              <w:t>廣合科技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02476</w:t>
              <w:br/>
              <w:t>勝宏科技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09/21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+5.6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+13.5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-1.4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-6.8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-14.7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06090</w:t>
              <w:br/>
              <w:t>不同集團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01086</w:t>
              <w:br/>
              <w:t>好孩子國際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09/23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+11.8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+4.0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-3.3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+41.1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+41.8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02632</w:t>
              <w:br/>
              <w:t>澤景股份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02889</w:t>
              <w:br/>
              <w:t>博泰車聯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09/24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-28.3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-6.9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-0.8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-25.7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-24.1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09973</w:t>
              <w:br/>
              <w:t>奇瑞汽車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00175</w:t>
              <w:br/>
              <w:t>吉利汽車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09/25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-6.7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-0.1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-0.2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-3.0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+0.1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02259</w:t>
              <w:br/>
              <w:t>紫金黃金國際</w:t>
            </w:r>
          </w:p>
        </w:tc>
        <w:tc>
          <w:tcPr>
            <w:tcW w:type="dxa" w:w="18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06693</w:t>
              <w:br/>
              <w:t>赤峰黃金</w:t>
            </w:r>
          </w:p>
        </w:tc>
        <w:tc>
          <w:tcPr>
            <w:tcW w:type="dxa" w:w="7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09/30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-1.7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-1.3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+3.0</w:t>
            </w:r>
          </w:p>
        </w:tc>
        <w:tc>
          <w:tcPr>
            <w:tcW w:type="dxa" w:w="1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-2.8</w:t>
            </w:r>
          </w:p>
        </w:tc>
        <w:tc>
          <w:tcPr>
            <w:tcW w:type="dxa" w:w="11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-7.9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02583</w:t>
              <w:br/>
              <w:t>西普尼</w:t>
            </w:r>
          </w:p>
        </w:tc>
        <w:tc>
          <w:tcPr>
            <w:tcW w:type="dxa" w:w="184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02033</w:t>
              <w:br/>
              <w:t>時計寶</w:t>
            </w:r>
          </w:p>
        </w:tc>
        <w:tc>
          <w:tcPr>
            <w:tcW w:type="dxa" w:w="73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09/30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+47.9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+13.3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+7.5</w:t>
            </w:r>
          </w:p>
        </w:tc>
        <w:tc>
          <w:tcPr>
            <w:tcW w:type="dxa" w:w="1123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007B63"/>
                <w:sz w:val="18"/>
              </w:rPr>
              <w:t>+8.9</w:t>
            </w:r>
          </w:p>
        </w:tc>
        <w:tc>
          <w:tcPr>
            <w:tcW w:type="dxa" w:w="1149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5" w:type="dxa"/>
              <w:bottom w:w="2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BB3C38"/>
                <w:sz w:val="18"/>
              </w:rPr>
              <w:t>-1.2</w:t>
            </w:r>
          </w:p>
        </w:tc>
      </w:tr>
    </w:tbl>
    <w:p>
      <w:pPr>
        <w:spacing w:after="0" w:line="240" w:lineRule="auto"/>
      </w:pPr>
      <w:r>
        <w:rPr>
          <w:b w:val="0"/>
        </w:rPr>
      </w:r>
    </w:p>
    <w:p>
      <w:pPr>
        <w:spacing w:after="80"/>
      </w:pPr>
      <w:r>
        <w:rPr>
          <w:b w:val="0"/>
          <w:sz w:val="18"/>
        </w:rPr>
        <w:t>T0採ETNet日曆當日；遇非交易日，移至首個港股交易日。前15／5日是T−16／T−6收市至T−1收市；當日是T−1至T0；後5／10日由T0收市起計。* 為跨產品參照，港股未有同樣直接的產品peer。</w:t>
      </w:r>
    </w:p>
    <w:p>
      <w:pPr>
        <w:spacing w:after="0"/>
      </w:pPr>
      <w:r>
        <w:rPr>
          <w:b w:val="0"/>
          <w:sz w:val="18"/>
        </w:rPr>
        <w:t>股息按行情所列港元金額再投資，已處理拆股；為等初始金額的理論總回報差，未扣借券及交易成本，亦未驗證歷史借券可得性。按兩邊總名義本金計的比例約為表中差值的一半，並非實盤損益。</w:t>
      </w:r>
    </w:p>
    <w:p>
      <w:r>
        <w:br w:type="page"/>
      </w:r>
    </w:p>
    <w:p>
      <w:pPr>
        <w:pStyle w:val="Heading1"/>
      </w:pPr>
      <w:r>
        <w:t>有實際出售證據的三組配對</w:t>
      </w:r>
    </w:p>
    <w:p>
      <w:pPr>
        <w:pStyle w:val="Heading2"/>
      </w:pPr>
      <w:r>
        <w:t>02591 銀諾醫藥　銀諾的跑輸有同日出售證據</w:t>
      </w:r>
    </w:p>
    <w:p>
      <w:pPr>
        <w:spacing w:after="80"/>
      </w:pPr>
      <w:r>
        <w:rPr>
          <w:b/>
          <w:sz w:val="20"/>
        </w:rPr>
        <w:t>買 02565 派格生物 ／ 沽 02591 銀諾醫藥　｜　T0 08/17</w:t>
      </w:r>
    </w:p>
    <w:p>
      <w:pPr>
        <w:spacing w:after="80"/>
      </w:pPr>
      <w:r>
        <w:rPr>
          <w:b w:val="0"/>
          <w:sz w:val="20"/>
        </w:rPr>
        <w:t>銀諾與派格均以長效GLP-1代謝疾病藥物為核心。</w:t>
      </w:r>
    </w:p>
    <w:p>
      <w:pPr>
        <w:spacing w:after="100"/>
      </w:pPr>
      <w:r>
        <w:rPr>
          <w:b/>
          <w:sz w:val="20"/>
        </w:rPr>
        <w:t>解禁當日（08/14–08/17）：long -0.8%　short標的 -27.6%　→　差值 +26.8個百分點。</w:t>
      </w:r>
    </w:p>
    <w:p>
      <w:r>
        <w:rPr>
          <w:b/>
        </w:rPr>
        <w:t xml:space="preserve">原因　</w:t>
      </w:r>
      <w:r>
        <w:t>8月17日實際售出505.76萬股的權益披露，與銀諾當日急跌及成交達前20日日均15.3倍吻合；這比單看解禁日曆更直接。其後10日，銀諾再跌24.0%，派格跌11.1%，差值再有+12.9個百分點。</w:t>
      </w:r>
    </w:p>
    <w:p>
      <w:r>
        <w:rPr>
          <w:b/>
        </w:rPr>
        <w:t xml:space="preserve">判斷　</w:t>
      </w:r>
      <w:r>
        <w:t>主要由short一邊下跌貢獻，供給解釋較強。8月25日才公布的毛利率下降及虧損，可解釋承接偏弱，卻不是8月17日已公布的觸發消息；披露出售量也不能解釋全部跌幅。</w:t>
      </w:r>
    </w:p>
    <w:p>
      <w:pPr>
        <w:spacing w:after="180" w:line="240" w:lineRule="auto"/>
      </w:pPr>
      <w:hyperlink r:id="rId15">
        <w:r>
          <w:rPr>
            <w:rFonts w:eastAsia="Heiti TC" w:ascii="Arial"/>
            <w:color w:val="244B6B"/>
            <w:sz w:val="17"/>
          </w:rPr>
          <w:t>銀諾醫藥H1</w:t>
        </w:r>
      </w:hyperlink>
      <w:r>
        <w:rPr>
          <w:sz w:val="17"/>
        </w:rPr>
        <w:t xml:space="preserve">　／　</w:t>
      </w:r>
      <w:hyperlink r:id="rId16">
        <w:r>
          <w:rPr>
            <w:rFonts w:eastAsia="Heiti TC" w:ascii="Arial"/>
            <w:color w:val="244B6B"/>
            <w:sz w:val="17"/>
          </w:rPr>
          <w:t>韓投8月17日出售披露 CS20260819E00302</w:t>
        </w:r>
      </w:hyperlink>
    </w:p>
    <w:p>
      <w:pPr>
        <w:pStyle w:val="Heading2"/>
      </w:pPr>
      <w:r>
        <w:t>02656 健康160　健康160是解禁後跑輸 事前則相反</w:t>
      </w:r>
    </w:p>
    <w:p>
      <w:pPr>
        <w:spacing w:after="80"/>
      </w:pPr>
      <w:r>
        <w:rPr>
          <w:b/>
          <w:sz w:val="20"/>
        </w:rPr>
        <w:t>買 02587 健康之路 ／ 沽 02656 健康160　｜　T0 09/17</w:t>
      </w:r>
    </w:p>
    <w:p>
      <w:pPr>
        <w:spacing w:after="80"/>
      </w:pPr>
      <w:r>
        <w:rPr>
          <w:b w:val="0"/>
          <w:sz w:val="20"/>
        </w:rPr>
        <w:t>兩者都有就醫支持及數字醫療服務；健康之路是較近的港股參照。</w:t>
      </w:r>
    </w:p>
    <w:p>
      <w:pPr>
        <w:spacing w:after="100"/>
      </w:pPr>
      <w:r>
        <w:rPr>
          <w:b/>
          <w:sz w:val="20"/>
        </w:rPr>
        <w:t>到期後10日（09/17–10/02）：long -23.3%　short標的 -50.5%　→　差值 +27.2個百分點。</w:t>
      </w:r>
    </w:p>
    <w:p>
      <w:r>
        <w:rPr>
          <w:b/>
        </w:rPr>
        <w:t xml:space="preserve">原因　</w:t>
      </w:r>
      <w:r>
        <w:t>健康160在9月17日成交達日均7.4倍，之後持續跌；QF CY 160披露9月29日實售56萬股。H1收入3.19億元中約68.3%是藥品轉售，經調整盈利僅545萬元，盈利承接薄弱。健康之路也非強勢long：H1收入增49.7%，但經營利潤下降、研發費大增。</w:t>
      </w:r>
    </w:p>
    <w:p>
      <w:r>
        <w:rPr>
          <w:b/>
        </w:rPr>
        <w:t xml:space="preserve">判斷　</w:t>
      </w:r>
      <w:r>
        <w:t>事前15日健康之路跌45.8%，比健康160跌26.0%更差，配對為−19.7；到期後10日才轉為+27.2。不能把「健康160一路下跌」等同「整段long/short都賺錢」。兩股業務收入組合仍不同。</w:t>
      </w:r>
    </w:p>
    <w:p>
      <w:pPr>
        <w:spacing w:after="180" w:line="240" w:lineRule="auto"/>
      </w:pPr>
      <w:hyperlink r:id="rId17">
        <w:r>
          <w:rPr>
            <w:rFonts w:eastAsia="Heiti TC" w:ascii="Arial"/>
            <w:color w:val="244B6B"/>
            <w:sz w:val="17"/>
          </w:rPr>
          <w:t>健康160H1</w:t>
        </w:r>
      </w:hyperlink>
      <w:r>
        <w:rPr>
          <w:sz w:val="17"/>
        </w:rPr>
        <w:t xml:space="preserve">　／　</w:t>
      </w:r>
      <w:hyperlink r:id="rId18">
        <w:r>
          <w:rPr>
            <w:rFonts w:eastAsia="Heiti TC" w:ascii="Arial"/>
            <w:color w:val="244B6B"/>
            <w:sz w:val="17"/>
          </w:rPr>
          <w:t>QF CY 160實際出售 CS20260930E00372</w:t>
        </w:r>
      </w:hyperlink>
      <w:r>
        <w:rPr>
          <w:sz w:val="17"/>
        </w:rPr>
        <w:t xml:space="preserve">　／　</w:t>
      </w:r>
      <w:hyperlink r:id="rId19">
        <w:r>
          <w:rPr>
            <w:rFonts w:eastAsia="Heiti TC" w:ascii="Arial"/>
            <w:color w:val="244B6B"/>
            <w:sz w:val="17"/>
          </w:rPr>
          <w:t>健康之路H1</w:t>
        </w:r>
      </w:hyperlink>
    </w:p>
    <w:p>
      <w:pPr>
        <w:pStyle w:val="Heading2"/>
      </w:pPr>
      <w:r>
        <w:t>02583 西普尼　西普尼主要在到期前落後</w:t>
      </w:r>
    </w:p>
    <w:p>
      <w:pPr>
        <w:spacing w:after="80"/>
      </w:pPr>
      <w:r>
        <w:rPr>
          <w:b/>
          <w:sz w:val="20"/>
        </w:rPr>
        <w:t>買 02033 時計寶 ／ 沽 02583 西普尼　｜　T0 09/30</w:t>
      </w:r>
    </w:p>
    <w:p>
      <w:pPr>
        <w:spacing w:after="80"/>
      </w:pPr>
      <w:r>
        <w:rPr>
          <w:b w:val="0"/>
          <w:sz w:val="20"/>
        </w:rPr>
        <w:t>西普尼與時計寶均做腕錶品牌及製造，但西普尼的金錶及金價敞口更大。</w:t>
      </w:r>
    </w:p>
    <w:p>
      <w:pPr>
        <w:spacing w:after="100"/>
      </w:pPr>
      <w:r>
        <w:rPr>
          <w:b/>
          <w:sz w:val="20"/>
        </w:rPr>
        <w:t>解禁前15日（09/08–09/29）：long +2.3%　short標的 -45.7%　→　差值 +47.9個百分點。</w:t>
      </w:r>
    </w:p>
    <w:p>
      <w:r>
        <w:rPr>
          <w:b/>
        </w:rPr>
        <w:t xml:space="preserve">原因　</w:t>
      </w:r>
      <w:r>
        <w:t>前15日的相對差主要來自西普尼跌45.7%，時計寶只升2.3%。名義到期持股約139倍此前日均成交，足以構成供給擔憂。H1淨利雖增75.5%，存貨約11.01億元，相對現金1.53億元偏大，資金佔用是盈利增長以外的風險。</w:t>
      </w:r>
    </w:p>
    <w:p>
      <w:r>
        <w:rPr>
          <w:b/>
        </w:rPr>
        <w:t xml:space="preserve">判斷　</w:t>
      </w:r>
      <w:r>
        <w:t>10月14日控股股東實售10萬股，證明到期後有出售，不能倒推整段9月跌幅。到期後5日差值+8.9，但到期後10日已為−1.2；延長持有不保證保留原先優勢。</w:t>
      </w:r>
    </w:p>
    <w:p>
      <w:pPr>
        <w:spacing w:after="180" w:line="240" w:lineRule="auto"/>
      </w:pPr>
      <w:hyperlink r:id="rId20">
        <w:r>
          <w:rPr>
            <w:rFonts w:eastAsia="Heiti TC" w:ascii="Arial"/>
            <w:color w:val="244B6B"/>
            <w:sz w:val="17"/>
          </w:rPr>
          <w:t>西普尼H1</w:t>
        </w:r>
      </w:hyperlink>
      <w:r>
        <w:rPr>
          <w:sz w:val="17"/>
        </w:rPr>
        <w:t xml:space="preserve">　／　</w:t>
      </w:r>
      <w:hyperlink r:id="rId21">
        <w:r>
          <w:rPr>
            <w:rFonts w:eastAsia="Heiti TC" w:ascii="Arial"/>
            <w:color w:val="244B6B"/>
            <w:sz w:val="17"/>
          </w:rPr>
          <w:t>10月14日控股股東出售原公告</w:t>
        </w:r>
      </w:hyperlink>
    </w:p>
    <w:p>
      <w:r>
        <w:br w:type="page"/>
      </w:r>
    </w:p>
    <w:p>
      <w:pPr>
        <w:pStyle w:val="Heading1"/>
      </w:pPr>
      <w:r>
        <w:t>到期後沒有持續跑輸的例外</w:t>
      </w:r>
    </w:p>
    <w:p>
      <w:pPr>
        <w:pStyle w:val="Heading2"/>
      </w:pPr>
      <w:r>
        <w:t>00600 愛芯元智　愛芯的收入加速抵消了供給壓力</w:t>
      </w:r>
    </w:p>
    <w:p>
      <w:pPr>
        <w:spacing w:after="80"/>
      </w:pPr>
      <w:r>
        <w:rPr>
          <w:b/>
          <w:sz w:val="20"/>
        </w:rPr>
        <w:t>買 09660 地平線 ／ 沽 00600 愛芯元智　｜　T0 08/10</w:t>
      </w:r>
    </w:p>
    <w:p>
      <w:pPr>
        <w:spacing w:after="80"/>
      </w:pPr>
      <w:r>
        <w:rPr>
          <w:b w:val="0"/>
          <w:sz w:val="20"/>
        </w:rPr>
        <w:t>愛芯做邊緣AI晶片；地平線較偏汽車智能駕駛，屬較近但非完全同產品的配對。</w:t>
      </w:r>
    </w:p>
    <w:p>
      <w:pPr>
        <w:spacing w:after="100"/>
      </w:pPr>
      <w:r>
        <w:rPr>
          <w:b/>
          <w:sz w:val="20"/>
        </w:rPr>
        <w:t>到期後15日（08/10–08/31）：long -7.4%　short標的 +37.4%　→　差值 -44.8個百分點。</w:t>
      </w:r>
    </w:p>
    <w:p>
      <w:r>
        <w:rPr>
          <w:b/>
        </w:rPr>
        <w:t xml:space="preserve">原因　</w:t>
      </w:r>
      <w:r>
        <w:t>8月9日、解禁前一日，愛芯公布H1收入增181.8%，毛利率由20.0%升至29.0%。這個已公開的增長訊號，比「大批基石到期所以一定跌」更能解釋其後承接。地平線8月31日才公布收入增32.9%、經調整淨虧損擴大25.4%，不能用該公告倒推整段8月。</w:t>
      </w:r>
    </w:p>
    <w:p>
      <w:r>
        <w:rPr>
          <w:b/>
        </w:rPr>
        <w:t xml:space="preserve">判斷　</w:t>
      </w:r>
      <w:r>
        <w:t>虧損主要是short愛芯逆勢上漲，加上long地平線下跌。愛芯仍大幅虧損，這是市場願意給增長溢價的解釋，並非已證明盈利改善。9月7日正式入通在T+15之後，也不是這段回報的直接來源。</w:t>
      </w:r>
    </w:p>
    <w:p>
      <w:pPr>
        <w:spacing w:after="180" w:line="240" w:lineRule="auto"/>
      </w:pPr>
      <w:hyperlink r:id="rId22">
        <w:r>
          <w:rPr>
            <w:rFonts w:eastAsia="Heiti TC" w:ascii="Arial"/>
            <w:color w:val="244B6B"/>
            <w:sz w:val="17"/>
          </w:rPr>
          <w:t>愛芯元智H1</w:t>
        </w:r>
      </w:hyperlink>
      <w:r>
        <w:rPr>
          <w:sz w:val="17"/>
        </w:rPr>
        <w:t xml:space="preserve">　／　</w:t>
      </w:r>
      <w:hyperlink r:id="rId23">
        <w:r>
          <w:rPr>
            <w:rFonts w:eastAsia="Heiti TC" w:ascii="Arial"/>
            <w:color w:val="244B6B"/>
            <w:sz w:val="17"/>
          </w:rPr>
          <w:t>地平線8月31日業績</w:t>
        </w:r>
      </w:hyperlink>
    </w:p>
    <w:p>
      <w:pPr>
        <w:pStyle w:val="Heading2"/>
      </w:pPr>
      <w:r>
        <w:t>01989 廣合科技　廣合的業績承接強於到期供給</w:t>
      </w:r>
    </w:p>
    <w:p>
      <w:pPr>
        <w:spacing w:after="80"/>
      </w:pPr>
      <w:r>
        <w:rPr>
          <w:b/>
          <w:sz w:val="20"/>
        </w:rPr>
        <w:t>買 02476 勝宏科技 ／ 沽 01989 廣合科技　｜　T0 09/21</w:t>
      </w:r>
    </w:p>
    <w:p>
      <w:pPr>
        <w:spacing w:after="80"/>
      </w:pPr>
      <w:r>
        <w:rPr>
          <w:b w:val="0"/>
          <w:sz w:val="20"/>
        </w:rPr>
        <w:t>廣合與勝宏都是AI伺服器PCB供應商，是本組產品較直接的一對。</w:t>
      </w:r>
    </w:p>
    <w:p>
      <w:pPr>
        <w:spacing w:after="100"/>
      </w:pPr>
      <w:r>
        <w:rPr>
          <w:b/>
          <w:sz w:val="20"/>
        </w:rPr>
        <w:t>到期後10日（09/21–10/06）：long -8.9%　short標的 +5.9%　→　差值 -14.7個百分點。</w:t>
      </w:r>
    </w:p>
    <w:p>
      <w:r>
        <w:rPr>
          <w:b/>
        </w:rPr>
        <w:t xml:space="preserve">原因　</w:t>
      </w:r>
      <w:r>
        <w:t>廣合8月7日已公布H1收入增81.0%、淨利增94.4%、經營現金流增106.8%；勝宏8月28日公布收入增28.8%、淨利增33.3%。不同基數不能直接當估值差，但廣合較快的增長及現金回款，是比單一解禁日更有內容的相對承接理由。</w:t>
      </w:r>
    </w:p>
    <w:p>
      <w:r>
        <w:rPr>
          <w:b/>
        </w:rPr>
        <w:t xml:space="preserve">判斷　</w:t>
      </w:r>
      <w:r>
        <w:t>T0兩股都大升，廣合只多升約1.4個百分點，不能把全部14.3%升幅稱作個股利好。到期後15日，廣合與勝宏分別跌25.0%及23.3%，配對僅+1.7；後段暴跌大部分屬共同板塊風險。</w:t>
      </w:r>
    </w:p>
    <w:p>
      <w:pPr>
        <w:spacing w:after="180" w:line="240" w:lineRule="auto"/>
      </w:pPr>
      <w:hyperlink r:id="rId24">
        <w:r>
          <w:rPr>
            <w:rFonts w:eastAsia="Heiti TC" w:ascii="Arial"/>
            <w:color w:val="244B6B"/>
            <w:sz w:val="17"/>
          </w:rPr>
          <w:t>廣合科技H1</w:t>
        </w:r>
      </w:hyperlink>
      <w:r>
        <w:rPr>
          <w:sz w:val="17"/>
        </w:rPr>
        <w:t xml:space="preserve">　／　</w:t>
      </w:r>
      <w:hyperlink r:id="rId25">
        <w:r>
          <w:rPr>
            <w:rFonts w:eastAsia="Heiti TC" w:ascii="Arial"/>
            <w:color w:val="244B6B"/>
            <w:sz w:val="17"/>
          </w:rPr>
          <w:t>勝宏2026半年報摘要</w:t>
        </w:r>
      </w:hyperlink>
    </w:p>
    <w:p>
      <w:pPr>
        <w:pStyle w:val="Heading2"/>
      </w:pPr>
      <w:r>
        <w:t>02259 紫金黃金國際　紫金黃金的到期股東沒有必然退出需求</w:t>
      </w:r>
    </w:p>
    <w:p>
      <w:pPr>
        <w:spacing w:after="80"/>
      </w:pPr>
      <w:r>
        <w:rPr>
          <w:b/>
          <w:sz w:val="20"/>
        </w:rPr>
        <w:t>買 06693 赤峰黃金 ／ 沽 02259 紫金黃金國際　｜　T0 09/30</w:t>
      </w:r>
    </w:p>
    <w:p>
      <w:pPr>
        <w:spacing w:after="80"/>
      </w:pPr>
      <w:r>
        <w:rPr>
          <w:b w:val="0"/>
          <w:sz w:val="20"/>
        </w:rPr>
        <w:t>紫金黃金與赤峰均有境外金礦，金價敞口較直接。</w:t>
      </w:r>
    </w:p>
    <w:p>
      <w:pPr>
        <w:spacing w:after="100"/>
      </w:pPr>
      <w:r>
        <w:rPr>
          <w:b/>
          <w:sz w:val="20"/>
        </w:rPr>
        <w:t>到期後10日（09/30–10/15）：long -6.7%　short標的 +1.2%　→　差值 -7.9個百分點。</w:t>
      </w:r>
    </w:p>
    <w:p>
      <w:r>
        <w:rPr>
          <w:b/>
        </w:rPr>
        <w:t xml:space="preserve">原因　</w:t>
      </w:r>
      <w:r>
        <w:t>日曆上的約22.75億股屬控股母公司紫金礦業，不是一群有基金退出期限的分散投資者。未取得母公司在此窗口出售的證據。紫金黃金8月14日已公布H1礦產金增44%、淨利增179%，產量增長提供了金價之外的公司因素。</w:t>
      </w:r>
    </w:p>
    <w:p>
      <w:r>
        <w:rPr>
          <w:b/>
        </w:rPr>
        <w:t xml:space="preserve">判斷　</w:t>
      </w:r>
      <w:r>
        <w:t>到期後差值為負，來自紫金黃金微升、赤峰下跌；不能只說「金價好所以不跌」，因long也同屬金礦。更合理的是股東出售意願不足以由日曆推定，加上本股增產承接；相對歸因仍屬推論。</w:t>
      </w:r>
    </w:p>
    <w:p>
      <w:pPr>
        <w:spacing w:after="180" w:line="240" w:lineRule="auto"/>
      </w:pPr>
      <w:hyperlink r:id="rId26">
        <w:r>
          <w:rPr>
            <w:rFonts w:eastAsia="Heiti TC" w:ascii="Arial"/>
            <w:color w:val="244B6B"/>
            <w:sz w:val="17"/>
          </w:rPr>
          <w:t>紫金黃金國際H1</w:t>
        </w:r>
      </w:hyperlink>
    </w:p>
    <w:p>
      <w:r>
        <w:br w:type="page"/>
      </w:r>
    </w:p>
    <w:p>
      <w:pPr>
        <w:pStyle w:val="Heading1"/>
      </w:pPr>
      <w:r>
        <w:t>提前跑輸與隨後反轉</w:t>
      </w:r>
    </w:p>
    <w:p>
      <w:pPr>
        <w:pStyle w:val="Heading2"/>
      </w:pPr>
      <w:r>
        <w:t>02677 卓正醫療　卓正的大跌不等於全段配對獲利</w:t>
      </w:r>
    </w:p>
    <w:p>
      <w:pPr>
        <w:spacing w:after="80"/>
      </w:pPr>
      <w:r>
        <w:rPr>
          <w:b/>
          <w:sz w:val="20"/>
        </w:rPr>
        <w:t>買 01518 新世紀醫療 ／ 沽 02677 卓正醫療　｜　T0 08/06</w:t>
      </w:r>
    </w:p>
    <w:p>
      <w:pPr>
        <w:spacing w:after="80"/>
      </w:pPr>
      <w:r>
        <w:rPr>
          <w:b w:val="0"/>
          <w:sz w:val="20"/>
        </w:rPr>
        <w:t>新世紀的自費兒科及婦產科客群較近，但兩股交易均較薄。</w:t>
      </w:r>
    </w:p>
    <w:p>
      <w:pPr>
        <w:spacing w:after="100"/>
      </w:pPr>
      <w:r>
        <w:rPr>
          <w:b/>
          <w:sz w:val="20"/>
        </w:rPr>
        <w:t>解禁當日（08/05–08/06）：long +9.3%　short標的 -5.5%　→　差值 +14.8個百分點。</w:t>
      </w:r>
    </w:p>
    <w:p>
      <w:r>
        <w:rPr>
          <w:b/>
        </w:rPr>
        <w:t xml:space="preserve">原因　</w:t>
      </w:r>
      <w:r>
        <w:t>T0的+14.8同時來自卓正下跌及新世紀上升。實際基石約152萬股，相對卓正事前日均僅約5,648股，供給相對交易深度很大。8月13日才公布H1收入增17%、經調整扭虧，時間上更適合解釋到期後反彈。</w:t>
      </w:r>
    </w:p>
    <w:p>
      <w:r>
        <w:rPr>
          <w:b/>
        </w:rPr>
        <w:t xml:space="preserve">判斷　</w:t>
      </w:r>
      <w:r>
        <w:t>前15日兩股已分別跌19.3%及18.2%，相對只差+1.1；其後10日卓正反彈較多，差值−11.8。供給預期合理，但薄成交及long本身波動，使單一比例圖容易放大故事。</w:t>
      </w:r>
    </w:p>
    <w:p>
      <w:pPr>
        <w:spacing w:after="180" w:line="240" w:lineRule="auto"/>
      </w:pPr>
      <w:hyperlink r:id="rId27">
        <w:r>
          <w:rPr>
            <w:rFonts w:eastAsia="Heiti TC" w:ascii="Arial"/>
            <w:color w:val="244B6B"/>
            <w:sz w:val="17"/>
          </w:rPr>
          <w:t>卓正醫療H1</w:t>
        </w:r>
      </w:hyperlink>
      <w:r>
        <w:rPr>
          <w:sz w:val="17"/>
        </w:rPr>
        <w:t xml:space="preserve">　／　</w:t>
      </w:r>
      <w:hyperlink r:id="rId28">
        <w:r>
          <w:rPr>
            <w:rFonts w:eastAsia="Heiti TC" w:ascii="Arial"/>
            <w:color w:val="244B6B"/>
            <w:sz w:val="17"/>
          </w:rPr>
          <w:t>8月6日實際基石解禁股數報道</w:t>
        </w:r>
      </w:hyperlink>
    </w:p>
    <w:p>
      <w:pPr>
        <w:pStyle w:val="Heading2"/>
      </w:pPr>
      <w:r>
        <w:t>02714 牧原股份　牧原的提前跑輸沒有延續</w:t>
      </w:r>
    </w:p>
    <w:p>
      <w:pPr>
        <w:spacing w:after="80"/>
      </w:pPr>
      <w:r>
        <w:rPr>
          <w:b/>
          <w:sz w:val="20"/>
        </w:rPr>
        <w:t>買 02419 德康農牧 ／ 沽 02714 牧原股份　｜　T0 08/06</w:t>
      </w:r>
    </w:p>
    <w:p>
      <w:pPr>
        <w:spacing w:after="80"/>
      </w:pPr>
      <w:r>
        <w:rPr>
          <w:b w:val="0"/>
          <w:sz w:val="20"/>
        </w:rPr>
        <w:t>德康是較近的養豬同業，兩者仍有養殖模式及成本差異。</w:t>
      </w:r>
    </w:p>
    <w:p>
      <w:pPr>
        <w:spacing w:after="100"/>
      </w:pPr>
      <w:r>
        <w:rPr>
          <w:b/>
          <w:sz w:val="20"/>
        </w:rPr>
        <w:t>到期後10日（08/06–08/20）：long +7.0%　short標的 +12.6%　→　差值 -5.6個百分點。</w:t>
      </w:r>
    </w:p>
    <w:p>
      <w:r>
        <w:rPr>
          <w:b/>
        </w:rPr>
        <w:t xml:space="preserve">原因　</w:t>
      </w:r>
      <w:r>
        <w:t>前15日牧原跌4.7%、德康升2.4%，配對+7.1；T0以後牧原卻反彈較快。約1.37億基石股到期沒有轉化為持續落後。8月20日公布H1虧損，是豬價及成本週期的驗證，不能單憑壞業績推斷此前必須持續跌。</w:t>
      </w:r>
    </w:p>
    <w:p>
      <w:r>
        <w:rPr>
          <w:b/>
        </w:rPr>
        <w:t xml:space="preserve">判斷　</w:t>
      </w:r>
      <w:r>
        <w:t>可確認的是供給沒有壓倒相對買盤；「悲觀預期已反映、交易未來豬價」是合理機制，但未找到足以證明這次相對反彈由哪項單一消息觸發的證據。不把這個未知填成確定原因。</w:t>
      </w:r>
    </w:p>
    <w:p>
      <w:pPr>
        <w:spacing w:after="180" w:line="240" w:lineRule="auto"/>
      </w:pPr>
      <w:hyperlink r:id="rId29">
        <w:r>
          <w:rPr>
            <w:rFonts w:eastAsia="Heiti TC" w:ascii="Arial"/>
            <w:color w:val="244B6B"/>
            <w:sz w:val="17"/>
          </w:rPr>
          <w:t>牧原股份H1</w:t>
        </w:r>
      </w:hyperlink>
    </w:p>
    <w:p>
      <w:pPr>
        <w:pStyle w:val="Heading2"/>
      </w:pPr>
      <w:r>
        <w:t>03200 大族數控　大族的跑輸有一部分來自peer升得更快</w:t>
      </w:r>
    </w:p>
    <w:p>
      <w:pPr>
        <w:spacing w:after="80"/>
      </w:pPr>
      <w:r>
        <w:rPr>
          <w:b/>
          <w:sz w:val="20"/>
        </w:rPr>
        <w:t>買 09630 芯碁微裝 ／ 沽 03200 大族數控　｜　T0 08/06</w:t>
      </w:r>
    </w:p>
    <w:p>
      <w:pPr>
        <w:spacing w:after="80"/>
      </w:pPr>
      <w:r>
        <w:rPr>
          <w:b w:val="0"/>
          <w:sz w:val="20"/>
        </w:rPr>
        <w:t>大族與芯碁同供應PCB製程設備；鑽孔及直接成像的需求彈性不同。</w:t>
      </w:r>
    </w:p>
    <w:p>
      <w:pPr>
        <w:spacing w:after="100"/>
      </w:pPr>
      <w:r>
        <w:rPr>
          <w:b/>
          <w:sz w:val="20"/>
        </w:rPr>
        <w:t>解禁前5日（07/29–08/05）：long +28.4%　short標的 +14.7%　→　差值 +13.7個百分點。</w:t>
      </w:r>
    </w:p>
    <w:p>
      <w:r>
        <w:rPr>
          <w:b/>
        </w:rPr>
        <w:t xml:space="preserve">原因　</w:t>
      </w:r>
      <w:r>
        <w:t>最後5日本股並沒有跌，而是升14.7%，芯碁升28.4%；這段long/short的主要相對來源是long更強。T0大族跌5.6%、芯碁跌4.2%，新增差值僅+1.4，不能把事前差距全部解釋成解禁拋售。</w:t>
      </w:r>
    </w:p>
    <w:p>
      <w:r>
        <w:rPr>
          <w:b/>
        </w:rPr>
        <w:t xml:space="preserve">判斷　</w:t>
      </w:r>
      <w:r>
        <w:t>8月20日才公布大族收入增109%、淨利增264%，但經營現金淨流出10.75億元；盈利與回款有落差。此資料適合評估其後估值承接，未證明事前芯碁急升的確切原因。</w:t>
      </w:r>
    </w:p>
    <w:p>
      <w:pPr>
        <w:spacing w:after="180" w:line="240" w:lineRule="auto"/>
      </w:pPr>
      <w:hyperlink r:id="rId30">
        <w:r>
          <w:rPr>
            <w:rFonts w:eastAsia="Heiti TC" w:ascii="Arial"/>
            <w:color w:val="244B6B"/>
            <w:sz w:val="17"/>
          </w:rPr>
          <w:t>大族數控H1</w:t>
        </w:r>
      </w:hyperlink>
    </w:p>
    <w:p>
      <w:r>
        <w:br w:type="page"/>
      </w:r>
    </w:p>
    <w:p>
      <w:pPr>
        <w:pStyle w:val="Heading1"/>
      </w:pPr>
      <w:r>
        <w:t>業績與產品週期的影響</w:t>
      </w:r>
    </w:p>
    <w:p>
      <w:pPr>
        <w:pStyle w:val="Heading2"/>
      </w:pPr>
      <w:r>
        <w:t>06960 雙登股份　雙登的業績轉差早於解禁日</w:t>
      </w:r>
    </w:p>
    <w:p>
      <w:pPr>
        <w:spacing w:after="80"/>
      </w:pPr>
      <w:r>
        <w:rPr>
          <w:b/>
          <w:sz w:val="20"/>
        </w:rPr>
        <w:t>買 00842 理士國際 ／ 沽 06960 雙登股份　｜　T0 08/26</w:t>
      </w:r>
    </w:p>
    <w:p>
      <w:pPr>
        <w:spacing w:after="80"/>
      </w:pPr>
      <w:r>
        <w:rPr>
          <w:b w:val="0"/>
          <w:sz w:val="20"/>
        </w:rPr>
        <w:t>理士同做通信及不斷電系統備用電池，應用較接近。</w:t>
      </w:r>
    </w:p>
    <w:p>
      <w:pPr>
        <w:spacing w:after="100"/>
      </w:pPr>
      <w:r>
        <w:rPr>
          <w:b/>
          <w:sz w:val="20"/>
        </w:rPr>
        <w:t>到期後10日（08/26–09/09）：long -1.1%　short標的 -18.2%　→　差值 +17.1個百分點。</w:t>
      </w:r>
    </w:p>
    <w:p>
      <w:r>
        <w:rPr>
          <w:b/>
        </w:rPr>
        <w:t xml:space="preserve">原因　</w:t>
      </w:r>
      <w:r>
        <w:t>8月21日雙登公布H1轉虧，毛利率由14.9%降至12.9%，與最後5日差值+12.2的時間吻合。虧損亦受歷史稅務及匯兌影響，不能全部視為需求崩壞。T0雙登反升2.5%，成交只及日均0.5倍。</w:t>
      </w:r>
    </w:p>
    <w:p>
      <w:r>
        <w:rPr>
          <w:b/>
        </w:rPr>
        <w:t xml:space="preserve">判斷　</w:t>
      </w:r>
      <w:r>
        <w:t>後10日主要由short雙登跌18.2%貢獻，理士僅跌1.1%。已有的盈利及毛利重估比「到期當天大量拋售」更有證據；低流動性及大額潛在供給可能放大後續反應。</w:t>
      </w:r>
    </w:p>
    <w:p>
      <w:pPr>
        <w:spacing w:after="180" w:line="240" w:lineRule="auto"/>
      </w:pPr>
      <w:hyperlink r:id="rId31">
        <w:r>
          <w:rPr>
            <w:rFonts w:eastAsia="Heiti TC" w:ascii="Arial"/>
            <w:color w:val="244B6B"/>
            <w:sz w:val="17"/>
          </w:rPr>
          <w:t>雙登股份H1</w:t>
        </w:r>
      </w:hyperlink>
    </w:p>
    <w:p>
      <w:pPr>
        <w:pStyle w:val="Heading2"/>
      </w:pPr>
      <w:r>
        <w:t>02580 奧克斯電氣　奧克斯的事前弱勢貼近業績公告</w:t>
      </w:r>
    </w:p>
    <w:p>
      <w:pPr>
        <w:spacing w:after="80"/>
      </w:pPr>
      <w:r>
        <w:rPr>
          <w:b/>
          <w:sz w:val="20"/>
        </w:rPr>
        <w:t>買 00921 海信家電 ／ 沽 02580 奧克斯電氣　｜　T0 09/02</w:t>
      </w:r>
    </w:p>
    <w:p>
      <w:pPr>
        <w:spacing w:after="80"/>
      </w:pPr>
      <w:r>
        <w:rPr>
          <w:b w:val="0"/>
          <w:sz w:val="20"/>
        </w:rPr>
        <w:t>海信的空調業務較近，但冰洗及熱管理收入較多。</w:t>
      </w:r>
    </w:p>
    <w:p>
      <w:pPr>
        <w:spacing w:after="100"/>
      </w:pPr>
      <w:r>
        <w:rPr>
          <w:b/>
          <w:sz w:val="20"/>
        </w:rPr>
        <w:t>解禁前5日（08/25–09/01）：long +0.9%　short標的 -9.6%　→　差值 +10.6個百分點。</w:t>
      </w:r>
    </w:p>
    <w:p>
      <w:r>
        <w:rPr>
          <w:b/>
        </w:rPr>
        <w:t xml:space="preserve">原因　</w:t>
      </w:r>
      <w:r>
        <w:t>8月28日奧克斯公布H1收入跌12.9%、淨利跌40.8%、毛利率降至18.1%；消息位於9月2日到期前最後一週。到期當日成交僅日均0.4倍，控股股東名義限制到期並不證明全數股份進場出售。</w:t>
      </w:r>
    </w:p>
    <w:p>
      <w:r>
        <w:rPr>
          <w:b/>
        </w:rPr>
        <w:t xml:space="preserve">判斷　</w:t>
      </w:r>
      <w:r>
        <w:t>最後5日的+10.6主要來自奧克斯跌、海信微升，較符合公司盈利重估。事前15日反為−6.7，到期後5日約持平；「提早三週一律建倉」會得出另一結果。股息已調整。</w:t>
      </w:r>
    </w:p>
    <w:p>
      <w:pPr>
        <w:spacing w:after="180" w:line="240" w:lineRule="auto"/>
      </w:pPr>
      <w:hyperlink r:id="rId32">
        <w:r>
          <w:rPr>
            <w:rFonts w:eastAsia="Heiti TC" w:ascii="Arial"/>
            <w:color w:val="244B6B"/>
            <w:sz w:val="17"/>
          </w:rPr>
          <w:t>奧克斯電氣H1</w:t>
        </w:r>
      </w:hyperlink>
    </w:p>
    <w:p>
      <w:pPr>
        <w:pStyle w:val="Heading2"/>
      </w:pPr>
      <w:r>
        <w:t>02525 禾賽　禾賽在十日窗口落後 其後差距回補</w:t>
      </w:r>
    </w:p>
    <w:p>
      <w:pPr>
        <w:spacing w:after="80"/>
      </w:pPr>
      <w:r>
        <w:rPr>
          <w:b/>
          <w:sz w:val="20"/>
        </w:rPr>
        <w:t>買 02498 速騰聚創 ／ 沽 02525 禾賽　｜　T0 09/16</w:t>
      </w:r>
    </w:p>
    <w:p>
      <w:pPr>
        <w:spacing w:after="80"/>
      </w:pPr>
      <w:r>
        <w:rPr>
          <w:b w:val="0"/>
          <w:sz w:val="20"/>
        </w:rPr>
        <w:t>速騰同做汽車及機器人激光雷達，是較直接的產品配對。</w:t>
      </w:r>
    </w:p>
    <w:p>
      <w:pPr>
        <w:spacing w:after="100"/>
      </w:pPr>
      <w:r>
        <w:rPr>
          <w:b/>
          <w:sz w:val="20"/>
        </w:rPr>
        <w:t>到期後10日（09/16–09/30）：long +3.7%　short標的 -4.5%　→　差值 +8.2個百分點。</w:t>
      </w:r>
    </w:p>
    <w:p>
      <w:r>
        <w:rPr>
          <w:b/>
        </w:rPr>
        <w:t xml:space="preserve">原因　</w:t>
      </w:r>
      <w:r>
        <w:t>禾賽8月18日公布出貨增100.8%，收入只增25.1%，毛利率降至39.7%；單價及產品組合壓力可削弱增長估值。香港股份與美國ADS可轉換，2026年香港到期日也不是全公司首次有可交易股份。</w:t>
      </w:r>
    </w:p>
    <w:p>
      <w:r>
        <w:rPr>
          <w:b/>
        </w:rPr>
        <w:t xml:space="preserve">判斷　</w:t>
      </w:r>
      <w:r>
        <w:t>事前15日禾賽反而跑贏6.8個百分點，後15日配對又回到−0.2。產品數據是已知背景，尚未核實一項能單獨解釋後10日差距的即時催化；不能把這個短窗固定成解禁規律。</w:t>
      </w:r>
    </w:p>
    <w:p>
      <w:pPr>
        <w:spacing w:after="180" w:line="240" w:lineRule="auto"/>
      </w:pPr>
      <w:hyperlink r:id="rId33">
        <w:r>
          <w:rPr>
            <w:rFonts w:eastAsia="Heiti TC" w:ascii="Arial"/>
            <w:color w:val="244B6B"/>
            <w:sz w:val="17"/>
          </w:rPr>
          <w:t>禾賽H1</w:t>
        </w:r>
      </w:hyperlink>
      <w:r>
        <w:rPr>
          <w:sz w:val="17"/>
        </w:rPr>
        <w:t xml:space="preserve">　／　</w:t>
      </w:r>
      <w:hyperlink r:id="rId34">
        <w:r>
          <w:rPr>
            <w:rFonts w:eastAsia="Heiti TC" w:ascii="Arial"/>
            <w:color w:val="244B6B"/>
            <w:sz w:val="17"/>
          </w:rPr>
          <w:t>公司上市及ADS轉換說明</w:t>
        </w:r>
      </w:hyperlink>
    </w:p>
    <w:p>
      <w:r>
        <w:br w:type="page"/>
      </w:r>
    </w:p>
    <w:p>
      <w:pPr>
        <w:pStyle w:val="Heading1"/>
      </w:pPr>
      <w:r>
        <w:t>觀察窗口改變結論</w:t>
      </w:r>
    </w:p>
    <w:p>
      <w:pPr>
        <w:pStyle w:val="Heading2"/>
      </w:pPr>
      <w:r>
        <w:t>02706 海致科技集團　海致只在最後一週相對轉弱</w:t>
      </w:r>
    </w:p>
    <w:p>
      <w:pPr>
        <w:spacing w:after="80"/>
      </w:pPr>
      <w:r>
        <w:rPr>
          <w:b/>
          <w:sz w:val="20"/>
        </w:rPr>
        <w:t>買 02718 明略科技 ／ 沽 02706 海致科技集團　｜　T0 08/13</w:t>
      </w:r>
    </w:p>
    <w:p>
      <w:pPr>
        <w:spacing w:after="80"/>
      </w:pPr>
      <w:r>
        <w:rPr>
          <w:b w:val="0"/>
          <w:sz w:val="20"/>
        </w:rPr>
        <w:t>主配對選知識圖譜及企業決策AI較近的明略；滴普作第二個核對。</w:t>
      </w:r>
    </w:p>
    <w:p>
      <w:pPr>
        <w:spacing w:after="100"/>
      </w:pPr>
      <w:r>
        <w:rPr>
          <w:b/>
          <w:sz w:val="20"/>
        </w:rPr>
        <w:t>解禁前5日（08/05–08/12）：long -6.2%　short標的 -17.6%　→　差值 +11.4個百分點。</w:t>
      </w:r>
    </w:p>
    <w:p>
      <w:r>
        <w:rPr>
          <w:b/>
        </w:rPr>
        <w:t xml:space="preserve">原因　</w:t>
      </w:r>
      <w:r>
        <w:t>前15日海致升36.4%，明略跌57.5%，差值−93.9。明略7月29日晚宣布擬斥人民幣8.59億元收購普聯19.07%，翌日跌27.7%；資金投入及整合風險，是long一邊獨立的重估因素。最後5日配對才轉為+11.4，T0後15日又為−19.3；改用滴普核對，三段方向仍相同。</w:t>
      </w:r>
    </w:p>
    <w:p>
      <w:r>
        <w:rPr>
          <w:b/>
        </w:rPr>
        <w:t xml:space="preserve">判斷　</w:t>
      </w:r>
      <w:r>
        <w:t>海致兩名基石約173萬股僅相當於0.3倍日均成交，難以單靠供給量解釋巨幅價差。8月25日海致收入增70.4%的公告可支持其後承接。明略收購與急跌時間吻合，但尚未分離其他消息影響；不把整段差值都叫海致解禁效應。</w:t>
      </w:r>
    </w:p>
    <w:p>
      <w:pPr>
        <w:spacing w:after="180" w:line="240" w:lineRule="auto"/>
      </w:pPr>
      <w:hyperlink r:id="rId35">
        <w:r>
          <w:rPr>
            <w:rFonts w:eastAsia="Heiti TC" w:ascii="Arial"/>
            <w:color w:val="244B6B"/>
            <w:sz w:val="17"/>
          </w:rPr>
          <w:t>海致科技集團H1</w:t>
        </w:r>
      </w:hyperlink>
      <w:r>
        <w:rPr>
          <w:sz w:val="17"/>
        </w:rPr>
        <w:t xml:space="preserve">　／　</w:t>
      </w:r>
      <w:hyperlink r:id="rId36">
        <w:r>
          <w:rPr>
            <w:rFonts w:eastAsia="Heiti TC" w:ascii="Arial"/>
            <w:color w:val="244B6B"/>
            <w:sz w:val="17"/>
          </w:rPr>
          <w:t>明略7月30日收購報道</w:t>
        </w:r>
      </w:hyperlink>
    </w:p>
    <w:p>
      <w:pPr>
        <w:pStyle w:val="Heading2"/>
      </w:pPr>
      <w:r>
        <w:t>02595 勁方醫藥　勁方不是單方向的解禁後跑輸</w:t>
      </w:r>
    </w:p>
    <w:p>
      <w:pPr>
        <w:spacing w:after="80"/>
      </w:pPr>
      <w:r>
        <w:rPr>
          <w:b/>
          <w:sz w:val="20"/>
        </w:rPr>
        <w:t>買 01167 加科思 ／ 沽 02595 勁方醫藥　｜　T0 09/21</w:t>
      </w:r>
    </w:p>
    <w:p>
      <w:pPr>
        <w:spacing w:after="80"/>
      </w:pPr>
      <w:r>
        <w:rPr>
          <w:b w:val="0"/>
          <w:sz w:val="20"/>
        </w:rPr>
        <w:t>加科思與勁方的KRAS腫瘤藥研發較直接，但資產及授權權益不同。</w:t>
      </w:r>
    </w:p>
    <w:p>
      <w:pPr>
        <w:spacing w:after="100"/>
      </w:pPr>
      <w:r>
        <w:rPr>
          <w:b/>
          <w:sz w:val="20"/>
        </w:rPr>
        <w:t>到期後10日（09/21–10/06）：long +6.8%　short標的 +12.7%　→　差值 -5.9個百分點。</w:t>
      </w:r>
    </w:p>
    <w:p>
      <w:r>
        <w:rPr>
          <w:b/>
        </w:rPr>
        <w:t xml:space="preserve">原因　</w:t>
      </w:r>
      <w:r>
        <w:t>T0勁方升13.7%，加科思升7.7%；後5日配對+3.2，後10日卻變成−5.9。兩者H1收入受授權收入確認影響，加科思7.31億元收入中產品合作收入僅1,450萬元，不能把表面高盈利當作穩定賣藥能力。</w:t>
      </w:r>
    </w:p>
    <w:p>
      <w:r>
        <w:rPr>
          <w:b/>
        </w:rPr>
        <w:t xml:space="preserve">判斷　</w:t>
      </w:r>
      <w:r>
        <w:t>約2.35億股名義到期及T0約31倍日均成交，顯示換手活躍，沒有證明單向供給壓倒需求。這組主要風險是藥物資產估值及消息波動；沒有足夠減持證據解釋每次轉向。</w:t>
      </w:r>
    </w:p>
    <w:p>
      <w:pPr>
        <w:spacing w:after="180" w:line="240" w:lineRule="auto"/>
      </w:pPr>
      <w:hyperlink r:id="rId37">
        <w:r>
          <w:rPr>
            <w:rFonts w:eastAsia="Heiti TC" w:ascii="Arial"/>
            <w:color w:val="244B6B"/>
            <w:sz w:val="17"/>
          </w:rPr>
          <w:t>勁方醫藥H1</w:t>
        </w:r>
      </w:hyperlink>
      <w:r>
        <w:rPr>
          <w:sz w:val="17"/>
        </w:rPr>
        <w:t xml:space="preserve">　／　</w:t>
      </w:r>
      <w:hyperlink r:id="rId38">
        <w:r>
          <w:rPr>
            <w:rFonts w:eastAsia="Heiti TC" w:ascii="Arial"/>
            <w:color w:val="244B6B"/>
            <w:sz w:val="17"/>
          </w:rPr>
          <w:t>加科思2026中期業績</w:t>
        </w:r>
      </w:hyperlink>
    </w:p>
    <w:p>
      <w:pPr>
        <w:pStyle w:val="Heading2"/>
      </w:pPr>
      <w:r>
        <w:t>09973 奇瑞汽車　奇瑞沒有顯著的到期後額外弱勢</w:t>
      </w:r>
    </w:p>
    <w:p>
      <w:pPr>
        <w:spacing w:after="80"/>
      </w:pPr>
      <w:r>
        <w:rPr>
          <w:b/>
          <w:sz w:val="20"/>
        </w:rPr>
        <w:t>買 00175 吉利汽車 ／ 沽 09973 奇瑞汽車　｜　T0 09/25</w:t>
      </w:r>
    </w:p>
    <w:p>
      <w:pPr>
        <w:spacing w:after="80"/>
      </w:pPr>
      <w:r>
        <w:rPr>
          <w:b w:val="0"/>
          <w:sz w:val="20"/>
        </w:rPr>
        <w:t>吉利同做多品牌乘用車與出口，是較近的港股整車配對。</w:t>
      </w:r>
    </w:p>
    <w:p>
      <w:pPr>
        <w:spacing w:after="100"/>
      </w:pPr>
      <w:r>
        <w:rPr>
          <w:b/>
          <w:sz w:val="20"/>
        </w:rPr>
        <w:t>到期後10日（09/25–10/12）：long -3.1%　short標的 -3.2%　→　差值 +0.1個百分點。</w:t>
      </w:r>
    </w:p>
    <w:p>
      <w:r>
        <w:rPr>
          <w:b/>
        </w:rPr>
        <w:t xml:space="preserve">原因　</w:t>
      </w:r>
      <w:r>
        <w:t>兩股後10日都跌約3.2%，配對僅+0.1；T0成交約日均0.9倍，沒有明顯供給斷層。奇瑞H1收入增1.2%、歸母淨利跌11.7%，但毛利率升至16.1%；吉利核心盈利增46%，不同盈利口徑不可直接相減。</w:t>
      </w:r>
    </w:p>
    <w:p>
      <w:r>
        <w:rPr>
          <w:b/>
        </w:rPr>
        <w:t xml:space="preserve">判斷　</w:t>
      </w:r>
      <w:r>
        <w:t>即使peer的增長較亮眼，也沒有在這個窗口產生明顯相對回報。合理解釋是盈利差異已有定價、整車共同風險更大，及名義到期未變成可見的集中賣盤；無法證明每項因素的權重。</w:t>
      </w:r>
    </w:p>
    <w:p>
      <w:pPr>
        <w:spacing w:after="180" w:line="240" w:lineRule="auto"/>
      </w:pPr>
      <w:hyperlink r:id="rId39">
        <w:r>
          <w:rPr>
            <w:rFonts w:eastAsia="Heiti TC" w:ascii="Arial"/>
            <w:color w:val="244B6B"/>
            <w:sz w:val="17"/>
          </w:rPr>
          <w:t>奇瑞汽車H1</w:t>
        </w:r>
      </w:hyperlink>
      <w:r>
        <w:rPr>
          <w:sz w:val="17"/>
        </w:rPr>
        <w:t xml:space="preserve">　／　</w:t>
      </w:r>
      <w:hyperlink r:id="rId40">
        <w:r>
          <w:rPr>
            <w:rFonts w:eastAsia="Heiti TC" w:ascii="Arial"/>
            <w:color w:val="244B6B"/>
            <w:sz w:val="17"/>
          </w:rPr>
          <w:t>吉利2026中期業績</w:t>
        </w:r>
      </w:hyperlink>
    </w:p>
    <w:p>
      <w:r>
        <w:br w:type="page"/>
      </w:r>
    </w:p>
    <w:p>
      <w:pPr>
        <w:pStyle w:val="Heading1"/>
      </w:pPr>
      <w:r>
        <w:t>產品差異較大的三組參照</w:t>
      </w:r>
    </w:p>
    <w:p>
      <w:pPr>
        <w:pStyle w:val="Heading2"/>
      </w:pPr>
      <w:r>
        <w:t>06809 瀾起科技　瀾起的相對弱勢主要是曦智先急升</w:t>
      </w:r>
    </w:p>
    <w:p>
      <w:pPr>
        <w:spacing w:after="80"/>
      </w:pPr>
      <w:r>
        <w:rPr>
          <w:b/>
          <w:sz w:val="20"/>
        </w:rPr>
        <w:t>買 01879 曦智科技 ／ 沽 06809 瀾起科技　｜　T0 08/10</w:t>
      </w:r>
    </w:p>
    <w:p>
      <w:pPr>
        <w:spacing w:after="80"/>
      </w:pPr>
      <w:r>
        <w:rPr>
          <w:b w:val="0"/>
          <w:sz w:val="20"/>
        </w:rPr>
        <w:t>瀾起做伺服器記憶體接口；曦智做光互連，只有數據傳輸需求交集。</w:t>
      </w:r>
    </w:p>
    <w:p>
      <w:pPr>
        <w:spacing w:after="100"/>
      </w:pPr>
      <w:r>
        <w:rPr>
          <w:b/>
          <w:sz w:val="20"/>
        </w:rPr>
        <w:t>解禁前5日（07/31–08/07）：long +24.2%　short標的 +0.1%　→　差值 +24.1個百分點。</w:t>
      </w:r>
    </w:p>
    <w:p>
      <w:r>
        <w:rPr>
          <w:b/>
        </w:rPr>
        <w:t xml:space="preserve">原因　</w:t>
      </w:r>
      <w:r>
        <w:t>最後5日瀾起幾乎持平，曦智升24.2%，所以配對+24.1。解禁後5日瀾起反升20.7%、曦智升4.6%，差值−16.1。這是兩個不同AI硬件方向的先後輪動，單靠到期日不能解釋。</w:t>
      </w:r>
    </w:p>
    <w:p>
      <w:r>
        <w:rPr>
          <w:b/>
        </w:rPr>
        <w:t xml:space="preserve">判斷　</w:t>
      </w:r>
      <w:r>
        <w:t>基石量約5.7倍日均成交，吸收壓力比薄成交個案小。8月28日瀾起淨利增72.3%的公告可作盈利承接背景；因沒有同產品港股，這組應視為跨子行業比較，歸因信心較低。</w:t>
      </w:r>
    </w:p>
    <w:p>
      <w:pPr>
        <w:spacing w:after="180" w:line="240" w:lineRule="auto"/>
      </w:pPr>
      <w:hyperlink r:id="rId41">
        <w:r>
          <w:rPr>
            <w:rFonts w:eastAsia="Heiti TC" w:ascii="Arial"/>
            <w:color w:val="244B6B"/>
            <w:sz w:val="17"/>
          </w:rPr>
          <w:t>瀾起科技H1</w:t>
        </w:r>
      </w:hyperlink>
    </w:p>
    <w:p>
      <w:pPr>
        <w:pStyle w:val="Heading2"/>
      </w:pPr>
      <w:r>
        <w:t>00470 先導智能　先導與機器人股不是同一盈利週期</w:t>
      </w:r>
    </w:p>
    <w:p>
      <w:pPr>
        <w:spacing w:after="80"/>
      </w:pPr>
      <w:r>
        <w:rPr>
          <w:b/>
          <w:sz w:val="20"/>
        </w:rPr>
        <w:t>買 02715 埃斯頓 ／ 沽 00470 先導智能　｜　T0 08/11</w:t>
      </w:r>
    </w:p>
    <w:p>
      <w:pPr>
        <w:spacing w:after="80"/>
      </w:pPr>
      <w:r>
        <w:rPr>
          <w:b w:val="0"/>
          <w:sz w:val="20"/>
        </w:rPr>
        <w:t>先導以鋰電池生產線為主，埃斯頓以工業機器人及運動控制為主。</w:t>
      </w:r>
    </w:p>
    <w:p>
      <w:pPr>
        <w:spacing w:after="100"/>
      </w:pPr>
      <w:r>
        <w:rPr>
          <w:b/>
          <w:sz w:val="20"/>
        </w:rPr>
        <w:t>到期後10日（08/11–08/25）：long -12.1%　short標的 -3.8%　→　差值 -8.4個百分點。</w:t>
      </w:r>
    </w:p>
    <w:p>
      <w:r>
        <w:rPr>
          <w:b/>
        </w:rPr>
        <w:t xml:space="preserve">原因　</w:t>
      </w:r>
      <w:r>
        <w:t>前15日先導升13.6%、埃斯頓近乎不變，long/short為−13.7；後10日先導跌3.8%，埃斯頓跌12.1%，仍為負。先導H1約74.7%收入來自鋰電設備，8月28日公布經營現金流增73.6%，與機器人題材不同。</w:t>
      </w:r>
    </w:p>
    <w:p>
      <w:r>
        <w:rPr>
          <w:b/>
        </w:rPr>
        <w:t xml:space="preserve">判斷　</w:t>
      </w:r>
      <w:r>
        <w:t>本股跌幅較小，並不需要假定解禁股東完全沒賣；其下游投資與peer不同已是重要原因。原附件另有翼菲配對圖，本頁明示選埃斯頓，兩組結果不能混用。未找到直接港股鋰電整線同業。</w:t>
      </w:r>
    </w:p>
    <w:p>
      <w:pPr>
        <w:spacing w:after="180" w:line="240" w:lineRule="auto"/>
      </w:pPr>
      <w:hyperlink r:id="rId42">
        <w:r>
          <w:rPr>
            <w:rFonts w:eastAsia="Heiti TC" w:ascii="Arial"/>
            <w:color w:val="244B6B"/>
            <w:sz w:val="17"/>
          </w:rPr>
          <w:t>先導智能H1</w:t>
        </w:r>
      </w:hyperlink>
    </w:p>
    <w:p>
      <w:pPr>
        <w:pStyle w:val="Heading2"/>
      </w:pPr>
      <w:r>
        <w:t>03858 佳鑫國際資源　佳鑫後段回吐有金屬品種風險</w:t>
      </w:r>
    </w:p>
    <w:p>
      <w:pPr>
        <w:spacing w:after="80"/>
      </w:pPr>
      <w:r>
        <w:rPr>
          <w:b/>
          <w:sz w:val="20"/>
        </w:rPr>
        <w:t>買 03993 洛陽鉬業 ／ 沽 03858 佳鑫國際資源　｜　T0 08/28</w:t>
      </w:r>
    </w:p>
    <w:p>
      <w:pPr>
        <w:spacing w:after="80"/>
      </w:pPr>
      <w:r>
        <w:rPr>
          <w:b w:val="0"/>
          <w:sz w:val="20"/>
        </w:rPr>
        <w:t>佳鑫主營鎢礦；洛鉬雖有鎢，整體盈利更受銅鈷影響。</w:t>
      </w:r>
    </w:p>
    <w:p>
      <w:pPr>
        <w:spacing w:after="100"/>
      </w:pPr>
      <w:r>
        <w:rPr>
          <w:b/>
          <w:sz w:val="20"/>
        </w:rPr>
        <w:t>到期後5日（08/28–09/04）：long -6.4%　short標的 -16.6%　→　差值 +10.2個百分點。</w:t>
      </w:r>
    </w:p>
    <w:p>
      <w:r>
        <w:rPr>
          <w:b/>
        </w:rPr>
        <w:t xml:space="preserve">原因　</w:t>
      </w:r>
      <w:r>
        <w:t>佳鑫解禁前15日升9.6%、T0再升2.4%，後5日才落後。8月24日已公布高毛利及投產初期盈利，沒有一個到期日突然公布的業績惡化；T0成交僅日均0.7倍。</w:t>
      </w:r>
    </w:p>
    <w:p>
      <w:r>
        <w:rPr>
          <w:b/>
        </w:rPr>
        <w:t xml:space="preserve">判斷　</w:t>
      </w:r>
      <w:r>
        <w:t>策略股東名義到期不等同即日賣盤。後段回吐可以含供給擔憂，但缺乏同步鎢價及實際出售資料，無法判定比例。後10日差值+5.2、後15日僅+2.1；9月11日每股1.87港元除息已加入總回報。</w:t>
      </w:r>
    </w:p>
    <w:p>
      <w:pPr>
        <w:spacing w:after="180" w:line="240" w:lineRule="auto"/>
      </w:pPr>
      <w:hyperlink r:id="rId43">
        <w:r>
          <w:rPr>
            <w:rFonts w:eastAsia="Heiti TC" w:ascii="Arial"/>
            <w:color w:val="244B6B"/>
            <w:sz w:val="17"/>
          </w:rPr>
          <w:t>佳鑫國際資源H1</w:t>
        </w:r>
      </w:hyperlink>
    </w:p>
    <w:p>
      <w:r>
        <w:br w:type="page"/>
      </w:r>
    </w:p>
    <w:p>
      <w:pPr>
        <w:pStyle w:val="Heading1"/>
      </w:pPr>
      <w:r>
        <w:t>買入一邊的消息決定結果</w:t>
      </w:r>
    </w:p>
    <w:p>
      <w:pPr>
        <w:pStyle w:val="Heading2"/>
      </w:pPr>
      <w:r>
        <w:t>06090 不同集團　不同的跑輸主要受好孩子私有化推動</w:t>
      </w:r>
    </w:p>
    <w:p>
      <w:pPr>
        <w:spacing w:after="80"/>
      </w:pPr>
      <w:r>
        <w:rPr>
          <w:b/>
          <w:sz w:val="20"/>
        </w:rPr>
        <w:t>買 01086 好孩子國際 ／ 沽 06090 不同集團　｜　T0 09/23</w:t>
      </w:r>
    </w:p>
    <w:p>
      <w:pPr>
        <w:spacing w:after="80"/>
      </w:pPr>
      <w:r>
        <w:rPr>
          <w:b w:val="0"/>
          <w:sz w:val="20"/>
        </w:rPr>
        <w:t>兩者同做嬰兒車及育兒用品，原本是較直接的業務配對。</w:t>
      </w:r>
    </w:p>
    <w:p>
      <w:pPr>
        <w:spacing w:after="100"/>
      </w:pPr>
      <w:r>
        <w:rPr>
          <w:b/>
          <w:sz w:val="20"/>
        </w:rPr>
        <w:t>到期後5日（09/23–09/30）：long +36.1%　short標的 -4.9%　→　差值 +41.1個百分點。</w:t>
      </w:r>
    </w:p>
    <w:p>
      <w:r>
        <w:rPr>
          <w:b/>
        </w:rPr>
        <w:t xml:space="preserve">原因　</w:t>
      </w:r>
      <w:r>
        <w:t>好孩子9月27日公布每股1.50港元私有化建議，較9月25日收市溢價38.9%；9月28日股價升24.5%。T0後5日long升36.1%、short只跌4.9%，絕大部分差值來自買入一邊。</w:t>
      </w:r>
    </w:p>
    <w:p>
      <w:r>
        <w:rPr>
          <w:b/>
        </w:rPr>
        <w:t xml:space="preserve">判斷　</w:t>
      </w:r>
      <w:r>
        <w:t>這筆long/short的盈利是真實的歷史價差，但主要是收購事件收益，不能全叫解禁alpha。不同H1經調整盈利增32.2%，T0亦上升，現有證據不支持把約41個百分點全歸因本股供給。</w:t>
      </w:r>
    </w:p>
    <w:p>
      <w:pPr>
        <w:spacing w:after="180" w:line="240" w:lineRule="auto"/>
      </w:pPr>
      <w:hyperlink r:id="rId44">
        <w:r>
          <w:rPr>
            <w:rFonts w:eastAsia="Heiti TC" w:ascii="Arial"/>
            <w:color w:val="244B6B"/>
            <w:sz w:val="17"/>
          </w:rPr>
          <w:t>不同集團H1</w:t>
        </w:r>
      </w:hyperlink>
      <w:r>
        <w:rPr>
          <w:sz w:val="17"/>
        </w:rPr>
        <w:t xml:space="preserve">　／　</w:t>
      </w:r>
      <w:hyperlink r:id="rId45">
        <w:r>
          <w:rPr>
            <w:rFonts w:eastAsia="Heiti TC" w:ascii="Arial"/>
            <w:color w:val="244B6B"/>
            <w:sz w:val="17"/>
          </w:rPr>
          <w:t>好孩子9月27日私有化聯合公告</w:t>
        </w:r>
      </w:hyperlink>
    </w:p>
    <w:p>
      <w:pPr>
        <w:pStyle w:val="Heading2"/>
      </w:pPr>
      <w:r>
        <w:t>02632 澤景股份　澤景沒跑輸 是因博泰跌得更多</w:t>
      </w:r>
    </w:p>
    <w:p>
      <w:pPr>
        <w:spacing w:after="80"/>
      </w:pPr>
      <w:r>
        <w:rPr>
          <w:b/>
          <w:sz w:val="20"/>
        </w:rPr>
        <w:t>買 02889 博泰車聯 ／ 沽 02632 澤景股份　｜　T0 09/24</w:t>
      </w:r>
    </w:p>
    <w:p>
      <w:pPr>
        <w:spacing w:after="80"/>
      </w:pPr>
      <w:r>
        <w:rPr>
          <w:b w:val="0"/>
          <w:sz w:val="20"/>
        </w:rPr>
        <w:t>澤景做HUD投影顯示；博泰做智能座艙整合，比手機鏡頭股較近。</w:t>
      </w:r>
    </w:p>
    <w:p>
      <w:pPr>
        <w:spacing w:after="100"/>
      </w:pPr>
      <w:r>
        <w:rPr>
          <w:b/>
          <w:sz w:val="20"/>
        </w:rPr>
        <w:t>到期後10日（09/24–10/09）：long -27.4%　short標的 -3.3%　→　差值 -24.1個百分點。</w:t>
      </w:r>
    </w:p>
    <w:p>
      <w:r>
        <w:rPr>
          <w:b/>
        </w:rPr>
        <w:t xml:space="preserve">原因　</w:t>
      </w:r>
      <w:r>
        <w:t>前15日澤景跌22.3%、博泰跌50.6%；long博泰／short澤景已虧28.3個百分點。博泰9月8日以120.28港元配股，折讓14.39%，同日跌16.9%，是long一邊明確的獨立供給事件。</w:t>
      </w:r>
    </w:p>
    <w:p>
      <w:r>
        <w:rPr>
          <w:b/>
        </w:rPr>
        <w:t xml:space="preserve">判斷　</w:t>
      </w:r>
      <w:r>
        <w:t>澤景H1毛利率由23.8%降至20.3%，自身並非沒有問題；但其股價較抗跌，足以令配對虧損。博泰的配股、擴張及自身禁售安排使其不是穩定對沖腿，不能把相對強勢等同澤景解禁利好。</w:t>
      </w:r>
    </w:p>
    <w:p>
      <w:pPr>
        <w:spacing w:after="180" w:line="240" w:lineRule="auto"/>
      </w:pPr>
      <w:hyperlink r:id="rId46">
        <w:r>
          <w:rPr>
            <w:rFonts w:eastAsia="Heiti TC" w:ascii="Arial"/>
            <w:color w:val="244B6B"/>
            <w:sz w:val="17"/>
          </w:rPr>
          <w:t>澤景股份H1</w:t>
        </w:r>
      </w:hyperlink>
      <w:r>
        <w:rPr>
          <w:sz w:val="17"/>
        </w:rPr>
        <w:t xml:space="preserve">　／　</w:t>
      </w:r>
      <w:hyperlink r:id="rId47">
        <w:r>
          <w:rPr>
            <w:rFonts w:eastAsia="Heiti TC" w:ascii="Arial"/>
            <w:color w:val="244B6B"/>
            <w:sz w:val="17"/>
          </w:rPr>
          <w:t>博泰9月8日配股</w:t>
        </w:r>
      </w:hyperlink>
    </w:p>
    <w:p>
      <w:pPr>
        <w:pStyle w:val="Heading2"/>
      </w:pPr>
      <w:r>
        <w:t>看解禁配對時 最容易混淆的兩件事</w:t>
      </w:r>
    </w:p>
    <w:p>
      <w:r>
        <w:rPr>
          <w:b/>
        </w:rPr>
        <w:t xml:space="preserve">公司弱不等於配對賺錢　</w:t>
      </w:r>
      <w:r>
        <w:t>澤景自己下跌，仍可因博泰跌得更多而令配對虧損；大族自己上升，也可因芯碁升得更快而令配對獲利。判斷必須同時看兩邊，不能只看解禁股的K線。</w:t>
      </w:r>
    </w:p>
    <w:p>
      <w:r>
        <w:rPr>
          <w:b/>
        </w:rPr>
        <w:t xml:space="preserve">配對賺錢不等於解禁是原因　</w:t>
      </w:r>
      <w:r>
        <w:t>不同對好孩子的價差確實有利，但大部分來自私有化。銀諾則有解禁附近實際出售配合相對下跌，對供給機制的支持明顯更強。</w:t>
      </w:r>
    </w:p>
    <w:p>
      <w:r>
        <w:br w:type="page"/>
      </w:r>
    </w:p>
    <w:p>
      <w:pPr>
        <w:pStyle w:val="Heading1"/>
      </w:pPr>
      <w:r>
        <w:t>思格新能與雲迹的不同反應</w:t>
      </w:r>
    </w:p>
    <w:p>
      <w:pPr>
        <w:spacing w:after="120"/>
      </w:pPr>
      <w:r>
        <w:rPr>
          <w:b/>
        </w:rPr>
        <w:t>這兩家公司同在10月16日遇到禁售到期，但業務不同：思格做儲能系統，雲迹做酒店配送機器人。下表回答原附件的特別問題，不能把兩者當成同業對沖。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787"/>
        <w:gridCol w:w="3784"/>
      </w:tblGrid>
      <w:tr>
        <w:trPr>
          <w:cantSplit/>
          <w:tblHeader/>
        </w:trPr>
        <w:tc>
          <w:tcPr>
            <w:tcW w:type="dxa" w:w="2376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78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20"/>
              </w:rPr>
              <w:t>06656 思格新能</w:t>
            </w:r>
          </w:p>
        </w:tc>
        <w:tc>
          <w:tcPr>
            <w:tcW w:type="dxa" w:w="37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color w:val="FFFFFF"/>
                <w:sz w:val="20"/>
              </w:rPr>
              <w:t>02670 雲迹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10月16日股價回報</w:t>
            </w:r>
          </w:p>
        </w:tc>
        <w:tc>
          <w:tcPr>
            <w:tcW w:type="dxa" w:w="378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+0.58%</w:t>
            </w:r>
          </w:p>
        </w:tc>
        <w:tc>
          <w:tcPr>
            <w:tcW w:type="dxa" w:w="3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−25.13%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事前15日總回報</w:t>
            </w:r>
          </w:p>
        </w:tc>
        <w:tc>
          <w:tcPr>
            <w:tcW w:type="dxa" w:w="37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−38.2%</w:t>
            </w:r>
          </w:p>
        </w:tc>
        <w:tc>
          <w:tcPr>
            <w:tcW w:type="dxa" w:w="3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−18.5%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此次到期</w:t>
            </w:r>
          </w:p>
        </w:tc>
        <w:tc>
          <w:tcPr>
            <w:tcW w:type="dxa" w:w="378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六個月基石禁售</w:t>
            </w:r>
          </w:p>
        </w:tc>
        <w:tc>
          <w:tcPr>
            <w:tcW w:type="dxa" w:w="3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上市前股東一年期限制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H1盈利狀態</w:t>
            </w:r>
          </w:p>
        </w:tc>
        <w:tc>
          <w:tcPr>
            <w:tcW w:type="dxa" w:w="37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歸母盈利24.28億元人民幣</w:t>
            </w:r>
          </w:p>
        </w:tc>
        <w:tc>
          <w:tcPr>
            <w:tcW w:type="dxa" w:w="3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經調整虧損1.088億元人民幣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9月23日估值</w:t>
            </w:r>
          </w:p>
        </w:tc>
        <w:tc>
          <w:tcPr>
            <w:tcW w:type="dxa" w:w="3787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TTM PE 約15.7倍</w:t>
            </w:r>
          </w:p>
        </w:tc>
        <w:tc>
          <w:tcPr>
            <w:tcW w:type="dxa" w:w="3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TTM P/S 約12.7倍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left"/>
            </w:pPr>
            <w:r>
              <w:rPr>
                <w:b w:val="0"/>
                <w:color w:val="000000"/>
                <w:sz w:val="20"/>
              </w:rPr>
              <w:t>10月16日估值</w:t>
            </w:r>
          </w:p>
        </w:tc>
        <w:tc>
          <w:tcPr>
            <w:tcW w:type="dxa" w:w="37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TTM PE 約9.7倍</w:t>
            </w:r>
          </w:p>
        </w:tc>
        <w:tc>
          <w:tcPr>
            <w:tcW w:type="dxa" w:w="3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color w:val="000000"/>
                <w:sz w:val="20"/>
              </w:rPr>
              <w:t>TTM P/S 約7.7倍</w:t>
            </w:r>
          </w:p>
        </w:tc>
      </w:tr>
    </w:tbl>
    <w:p>
      <w:pPr>
        <w:spacing w:after="0" w:line="240" w:lineRule="auto"/>
      </w:pPr>
      <w:r>
        <w:rPr>
          <w:b w:val="0"/>
        </w:rPr>
      </w:r>
    </w:p>
    <w:p>
      <w:r>
        <w:rPr>
          <w:b/>
        </w:rPr>
        <w:t xml:space="preserve">為何思格當天較強　</w:t>
      </w:r>
      <w:r>
        <w:t>思格在此前15日已跌38.2%，盈利倍數亦降低，較容易出現利空消化後承接。其基石合計676.04萬股，約佔H股4.77%、總股本2.72%；不能把H股比例當整家公司比例。這是較合理機制，單日上升尚未證明供給已完全消化。</w:t>
      </w:r>
    </w:p>
    <w:p>
      <w:r>
        <w:rPr>
          <w:b/>
        </w:rPr>
        <w:t xml:space="preserve">為何雲迹較弱　</w:t>
      </w:r>
      <w:r>
        <w:t>雲迹H1收入增71.6%，經調整虧損卻擴大約247%，毛利率亦下降。10月16日投票協議終止，改變約3,135萬股的控制權安排；創辦人直接持股自願續鎖只涵蓋約10.6%總股本。這些差異使其新增供給的承接較脆弱，但投票權變動本身不是已出售證據。</w:t>
      </w:r>
    </w:p>
    <w:p>
      <w:r>
        <w:rPr>
          <w:b/>
        </w:rPr>
        <w:t xml:space="preserve">對pair trade的含義　</w:t>
      </w:r>
      <w:r>
        <w:t>買思格／沽雲迹當日差值約+25.7個百分點，主要來自雲迹下跌。這個差值同時包含不同產品、盈利階段及股東安排；它不能用來估計純解禁alpha。兩者9月7日已入通，10月8日雲迹恢復原代號只是拆股櫃台切換。</w:t>
      </w:r>
    </w:p>
    <w:p>
      <w:pPr>
        <w:spacing w:after="180" w:line="240" w:lineRule="auto"/>
      </w:pPr>
      <w:hyperlink r:id="rId48">
        <w:r>
          <w:rPr>
            <w:rFonts w:eastAsia="Heiti TC" w:ascii="Arial"/>
            <w:color w:val="244B6B"/>
            <w:sz w:val="17"/>
          </w:rPr>
          <w:t>思格業績</w:t>
        </w:r>
      </w:hyperlink>
      <w:r>
        <w:rPr>
          <w:sz w:val="17"/>
        </w:rPr>
        <w:t xml:space="preserve">　／　</w:t>
      </w:r>
      <w:hyperlink r:id="rId49">
        <w:r>
          <w:rPr>
            <w:rFonts w:eastAsia="Heiti TC" w:ascii="Arial"/>
            <w:color w:val="244B6B"/>
            <w:sz w:val="17"/>
          </w:rPr>
          <w:t>雲迹業績</w:t>
        </w:r>
      </w:hyperlink>
      <w:r>
        <w:rPr>
          <w:sz w:val="17"/>
        </w:rPr>
        <w:t xml:space="preserve">　／　</w:t>
      </w:r>
      <w:hyperlink r:id="rId50">
        <w:r>
          <w:rPr>
            <w:rFonts w:eastAsia="Heiti TC" w:ascii="Arial"/>
            <w:color w:val="244B6B"/>
            <w:sz w:val="17"/>
          </w:rPr>
          <w:t>投票協議</w:t>
        </w:r>
      </w:hyperlink>
      <w:r>
        <w:rPr>
          <w:sz w:val="17"/>
        </w:rPr>
        <w:t xml:space="preserve">　／　</w:t>
      </w:r>
      <w:hyperlink r:id="rId51">
        <w:r>
          <w:rPr>
            <w:rFonts w:eastAsia="Heiti TC" w:ascii="Arial"/>
            <w:color w:val="244B6B"/>
            <w:sz w:val="17"/>
          </w:rPr>
          <w:t>續鎖範圍</w:t>
        </w:r>
      </w:hyperlink>
      <w:r>
        <w:rPr>
          <w:sz w:val="17"/>
        </w:rPr>
        <w:t xml:space="preserve">　／　</w:t>
      </w:r>
      <w:hyperlink r:id="rId52">
        <w:r>
          <w:rPr>
            <w:rFonts w:eastAsia="Heiti TC" w:ascii="Arial"/>
            <w:color w:val="244B6B"/>
            <w:sz w:val="17"/>
          </w:rPr>
          <w:t>思格分配表</w:t>
        </w:r>
      </w:hyperlink>
    </w:p>
    <w:p>
      <w:pPr>
        <w:pStyle w:val="Heading2"/>
      </w:pPr>
      <w:r>
        <w:t>這份分析能確認甚麼</w:t>
      </w:r>
    </w:p>
    <w:p>
      <w:pPr>
        <w:spacing w:after="120"/>
      </w:pPr>
      <w:r>
        <w:rPr>
          <w:b w:val="0"/>
        </w:rPr>
        <w:t>銀諾的實售、好孩子的收購及博泰的配股，均有具體日期和文件支持；東鵬、廣合等業績差異能解釋相對定價的方向，卻未能量化各因素對股價的因果比例。未取得一致預期修訂、完整股東逐日出售或逐股南向淨買入資料，故不把推測寫成資金流事實。</w:t>
      </w:r>
    </w:p>
    <w:p>
      <w:pPr>
        <w:spacing w:after="120"/>
      </w:pPr>
      <w:r>
        <w:rPr>
          <w:b w:val="0"/>
          <w:sz w:val="20"/>
        </w:rPr>
        <w:t>觀察窗統一至10月16日。本文是21組個案復盤，沒有以小樣本跑回歸再宣稱有普遍的最佳建倉日；事前5日與15日、事後5日與10日可以反向。股權到期清單是潛在供給，並非已出售量；日均成交倍數採事件前20個交易日。</w:t>
      </w:r>
    </w:p>
    <w:p>
      <w:pPr>
        <w:spacing w:after="120"/>
      </w:pPr>
      <w:r>
        <w:rPr>
          <w:b w:val="0"/>
          <w:sz w:val="18"/>
        </w:rPr>
        <w:t>估值採已公布財務資料：TTM＝2025全年−2025上半年＋2026上半年。思格PE以全部經濟股本估算，雲迹P/S扣庫存股；9月23日及10月16日港元兌人民幣取0.8557及0.8520。兩種倍數不能互相比便宜程度，也不是forward consensus。</w:t>
      </w:r>
    </w:p>
    <w:p>
      <w:pPr>
        <w:spacing w:after="180" w:line="240" w:lineRule="auto"/>
      </w:pPr>
      <w:hyperlink r:id="rId53">
        <w:r>
          <w:rPr>
            <w:rFonts w:eastAsia="Heiti TC" w:ascii="Arial"/>
            <w:color w:val="244B6B"/>
            <w:sz w:val="17"/>
          </w:rPr>
          <w:t>ETNet八月日曆</w:t>
        </w:r>
      </w:hyperlink>
      <w:r>
        <w:rPr>
          <w:sz w:val="17"/>
        </w:rPr>
        <w:t xml:space="preserve">　／　</w:t>
      </w:r>
      <w:hyperlink r:id="rId54">
        <w:r>
          <w:rPr>
            <w:rFonts w:eastAsia="Heiti TC" w:ascii="Arial"/>
            <w:color w:val="244B6B"/>
            <w:sz w:val="17"/>
          </w:rPr>
          <w:t>九月日曆</w:t>
        </w:r>
      </w:hyperlink>
      <w:r>
        <w:rPr>
          <w:sz w:val="17"/>
        </w:rPr>
        <w:t xml:space="preserve">　／　</w:t>
      </w:r>
      <w:hyperlink r:id="rId55">
        <w:r>
          <w:rPr>
            <w:rFonts w:eastAsia="Heiti TC" w:ascii="Arial"/>
            <w:color w:val="244B6B"/>
            <w:sz w:val="17"/>
          </w:rPr>
          <w:t>每日行情來源示例</w:t>
        </w:r>
      </w:hyperlink>
    </w:p>
    <w:sectPr w:rsidR="00FC693F" w:rsidRPr="0006063C" w:rsidSect="00034616">
      <w:headerReference w:type="default" r:id="rId9"/>
      <w:footerReference w:type="default" r:id="rId10"/>
      <w:pgSz w:w="11905" w:h="16838"/>
      <w:pgMar w:top="893" w:right="979" w:bottom="864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截至2026年10月16日收市　｜　差值正數＝peer跑贏解禁股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港股解禁配對交易分析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Heiti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T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T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 w:eastAsia="Heiti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Heiti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 w:eastAsia="Heiti T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Heiti T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Heiti T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Heiti T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Heiti T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Heiti T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Heiti T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Heiti T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Heiti T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 w:eastAsia="Heiti T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Heiti T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Heiti T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Heiti T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Heiti T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Heiti T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Heiti T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Heiti T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eiti T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Heiti T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Heiti T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Heiti T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Heiti T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Heiti T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Heiti T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Heiti T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Heiti T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Heiti T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Heiti T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T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Heiti T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Heiti T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hkexnews.hk/listedco/listconews/sehk/2026/0730/2026073001894_c.pdf" TargetMode="External"/><Relationship Id="rId12" Type="http://schemas.openxmlformats.org/officeDocument/2006/relationships/hyperlink" Target="https://www.9fzt.com/detail/sh_605499_9_cc337fd0ec87733247cdbad9b92daac1.html" TargetMode="External"/><Relationship Id="rId13" Type="http://schemas.openxmlformats.org/officeDocument/2006/relationships/hyperlink" Target="https://www1.hkexnews.hk/listedco/listconews/sehk/2026/0825/2026082501292.pdf" TargetMode="External"/><Relationship Id="rId14" Type="http://schemas.openxmlformats.org/officeDocument/2006/relationships/hyperlink" Target="https://hk.finance.yahoo.com/quote/605499.SS/history/" TargetMode="External"/><Relationship Id="rId15" Type="http://schemas.openxmlformats.org/officeDocument/2006/relationships/hyperlink" Target="https://www.etnet.com.hk/www/tc/stocks/realtime/quote_announcement_doc.php?newsid=5646573&amp;code=02591" TargetMode="External"/><Relationship Id="rId16" Type="http://schemas.openxmlformats.org/officeDocument/2006/relationships/hyperlink" Target="https://di.hkex.com.hk/di/NSForm2.aspx?fn=CS20260819E00302&amp;lang=EN" TargetMode="External"/><Relationship Id="rId17" Type="http://schemas.openxmlformats.org/officeDocument/2006/relationships/hyperlink" Target="https://www.etnet.com.hk/www/tc/stocks/realtime/quote_announcement_doc.php?newsid=5653918&amp;code=02656" TargetMode="External"/><Relationship Id="rId18" Type="http://schemas.openxmlformats.org/officeDocument/2006/relationships/hyperlink" Target="https://di.hkex.com.hk/di/NSForm2.aspx?fn=CS20260930E00372&amp;lang=EN" TargetMode="External"/><Relationship Id="rId19" Type="http://schemas.openxmlformats.org/officeDocument/2006/relationships/hyperlink" Target="https://www.hkexnews.hk/listedco/listconews/sehk/2026/0828/2026082802369_c.pdf" TargetMode="External"/><Relationship Id="rId20" Type="http://schemas.openxmlformats.org/officeDocument/2006/relationships/hyperlink" Target="https://www.etnet.com.hk/www/tc/stocks/realtime/quote_announcement_doc.php?newsid=5654777&amp;code=02583" TargetMode="External"/><Relationship Id="rId21" Type="http://schemas.openxmlformats.org/officeDocument/2006/relationships/hyperlink" Target="https://www.etnet.com.hk/www/tc/stocks/realtime/quote_announcement_doc.php?newsid=5714694&amp;code=02583" TargetMode="External"/><Relationship Id="rId22" Type="http://schemas.openxmlformats.org/officeDocument/2006/relationships/hyperlink" Target="https://www.etnet.com.hk/www/tc/stocks/realtime/quote_announcement_doc.php?newsid=5627988&amp;code=00600" TargetMode="External"/><Relationship Id="rId23" Type="http://schemas.openxmlformats.org/officeDocument/2006/relationships/hyperlink" Target="https://www.hkexnews.hk/listedco/listconews/sehk/2026/0831/2026083101010_c.pdf" TargetMode="External"/><Relationship Id="rId24" Type="http://schemas.openxmlformats.org/officeDocument/2006/relationships/hyperlink" Target="https://www.etnet.com.hk/www/tc/stocks/realtime/quote_announcement_doc.php?newsid=5627953&amp;code=01989" TargetMode="External"/><Relationship Id="rId25" Type="http://schemas.openxmlformats.org/officeDocument/2006/relationships/hyperlink" Target="https://static.cninfo.com.cn/finalpage/2026-08-28/1225522514.PDF" TargetMode="External"/><Relationship Id="rId26" Type="http://schemas.openxmlformats.org/officeDocument/2006/relationships/hyperlink" Target="https://www.etnet.com.hk/www/tc/stocks/realtime/quote_announcement_doc.php?newsid=5635425&amp;code=02259" TargetMode="External"/><Relationship Id="rId27" Type="http://schemas.openxmlformats.org/officeDocument/2006/relationships/hyperlink" Target="https://www.etnet.com.hk/www/tc/stocks/realtime/quote_announcement_doc.php?newsid=5632822&amp;code=02677" TargetMode="External"/><Relationship Id="rId28" Type="http://schemas.openxmlformats.org/officeDocument/2006/relationships/hyperlink" Target="https://www.etnet.com.hk/www/tc/news/news-article.php?category=blocktrade&amp;newsid=20260806331&amp;section=categorized" TargetMode="External"/><Relationship Id="rId29" Type="http://schemas.openxmlformats.org/officeDocument/2006/relationships/hyperlink" Target="https://www.etnet.com.hk/www/tc/stocks/realtime/quote_announcement_doc.php?newsid=5641395&amp;code=02714" TargetMode="External"/><Relationship Id="rId30" Type="http://schemas.openxmlformats.org/officeDocument/2006/relationships/hyperlink" Target="https://www.etnet.com.hk/www/tc/stocks/realtime/quote_announcement_doc.php?newsid=5641783&amp;code=03200" TargetMode="External"/><Relationship Id="rId31" Type="http://schemas.openxmlformats.org/officeDocument/2006/relationships/hyperlink" Target="https://www.etnet.com.hk/www/tc/stocks/realtime/quote_announcement_doc.php?newsid=5642525&amp;code=06960" TargetMode="External"/><Relationship Id="rId32" Type="http://schemas.openxmlformats.org/officeDocument/2006/relationships/hyperlink" Target="https://www.etnet.com.hk/www/tc/stocks/realtime/quote_announcement_doc.php?newsid=5654060&amp;code=02580" TargetMode="External"/><Relationship Id="rId33" Type="http://schemas.openxmlformats.org/officeDocument/2006/relationships/hyperlink" Target="https://www.etnet.com.hk/www/tc/stocks/realtime/quote_announcement_doc.php?newsid=5637475&amp;code=02525" TargetMode="External"/><Relationship Id="rId34" Type="http://schemas.openxmlformats.org/officeDocument/2006/relationships/hyperlink" Target="https://investor.hesaitech.com/resources/investor-faqs" TargetMode="External"/><Relationship Id="rId35" Type="http://schemas.openxmlformats.org/officeDocument/2006/relationships/hyperlink" Target="https://www.etnet.com.hk/www/tc/stocks/realtime/quote_announcement_doc.php?newsid=5646410&amp;code=02706" TargetMode="External"/><Relationship Id="rId36" Type="http://schemas.openxmlformats.org/officeDocument/2006/relationships/hyperlink" Target="https://www.finet.hk/newscenter/news_content/6a6b0f1f230829917bb7c7b0" TargetMode="External"/><Relationship Id="rId37" Type="http://schemas.openxmlformats.org/officeDocument/2006/relationships/hyperlink" Target="https://www.etnet.com.hk/www/tc/stocks/realtime/quote_announcement_doc.php?newsid=5642347&amp;code=02595" TargetMode="External"/><Relationship Id="rId38" Type="http://schemas.openxmlformats.org/officeDocument/2006/relationships/hyperlink" Target="https://m.en.jacobiopharma.com/cn/news/2026interim_results" TargetMode="External"/><Relationship Id="rId39" Type="http://schemas.openxmlformats.org/officeDocument/2006/relationships/hyperlink" Target="https://www.etnet.com.hk/www/tc/stocks/realtime/quote_announcement_doc.php?newsid=5640761&amp;code=09973" TargetMode="External"/><Relationship Id="rId40" Type="http://schemas.openxmlformats.org/officeDocument/2006/relationships/hyperlink" Target="https://global.geely.com/en/news/2026/geely-auto-record-h1-2026-revenue" TargetMode="External"/><Relationship Id="rId41" Type="http://schemas.openxmlformats.org/officeDocument/2006/relationships/hyperlink" Target="https://www.etnet.com.hk/www/tc/stocks/realtime/quote_announcement_doc.php?newsid=5653995&amp;code=06809" TargetMode="External"/><Relationship Id="rId42" Type="http://schemas.openxmlformats.org/officeDocument/2006/relationships/hyperlink" Target="https://www.etnet.com.hk/www/tc/stocks/realtime/quote_announcement_doc.php?newsid=5654246&amp;code=00470" TargetMode="External"/><Relationship Id="rId43" Type="http://schemas.openxmlformats.org/officeDocument/2006/relationships/hyperlink" Target="https://www.etnet.com.hk/www/tc/stocks/realtime/quote_announcement_doc.php?newsid=5645667&amp;code=03858" TargetMode="External"/><Relationship Id="rId44" Type="http://schemas.openxmlformats.org/officeDocument/2006/relationships/hyperlink" Target="https://www.etnet.com.hk/www/tc/stocks/realtime/quote_announcement_doc.php?newsid=5649138&amp;code=06090" TargetMode="External"/><Relationship Id="rId45" Type="http://schemas.openxmlformats.org/officeDocument/2006/relationships/hyperlink" Target="https://www1.hkexnews.hk/listedco/listconews/sehk/2026/0927/2026092700022_c.pdf" TargetMode="External"/><Relationship Id="rId46" Type="http://schemas.openxmlformats.org/officeDocument/2006/relationships/hyperlink" Target="https://www.etnet.com.hk/www/tc/stocks/realtime/quote_announcement_doc.php?newsid=5649043&amp;code=02632" TargetMode="External"/><Relationship Id="rId47" Type="http://schemas.openxmlformats.org/officeDocument/2006/relationships/hyperlink" Target="https://www1.hkexnews.hk/listedco/listconews/sehk/2026/0908/2026090800032_c.pdf" TargetMode="External"/><Relationship Id="rId48" Type="http://schemas.openxmlformats.org/officeDocument/2006/relationships/hyperlink" Target="https://www.etnet.com.hk/www/tc/stocks/realtime/quote_announcement_doc.php?newsid=5644574&amp;code=06656" TargetMode="External"/><Relationship Id="rId49" Type="http://schemas.openxmlformats.org/officeDocument/2006/relationships/hyperlink" Target="https://www.etnet.com.hk/www/tc/stocks/realtime/quote_announcement_doc.php?newsid=5642055&amp;code=02670" TargetMode="External"/><Relationship Id="rId50" Type="http://schemas.openxmlformats.org/officeDocument/2006/relationships/hyperlink" Target="https://www.etnet.com.hk/www/tc/stocks/realtime/quote_announcement_doc.php?newsid=5716129&amp;code=02670" TargetMode="External"/><Relationship Id="rId51" Type="http://schemas.openxmlformats.org/officeDocument/2006/relationships/hyperlink" Target="https://www.etnet.com.hk/www/tc/stocks/realtime/quote_announcement_doc.php?newsid=5716134&amp;code=02670" TargetMode="External"/><Relationship Id="rId52" Type="http://schemas.openxmlformats.org/officeDocument/2006/relationships/hyperlink" Target="https://www.hkexnews.hk/listedco/listconews/sehk/2026/0415/2026041501575_c.pdf" TargetMode="External"/><Relationship Id="rId53" Type="http://schemas.openxmlformats.org/officeDocument/2006/relationships/hyperlink" Target="https://www.etnet.com.hk/www/tc/stocks/ipo-free-float.php?month=202608" TargetMode="External"/><Relationship Id="rId54" Type="http://schemas.openxmlformats.org/officeDocument/2006/relationships/hyperlink" Target="https://www.etnet.com.hk/www/tc/stocks/ipo-free-float.php?month=202609" TargetMode="External"/><Relationship Id="rId55" Type="http://schemas.openxmlformats.org/officeDocument/2006/relationships/hyperlink" Target="https://web.ifzq.gtimg.cn/appstock/app/fqkline/get?param=hk09980,day,2026-05-01,2026-10-16,240,q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港股解禁配對交易分析</dc:title>
  <dc:subject>2026年8月至9月21組港股配對的事前 當日 事後歸因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