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Both list Monday 1 Sep 2026  ·  Written 27 Aug 2026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t xml:space="preserve">Cornerstones take </w:t>
      </w:r>
      <w:r>
        <w:rPr>
          <w:b/>
        </w:rPr>
        <w:t>64% of the deal</w:t>
      </w:r>
      <w:r>
        <w:t xml:space="preserve"> — Baillie Gifford leads with US$60m, alongside Taikang, Jane Street, E Fund and a </w:t>
      </w:r>
      <w:r>
        <w:rPr>
          <w:b/>
        </w:rPr>
        <w:t>BYD subsidiary</w:t>
      </w:r>
      <w:r>
        <w:t xml:space="preserve"> (a customer putting money in the book, which is worth more than any broker note). After cornerstones, free float is roughly </w:t>
      </w:r>
      <w:r>
        <w:rPr>
          <w:b/>
        </w:rPr>
        <w:t>7% of market cap</w:t>
      </w:r>
      <w:r>
        <w:t>.</w:t>
      </w:r>
    </w:p>
    <w:p>
      <w:pPr>
        <w:pStyle w:val="ListBullet"/>
      </w:pPr>
      <w:r>
        <w:t xml:space="preserve">Retail is already all over it: margin book </w:t>
      </w:r>
      <w:r>
        <w:rPr>
          <w:b/>
        </w:rPr>
        <w:t>518x covered</w:t>
      </w:r>
      <w:r>
        <w:t xml:space="preserve"> with a day still to run.</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65%</w:t>
      </w:r>
      <w:r>
        <w:t xml:space="preserve"> — software economics, where the hardware robot names run 20–40%.</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w:t>
      </w:r>
      <w:r>
        <w:rPr>
          <w:b/>
        </w:rPr>
        <w:t>triple Rokae's gross margin</w:t>
      </w:r>
      <w:r>
        <w:t xml:space="preserve"> screens relatively cheap — and that relative-cheapness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The head-to-head: does either deserve a premium to its anchor?</w:t>
      </w:r>
    </w:p>
    <w:p>
      <w:r>
        <w:t xml:space="preserve">Before the two verdicts, the frame we're using. A multiple is compressed DCF — a business deserves to trade richer than its comp only if at least one of three things is true: </w:t>
      </w:r>
      <w:r>
        <w:rPr>
          <w:b/>
        </w:rPr>
        <w:t>(1)</w:t>
      </w:r>
      <w:r>
        <w:t xml:space="preserve"> each revenue dollar converts to more cash (margin/returns); </w:t>
      </w:r>
      <w:r>
        <w:rPr>
          <w:b/>
        </w:rPr>
        <w:t>(2)</w:t>
      </w:r>
      <w:r>
        <w:t xml:space="preserve"> the cash grows faster for longer (duration); </w:t>
      </w:r>
      <w:r>
        <w:rPr>
          <w:b/>
        </w:rPr>
        <w:t>(3)</w:t>
      </w:r>
      <w:r>
        <w:t xml:space="preserve"> the cash is safer (risk). Worse on all three means it must trade at a discount. Everything else is narrative.</w:t>
      </w:r>
    </w:p>
    <w:p>
      <w:pPr>
        <w:pStyle w:val="Heading2"/>
      </w:pPr>
      <w:r>
        <w:t>SHEIN vs PDD — no premium deserved. Walk the three drivers:</w:t>
      </w:r>
    </w:p>
    <w:p>
      <w:pPr>
        <w:pStyle w:val="ListNumber"/>
      </w:pPr>
      <w:r>
        <w:rPr>
          <w:b/>
        </w:rPr>
        <w:t>Earnings quality — what is a dollar of SHEIN's profit worth versus a dollar of PDD's?</w:t>
      </w:r>
      <w:r>
        <w:t xml:space="preserve"> PDD's dollar is a take-rate on other people's inventory: ~20% net margin, negative working capital, no fulfilment asset at risk. SHEIN's dollar comes from goods it must manufacture and ship across a border: 4.9% net margin — and that margin </w:t>
      </w:r>
      <w:r>
        <w:rPr>
          <w:b/>
        </w:rPr>
        <w:t>halved in one year because one customs rule changed</w:t>
      </w:r>
      <w:r>
        <w:t>. A profit stream that a single regulatory decision can cut in half is a lower-quality stream. Driver 1: discount.</w:t>
      </w:r>
    </w:p>
    <w:p>
      <w:pPr>
        <w:pStyle w:val="ListNumber"/>
      </w:pPr>
      <w:r>
        <w:rPr>
          <w:b/>
        </w:rPr>
        <w:t>Growth — will SHEIN's dollar grow faster?</w:t>
      </w:r>
      <w:r>
        <w:t xml:space="preserve"> PDD compounds ~10% with category breadth working for it. SHEIN went +8% → +1%, and the ceiling logic in section 1 shows all three growth levers (frequency, basket, new users) are exhausted. Worse: the fourth force — ad-auction inflation — is a headwind that </w:t>
      </w:r>
      <w:r>
        <w:rPr>
          <w:b/>
        </w:rPr>
        <w:t>PDD causes and SHEIN suffers</w:t>
      </w:r>
      <w:r>
        <w:t>. Temu's spending is literally why SHEIN paid +48.9% for +8% revenue. Paying a premium here means paying more for the victim than the aggressor. Driver 2: discount.</w:t>
      </w:r>
    </w:p>
    <w:p>
      <w:pPr>
        <w:pStyle w:val="ListNumber"/>
      </w:pPr>
      <w:r>
        <w:rPr>
          <w:b/>
        </w:rPr>
        <w:t>Risk — anything offsetting?</w:t>
      </w:r>
      <w:r>
        <w:t xml:space="preserve"> The China/tariff haircut applies to both, so it cancels. SHEIN then adds three risks PDD doesn't carry: WVR (no southbound buyer for six months), the US$3.5bn ratchet leakage, and a register of made-whole sellers sitting exactly at your cost basis. Driver 3: discount.</w:t>
      </w:r>
    </w:p>
    <w:p>
      <w:pPr>
        <w:pStyle w:val="ListNumber"/>
      </w:pPr>
      <w:r>
        <w:rPr>
          <w:b/>
        </w:rPr>
        <w:t>So why does the deal still ask 12.9x against PDD's 9.5x?</w:t>
      </w:r>
      <w:r>
        <w:t xml:space="preserve"> Only one honest answer: the denominator. The syndicate wants you to capitalise 2027 *normalised* earnings (BI's US$1.67bn rebound), not the depressed 2025/Q1 prints. Legitimate argument — but see what it implies: </w:t>
      </w:r>
      <w:r>
        <w:rPr>
          <w:b/>
        </w:rPr>
        <w:t>the entire 35% premium IS the recovery bet, with zero margin of safety left over.</w:t>
      </w:r>
      <w:r>
        <w:t xml:space="preserve"> The rule it breaks: don't pay in advance for a normalisation the company hasn't printed, when the anchor comp gives you a structurally better business without needing the bet. If recovery lands, PDD probably re-rates too, so you don't even win relative; if it misses, SHEIN converges to PDD's multiple ≈ US$20bn, about –25%. Heads you roughly tie, tails you lose a quarter.</w:t>
      </w:r>
    </w:p>
    <w:p>
      <w:pPr>
        <w:pStyle w:val="Heading2"/>
      </w:pPr>
      <w:r>
        <w:t>Mech-Mind vs Rokae — premium deserved. Same three drivers:</w:t>
      </w:r>
    </w:p>
    <w:p>
      <w:pPr>
        <w:pStyle w:val="ListNumber"/>
      </w:pPr>
      <w:r>
        <w:rPr>
          <w:b/>
        </w:rPr>
        <w:t>Fix the unit first.</w:t>
      </w:r>
      <w:r>
        <w:t xml:space="preserve"> P/S assumes every revenue dollar is equal; it isn't. Mech-Mind keeps 65 cents of gross profit per revenue dollar, Rokae keeps 22. If the two ever reach similar opex efficiency, steady-state earnings power per revenue dollar is ~3x higher at Mech-Mind — so the *neutral* condition is equal price-to-</w:t>
      </w:r>
      <w:r>
        <w:rPr>
          <w:b/>
        </w:rPr>
        <w:t>gross-profit</w:t>
      </w:r>
      <w:r>
        <w:t xml:space="preserve">, not equal P/S. At par P/S (29x each): Mech-Mind ≈ </w:t>
      </w:r>
      <w:r>
        <w:rPr>
          <w:b/>
        </w:rPr>
        <w:t>45x gross profit</w:t>
      </w:r>
      <w:r>
        <w:t xml:space="preserve">, Rokae ≈ </w:t>
      </w:r>
      <w:r>
        <w:rPr>
          <w:b/>
        </w:rPr>
        <w:t>130x</w:t>
      </w:r>
      <w:r>
        <w:t xml:space="preserve"> (~85x on H1-annualised). Parity in P/S already embeds a ~65% relative discount for Mech-Mind on the honest unit. Driver 1 doesn't just say premium — it says the premium is arithmetic, not opinion.</w:t>
      </w:r>
    </w:p>
    <w:p>
      <w:pPr>
        <w:pStyle w:val="ListNumber"/>
      </w:pPr>
      <w:r>
        <w:rPr>
          <w:b/>
        </w:rPr>
        <w:t>Margin trajectory — who is on the right side of the price war?</w:t>
      </w:r>
      <w:r>
        <w:t xml:space="preserve"> Rokae sells arms: hardware against 300+ Chinese arm makers, embodied segment gross margin 10.7%, price war confirmed by the NDRC and Caixin. Its margin has a hardware ceiling. Mech-Mind sells perception </w:t>
      </w:r>
      <w:r>
        <w:rPr>
          <w:b/>
        </w:rPr>
        <w:t>to every arm maker</w:t>
      </w:r>
      <w:r>
        <w:t xml:space="preserve"> — a price war among arm makers increases the volume of eyes sold while squeezing the people selling arms. Its gross margin went 39% → 65% *while the war started*. When a value chain commoditises, the differentiating component captures the value the commodity layer sheds. Driver 2: premium.</w:t>
      </w:r>
    </w:p>
    <w:p>
      <w:pPr>
        <w:pStyle w:val="ListNumber"/>
      </w:pPr>
      <w:r>
        <w:rPr>
          <w:b/>
        </w:rPr>
        <w:t>Durability — which #1 decays slower?</w:t>
      </w:r>
      <w:r>
        <w:t xml:space="preserve"> Rokae is #1 in a domestic niche (47% of China cobots by volume) but 5.8% in light industrial and only 9% overseas — a local leader in a crowded commodity field. Mech-Mind is #1 </w:t>
      </w:r>
      <w:r>
        <w:rPr>
          <w:b/>
        </w:rPr>
        <w:t>globally</w:t>
      </w:r>
      <w:r>
        <w:t xml:space="preserve"> (27% of shipments, more than the next four combined), #1 in China, Japan and North America simultaneously, 50% overseas at better margin, 86% repeat revenue, and a 27,000-unit data flywheel a copycat cannot shortcut. Global #1 with data lock-in has longer growth duration than domestic niche #1 in hardware. Driver 3: premium.</w:t>
      </w:r>
    </w:p>
    <w:p>
      <w:pPr>
        <w:pStyle w:val="ListNumber"/>
      </w:pPr>
      <w:r>
        <w:rPr>
          <w:b/>
        </w:rPr>
        <w:t>Then why does Rokae get parity today at all?</w:t>
      </w:r>
      <w:r>
        <w:t xml:space="preserve"> Because it has the one thing markets pay cash for: a </w:t>
      </w:r>
      <w:r>
        <w:rPr>
          <w:b/>
        </w:rPr>
        <w:t>printed</w:t>
      </w:r>
      <w:r>
        <w:t xml:space="preserve"> inflection — the 30 Jul alert (adjusted profit positive, revenue +127%). Mech-Mind offers a trajectory (adjusted loss 334 → 109 → 33) but no print yet. That proof-premium explains why Rokae *holds* par today; it never justifies Mech-Mind trading below Rokae, and it converts into an explicit Mech-Mind premium the day the first post-listing print confirms the trajectory. The deal at parity therefore hands you the deserved premium for free — payable, or not, at the first print.</w:t>
      </w:r>
    </w:p>
    <w:p>
      <w:r>
        <w:t xml:space="preserve">Honesty check a PM would demand: this is a </w:t>
      </w:r>
      <w:r>
        <w:rPr>
          <w:b/>
        </w:rPr>
        <w:t>relative</w:t>
      </w:r>
      <w:r>
        <w:t xml:space="preserve"> call. Rokae's own 29x is partly a 6%-float artifact — if Rokae de-rates to 20x, “deserves a premium to Rokae” still means Mech-Mind falls in absolute. Deserving a premium and being cheap are different claims; we are making the first.</w:t>
      </w:r>
    </w:p>
    <w:p>
      <w:pPr>
        <w:pStyle w:val="Heading1"/>
      </w:pPr>
      <w:r>
        <w:t>4.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Heading2"/>
      </w:pPr>
      <w:r>
        <w:t>Dates to watch</w:t>
      </w:r>
    </w:p>
    <w:p>
      <w:pPr>
        <w:pStyle w:val="ListBullet"/>
      </w:pPr>
      <w:r>
        <w:t>28 Aug noon — Mech-Mind final price · 31 Aug — SHEIN formal price, allotments, grey market 16:15–18:30 · 1 Sep — debuts · ~mid-Sep — SHEIN HSCI fast entry · H2-26 earnings prints · Mar 2027 — Mech-Mind unlock + both names' southbound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