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HK ADR statistical arbitrage</w:t>
      </w:r>
    </w:p>
    <w:p>
      <w:r>
        <w:rPr>
          <w:b/>
        </w:rPr>
        <w:t>Start with</w:t>
      </w:r>
      <w:r>
        <w:t xml:space="preserve"> BABA, JD, BIDU, TCOM and NTES versus HSTECH during the US session; close both sides before 03:00 HK. A direct local share versus ADR trade is better matched when both books are live. Every position is independently closed; no ADR conversion.</w:t>
      </w:r>
    </w:p>
    <w:p>
      <w:pPr>
        <w:pStyle w:val="Heading2"/>
      </w:pPr>
      <w:r>
        <w:t>Ten US ADRs inside HSTECH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5"/>
        <w:gridCol w:w="1123"/>
        <w:gridCol w:w="1483"/>
        <w:gridCol w:w="1411"/>
        <w:gridCol w:w="5530"/>
      </w:tblGrid>
      <w:tr>
        <w:trPr>
          <w:cantSplit/>
          <w:tblHeader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ADR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HK code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US daily $m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HSTECH %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Test priority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BABA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9988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901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8.27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First basket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JD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9618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160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5.03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First basket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BIDU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9888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236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4.11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First basket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TCOM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9961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174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3.32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First basket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NTES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9999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78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8.62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First basket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BILI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9626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55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1.15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Add if spreads and borrow pass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TME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1698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57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0.06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Test KWEB as well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LI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2015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1.83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EV sleeve with XPEV and NIO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XPEV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9868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72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1.87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EV sleeve with LI and NIO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NIO</w:t>
            </w:r>
          </w:p>
        </w:tc>
        <w:tc>
          <w:tcPr>
            <w:tcW w:type="dxa" w:w="112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9866</w:t>
            </w:r>
          </w:p>
        </w:tc>
        <w:tc>
          <w:tcPr>
            <w:tcW w:type="dxa" w:w="1483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121</w:t>
            </w:r>
          </w:p>
        </w:tc>
        <w:tc>
          <w:tcPr>
            <w:tcW w:type="dxa" w:w="1411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0.53</w:t>
            </w:r>
          </w:p>
        </w:tc>
        <w:tc>
          <w:tcPr>
            <w:tcW w:type="dxa" w:w="553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EV sleeve with LI and XPEV</w:t>
            </w:r>
          </w:p>
        </w:tc>
      </w:tr>
    </w:tbl>
    <w:p>
      <w:r>
        <w:t>The ten names sum to 34.79% of the HSTECH ETF holdings proxy on 2 October; the rest is largely other names. Membership alone does not establish a good hedge. Fit the basket beta and residual risk; compare HTI with KWEB. TME is only 0.06% in this HSTECH proxy versus 2.10% in KWEB.</w:t>
      </w:r>
    </w:p>
    <w:p>
      <w:r>
        <w:rPr>
          <w:b/>
        </w:rPr>
        <w:t>US daily $m</w:t>
      </w:r>
      <w:r>
        <w:t xml:space="preserve"> = mean of daily closing price × reported share volume over 20 completed sessions, 4 September–2 October 2026. This estimates turnover; it does not measure premarket, overnight depth or borrow.</w:t>
      </w:r>
    </w:p>
    <w:p>
      <w:pPr>
        <w:spacing w:after="40"/>
      </w:pPr>
      <w:r>
        <w:rPr>
          <w:sz w:val="16"/>
        </w:rPr>
        <w:t xml:space="preserve">Sources: </w:t>
      </w:r>
      <w:hyperlink r:id="rId10">
        <w:r>
          <w:rPr>
            <w:sz w:val="16"/>
            <w:color w:val="000000"/>
            <w:u w:val="single"/>
          </w:rPr>
          <w:t>HSTECH holdings</w:t>
        </w:r>
      </w:hyperlink>
      <w:r>
        <w:rPr>
          <w:sz w:val="16"/>
        </w:rPr>
        <w:t xml:space="preserve">  |  </w:t>
      </w:r>
      <w:hyperlink r:id="rId11">
        <w:r>
          <w:rPr>
            <w:sz w:val="16"/>
            <w:color w:val="000000"/>
            <w:u w:val="single"/>
          </w:rPr>
          <w:t>KWEB holdings</w:t>
        </w:r>
      </w:hyperlink>
      <w:r>
        <w:rPr>
          <w:sz w:val="16"/>
        </w:rPr>
        <w:t xml:space="preserve">  |  </w:t>
      </w:r>
      <w:hyperlink r:id="rId12">
        <w:r>
          <w:rPr>
            <w:sz w:val="16"/>
            <w:color w:val="000000"/>
            <w:u w:val="single"/>
          </w:rPr>
          <w:t>BABA volume</w:t>
        </w:r>
      </w:hyperlink>
      <w:r>
        <w:rPr>
          <w:sz w:val="16"/>
        </w:rPr>
        <w:t xml:space="preserve">  |  </w:t>
      </w:r>
      <w:hyperlink r:id="rId13">
        <w:r>
          <w:rPr>
            <w:sz w:val="16"/>
            <w:color w:val="000000"/>
            <w:u w:val="single"/>
          </w:rPr>
          <w:t>JD volume</w:t>
        </w:r>
      </w:hyperlink>
      <w:r>
        <w:rPr>
          <w:sz w:val="16"/>
        </w:rPr>
        <w:t xml:space="preserve">  |  </w:t>
      </w:r>
      <w:hyperlink r:id="rId14">
        <w:r>
          <w:rPr>
            <w:sz w:val="16"/>
            <w:color w:val="000000"/>
            <w:u w:val="single"/>
          </w:rPr>
          <w:t>BIDU volume</w:t>
        </w:r>
      </w:hyperlink>
      <w:r>
        <w:rPr>
          <w:sz w:val="16"/>
        </w:rPr>
        <w:t xml:space="preserve">  |  </w:t>
      </w:r>
      <w:hyperlink r:id="rId15">
        <w:r>
          <w:rPr>
            <w:sz w:val="16"/>
            <w:color w:val="000000"/>
            <w:u w:val="single"/>
          </w:rPr>
          <w:t>TCOM volume</w:t>
        </w:r>
      </w:hyperlink>
      <w:r>
        <w:rPr>
          <w:sz w:val="16"/>
        </w:rPr>
        <w:t xml:space="preserve">  |  </w:t>
      </w:r>
      <w:hyperlink r:id="rId16">
        <w:r>
          <w:rPr>
            <w:sz w:val="16"/>
            <w:color w:val="000000"/>
            <w:u w:val="single"/>
          </w:rPr>
          <w:t>NTES volume</w:t>
        </w:r>
      </w:hyperlink>
      <w:r>
        <w:rPr>
          <w:sz w:val="16"/>
        </w:rPr>
        <w:t xml:space="preserve">  |  </w:t>
      </w:r>
      <w:hyperlink r:id="rId17">
        <w:r>
          <w:rPr>
            <w:sz w:val="16"/>
            <w:color w:val="000000"/>
            <w:u w:val="single"/>
          </w:rPr>
          <w:t>BILI volume</w:t>
        </w:r>
      </w:hyperlink>
      <w:r>
        <w:rPr>
          <w:sz w:val="16"/>
        </w:rPr>
        <w:t xml:space="preserve">  |  </w:t>
      </w:r>
      <w:hyperlink r:id="rId18">
        <w:r>
          <w:rPr>
            <w:sz w:val="16"/>
            <w:color w:val="000000"/>
            <w:u w:val="single"/>
          </w:rPr>
          <w:t>TME volume</w:t>
        </w:r>
      </w:hyperlink>
      <w:r>
        <w:rPr>
          <w:sz w:val="16"/>
        </w:rPr>
        <w:t xml:space="preserve">  |  </w:t>
      </w:r>
      <w:hyperlink r:id="rId19">
        <w:r>
          <w:rPr>
            <w:sz w:val="16"/>
            <w:color w:val="000000"/>
            <w:u w:val="single"/>
          </w:rPr>
          <w:t>LI volume</w:t>
        </w:r>
      </w:hyperlink>
      <w:r>
        <w:rPr>
          <w:sz w:val="16"/>
        </w:rPr>
        <w:t xml:space="preserve">  |  </w:t>
      </w:r>
      <w:hyperlink r:id="rId20">
        <w:r>
          <w:rPr>
            <w:sz w:val="16"/>
            <w:color w:val="000000"/>
            <w:u w:val="single"/>
          </w:rPr>
          <w:t>XPEV volume</w:t>
        </w:r>
      </w:hyperlink>
      <w:r>
        <w:rPr>
          <w:sz w:val="16"/>
        </w:rPr>
        <w:t xml:space="preserve">  |  </w:t>
      </w:r>
      <w:hyperlink r:id="rId21">
        <w:r>
          <w:rPr>
            <w:sz w:val="16"/>
            <w:color w:val="000000"/>
            <w:u w:val="single"/>
          </w:rPr>
          <w:t>NIO volume</w:t>
        </w:r>
      </w:hyperlink>
    </w:p>
    <w:p>
      <w:pPr>
        <w:pStyle w:val="Heading2"/>
      </w:pPr>
      <w:r>
        <w:t>The wider HK linked universe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4608"/>
      </w:tblGrid>
      <w:tr>
        <w:trPr>
          <w:cantSplit/>
          <w:tblHeader/>
        </w:trPr>
        <w:tc>
          <w:tcPr>
            <w:tcW w:type="dxa" w:w="5904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Additional lines and average daily US turnover</w:t>
            </w:r>
          </w:p>
        </w:tc>
        <w:tc>
          <w:tcPr>
            <w:tcW w:type="dxa" w:w="46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Hedge to test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BZ 2076 $133m; BEKE 2423 $94m; ZTO 2057 $64m; HTHT 1179 $60m; YUMC 9987 $55m</w:t>
            </w:r>
          </w:p>
        </w:tc>
        <w:tc>
          <w:tcPr>
            <w:tcW w:type="dxa" w:w="46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KWEB for internet exposure; sector peers for property, logistics, hotels and restaurants. YUMC is a US common share.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GDS 9698 $42m; EDU 9901 $37m; KC 3896 $12m</w:t>
            </w:r>
          </w:p>
        </w:tc>
        <w:tc>
          <w:tcPr>
            <w:tcW w:type="dxa" w:w="46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GDS/KC cloud pair; EDU/TAL education pair. Add HTI or KWEB only for residual country beta.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PONY 2026 $27m; HSAI 2525 $18m; WRD 0800 $15m</w:t>
            </w:r>
          </w:p>
        </w:tc>
        <w:tc>
          <w:tcPr>
            <w:tcW w:type="dxa" w:w="46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Separate autonomy sleeve. Peer hedge plus residual HTI; recent listings and company news can dominate.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QFIN 3660 $16m; ATHM 2518 $11m; MNSO 9896 $8m; WB 9898 $7m; ZH 2390 $2m; TUYA 2391 $1m</w:t>
            </w:r>
          </w:p>
        </w:tc>
        <w:tc>
          <w:tcPr>
            <w:tcW w:type="dxa" w:w="46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Smaller lines need stricter execution tests. TUYA median daily turnover is only $0.49m; its mean is event-inflated.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HSBC 0005 $157m; ZLAB 9688 $21m</w:t>
            </w:r>
          </w:p>
        </w:tc>
        <w:tc>
          <w:tcPr>
            <w:tcW w:type="dxa" w:w="46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Bank and biotech hedges respectively. HSTECH is a weak default; same-company local/ADR overlap is preferable.</w:t>
            </w:r>
          </w:p>
        </w:tc>
      </w:tr>
    </w:tbl>
    <w:p>
      <w:r>
        <w:t>OTC watchlist: TCEHY, MPNGY, LNVGY, XIACY and BYDDY. Do not count them as executable basket legs without venue eligibility, two-way quotes and stock borrow. US-only China names such as PDD and FUTU can enter a factor basket without a HK listing.</w:t>
      </w:r>
    </w:p>
    <w:p>
      <w:pPr>
        <w:spacing w:after="40"/>
      </w:pPr>
      <w:r>
        <w:rPr>
          <w:sz w:val="16"/>
        </w:rPr>
        <w:t xml:space="preserve">Sources: </w:t>
      </w:r>
      <w:hyperlink r:id="rId22">
        <w:r>
          <w:rPr>
            <w:sz w:val="16"/>
            <w:color w:val="000000"/>
            <w:u w:val="single"/>
          </w:rPr>
          <w:t>BZ listing</w:t>
        </w:r>
      </w:hyperlink>
      <w:r>
        <w:rPr>
          <w:sz w:val="16"/>
        </w:rPr>
        <w:t xml:space="preserve">  |  </w:t>
      </w:r>
      <w:hyperlink r:id="rId23">
        <w:r>
          <w:rPr>
            <w:sz w:val="16"/>
            <w:color w:val="000000"/>
            <w:u w:val="single"/>
          </w:rPr>
          <w:t>BEKE listing</w:t>
        </w:r>
      </w:hyperlink>
      <w:r>
        <w:rPr>
          <w:sz w:val="16"/>
        </w:rPr>
        <w:t xml:space="preserve">  |  </w:t>
      </w:r>
      <w:hyperlink r:id="rId24">
        <w:r>
          <w:rPr>
            <w:sz w:val="16"/>
            <w:color w:val="000000"/>
            <w:u w:val="single"/>
          </w:rPr>
          <w:t>HTHT listing</w:t>
        </w:r>
      </w:hyperlink>
      <w:r>
        <w:rPr>
          <w:sz w:val="16"/>
        </w:rPr>
        <w:t xml:space="preserve">  |  </w:t>
      </w:r>
      <w:hyperlink r:id="rId25">
        <w:r>
          <w:rPr>
            <w:sz w:val="16"/>
            <w:color w:val="000000"/>
            <w:u w:val="single"/>
          </w:rPr>
          <w:t>HSBC listing</w:t>
        </w:r>
      </w:hyperlink>
      <w:r>
        <w:rPr>
          <w:sz w:val="16"/>
        </w:rPr>
        <w:t xml:space="preserve">  |  </w:t>
      </w:r>
      <w:hyperlink r:id="rId26">
        <w:r>
          <w:rPr>
            <w:sz w:val="16"/>
            <w:color w:val="000000"/>
            <w:u w:val="single"/>
          </w:rPr>
          <w:t>ZLAB listing</w:t>
        </w:r>
      </w:hyperlink>
      <w:r>
        <w:rPr>
          <w:sz w:val="16"/>
        </w:rPr>
        <w:t xml:space="preserve">  |  </w:t>
      </w:r>
      <w:hyperlink r:id="rId27">
        <w:r>
          <w:rPr>
            <w:sz w:val="16"/>
            <w:color w:val="000000"/>
            <w:u w:val="single"/>
          </w:rPr>
          <w:t>HSAI listing</w:t>
        </w:r>
      </w:hyperlink>
      <w:r>
        <w:rPr>
          <w:sz w:val="16"/>
        </w:rPr>
        <w:t xml:space="preserve">  |  </w:t>
      </w:r>
      <w:hyperlink r:id="rId28">
        <w:r>
          <w:rPr>
            <w:sz w:val="16"/>
            <w:color w:val="000000"/>
            <w:u w:val="single"/>
          </w:rPr>
          <w:t>PONY listing</w:t>
        </w:r>
      </w:hyperlink>
      <w:r>
        <w:rPr>
          <w:sz w:val="16"/>
        </w:rPr>
        <w:t xml:space="preserve">  |  </w:t>
      </w:r>
      <w:hyperlink r:id="rId29">
        <w:r>
          <w:rPr>
            <w:sz w:val="16"/>
            <w:color w:val="000000"/>
            <w:u w:val="single"/>
          </w:rPr>
          <w:t>WRD listing</w:t>
        </w:r>
      </w:hyperlink>
    </w:p>
    <w:p>
      <w:r>
        <w:br w:type="page"/>
      </w:r>
    </w:p>
    <w:p>
      <w:pPr>
        <w:pStyle w:val="Title"/>
      </w:pPr>
      <w:r>
        <w:t>Regional hedges and measured liquidity</w:t>
      </w:r>
    </w:p>
    <w:p>
      <w:pPr>
        <w:pStyle w:val="Heading2"/>
      </w:pPr>
      <w:r>
        <w:t>Taiwan company futures are usable only above their costs</w:t>
      </w:r>
    </w:p>
    <w:p>
      <w:r>
        <w:t>US daily turnover: TSM $4.47bn, UMC $262m, ASE ADR ASX $295m, CHT $12m. TSMC CD/QF and UMC CC trade 17:25–05:00 HK; ASE OZ and Chunghwa DL are day-only. CD/CC represent 2,000 shares, QF 100. For 1,000 TSM ADS, hedge 5,000 local shares with 2 CD + 10 QF; hedge TWD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808"/>
        <w:gridCol w:w="2808"/>
        <w:gridCol w:w="252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October contract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Mean US window lots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Median lots per 5 min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No trades in 5 min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TSMC CD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955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33%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TSMC mini QF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3,468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UMC CC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3,068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TAIEX TX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15,999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131.5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Mini TAIEX MTX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51,252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442.5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Semiconductor SOF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96%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Electronics TE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34</w:t>
            </w:r>
          </w:p>
        </w:tc>
        <w:tc>
          <w:tcPr>
            <w:tcW w:type="dxa" w:w="2808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2520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9"/>
              </w:rPr>
              <w:t>81%</w:t>
            </w:r>
          </w:p>
        </w:tc>
      </w:tr>
    </w:tbl>
    <w:p>
      <w:r>
        <w:t>Five sampled US sessions: 24, 29, 30 September and 1–2 October; 21:30–04:00 HK. Counts are outright prints, excluding calendar spreads and possible block activity. Lot sizes differ. Night quote snapshot: TSMC about 20bp wide, UMC 31bp; SOF about 421bp and TE 94bp. Prefer CD/QF/CC for company matching, TX/MTX for capacity. Drop SOF/TE from the initial book.</w:t>
      </w:r>
    </w:p>
    <w:p>
      <w:pPr>
        <w:spacing w:after="40"/>
      </w:pPr>
      <w:r>
        <w:rPr>
          <w:sz w:val="16"/>
        </w:rPr>
        <w:t xml:space="preserve">Sources: </w:t>
      </w:r>
      <w:hyperlink r:id="rId30">
        <w:r>
          <w:rPr>
            <w:sz w:val="16"/>
            <w:color w:val="000000"/>
            <w:u w:val="single"/>
          </w:rPr>
          <w:t>Taiwan contracts</w:t>
        </w:r>
      </w:hyperlink>
      <w:r>
        <w:rPr>
          <w:sz w:val="16"/>
        </w:rPr>
        <w:t xml:space="preserve">  |  </w:t>
      </w:r>
      <w:hyperlink r:id="rId31">
        <w:r>
          <w:rPr>
            <w:sz w:val="16"/>
            <w:color w:val="000000"/>
            <w:u w:val="single"/>
          </w:rPr>
          <w:t>Taiwan trade files</w:t>
        </w:r>
      </w:hyperlink>
      <w:r>
        <w:rPr>
          <w:sz w:val="16"/>
        </w:rPr>
        <w:t xml:space="preserve">  |  </w:t>
      </w:r>
      <w:hyperlink r:id="rId32">
        <w:r>
          <w:rPr>
            <w:sz w:val="16"/>
            <w:color w:val="000000"/>
            <w:u w:val="single"/>
          </w:rPr>
          <w:t>Taiwan night quotes</w:t>
        </w:r>
      </w:hyperlink>
      <w:r>
        <w:rPr>
          <w:sz w:val="16"/>
        </w:rPr>
        <w:t xml:space="preserve">  |  </w:t>
      </w:r>
      <w:hyperlink r:id="rId33">
        <w:r>
          <w:rPr>
            <w:sz w:val="16"/>
            <w:color w:val="000000"/>
            <w:u w:val="single"/>
          </w:rPr>
          <w:t>TSM share ratio</w:t>
        </w:r>
      </w:hyperlink>
    </w:p>
    <w:p>
      <w:pPr>
        <w:pStyle w:val="Heading2"/>
      </w:pPr>
      <w:r>
        <w:t>Japan use TOPIX first and examine night cash</w:t>
      </w:r>
    </w:p>
    <w:p>
      <w:r>
        <w:t>Mixed ADR basket: test TOPIX before price-weighted Nikkei. JPX lists stock options, but no domestic SSFs. September ADV: TOPIX 134,255 lots, mini 25,961, TOPIX Banks 4,455; combined sessions, possibly negotiated trades. Banks fits MUFG/SMFG/MFG; rolls can inflate volume. US daily turnover: SONY $81m, MUFG $70m, TM $59m, SMFG/MFG about $39m each, HMC $28m.</w:t>
      </w:r>
    </w:p>
    <w:p>
      <w:r>
        <w:t>Japannext local cash trades 16:00–05:00 HK. MUFG 8306 traded JPY5.97bn there in September, about JPY314m per night. Investigate MUFG ADR versus 8306 cash before an index proxy. Require broker PTS access and borrow; ordinary margin trading is day-only. EWJ ($390m daily) is a US-close hedge alternative; company and currency exposure still differ.</w:t>
      </w:r>
    </w:p>
    <w:p>
      <w:pPr>
        <w:spacing w:after="40"/>
      </w:pPr>
      <w:r>
        <w:rPr>
          <w:sz w:val="16"/>
        </w:rPr>
        <w:t xml:space="preserve">Sources: </w:t>
      </w:r>
      <w:hyperlink r:id="rId34">
        <w:r>
          <w:rPr>
            <w:sz w:val="16"/>
            <w:color w:val="000000"/>
            <w:u w:val="single"/>
          </w:rPr>
          <w:t>JPX September volume</w:t>
        </w:r>
      </w:hyperlink>
      <w:r>
        <w:rPr>
          <w:sz w:val="16"/>
        </w:rPr>
        <w:t xml:space="preserve">  |  </w:t>
      </w:r>
      <w:hyperlink r:id="rId35">
        <w:r>
          <w:rPr>
            <w:sz w:val="16"/>
            <w:color w:val="000000"/>
            <w:u w:val="single"/>
          </w:rPr>
          <w:t>JPX product list</w:t>
        </w:r>
      </w:hyperlink>
      <w:r>
        <w:rPr>
          <w:sz w:val="16"/>
        </w:rPr>
        <w:t xml:space="preserve">  |  </w:t>
      </w:r>
      <w:hyperlink r:id="rId36">
        <w:r>
          <w:rPr>
            <w:sz w:val="16"/>
            <w:color w:val="000000"/>
            <w:u w:val="single"/>
          </w:rPr>
          <w:t>TOPIX Banks terms</w:t>
        </w:r>
      </w:hyperlink>
      <w:r>
        <w:rPr>
          <w:sz w:val="16"/>
        </w:rPr>
        <w:t xml:space="preserve">  |  </w:t>
      </w:r>
      <w:hyperlink r:id="rId37">
        <w:r>
          <w:rPr>
            <w:sz w:val="16"/>
            <w:color w:val="000000"/>
            <w:u w:val="single"/>
          </w:rPr>
          <w:t>Japan night cash rules</w:t>
        </w:r>
      </w:hyperlink>
      <w:r>
        <w:rPr>
          <w:sz w:val="16"/>
        </w:rPr>
        <w:t xml:space="preserve">  |  </w:t>
      </w:r>
      <w:hyperlink r:id="rId38">
        <w:r>
          <w:rPr>
            <w:sz w:val="16"/>
            <w:color w:val="000000"/>
            <w:u w:val="single"/>
          </w:rPr>
          <w:t>Japan night cash volume</w:t>
        </w:r>
      </w:hyperlink>
    </w:p>
    <w:p>
      <w:pPr>
        <w:pStyle w:val="Heading2"/>
      </w:pPr>
      <w:r>
        <w:t>Korea separate the semiconductor and bank sleeves</w:t>
      </w:r>
    </w:p>
    <w:p>
      <w:r>
        <w:t>SKHY averaged $3.74bn daily US turnover, but its ADR only began in July 2026. SKM $41m, KT $26m, KB $19m, SHG $15m and WF $7m are smaller. Nextrade after-market ends 19:00 HK: test eligible local shares against US premarket from 16:00 summer / 17:00 winter. That overlap needs its own quotes; daily turnover does not validate it.</w:t>
      </w:r>
    </w:p>
    <w:p>
      <w:r>
        <w:t>KRX KOSPI 200/mini trade 17:00–05:00 HK; SSFs and sector futures are absent from its night list. For SKHY test MU/semiconductor peers plus country beta. For KB/SHG/WF use bank peers first. EWY ($2.47bn daily) works at US close, with sector and KRW basis. KRX and Nextrade depth at the proposed clock remains unmeasured.</w:t>
      </w:r>
    </w:p>
    <w:p>
      <w:pPr>
        <w:spacing w:after="40"/>
      </w:pPr>
      <w:r>
        <w:rPr>
          <w:sz w:val="16"/>
        </w:rPr>
        <w:t xml:space="preserve">Sources: </w:t>
      </w:r>
      <w:hyperlink r:id="rId39">
        <w:r>
          <w:rPr>
            <w:sz w:val="16"/>
            <w:color w:val="000000"/>
            <w:u w:val="single"/>
          </w:rPr>
          <w:t>KRX night products</w:t>
        </w:r>
      </w:hyperlink>
      <w:r>
        <w:rPr>
          <w:sz w:val="16"/>
        </w:rPr>
        <w:t xml:space="preserve">  |  </w:t>
      </w:r>
      <w:hyperlink r:id="rId40">
        <w:r>
          <w:rPr>
            <w:sz w:val="16"/>
            <w:color w:val="000000"/>
            <w:u w:val="single"/>
          </w:rPr>
          <w:t>Nextrade hours</w:t>
        </w:r>
      </w:hyperlink>
      <w:r>
        <w:rPr>
          <w:sz w:val="16"/>
        </w:rPr>
        <w:t xml:space="preserve">  |  </w:t>
      </w:r>
      <w:hyperlink r:id="rId41">
        <w:r>
          <w:rPr>
            <w:sz w:val="16"/>
            <w:color w:val="000000"/>
            <w:u w:val="single"/>
          </w:rPr>
          <w:t>SKHY ADR</w:t>
        </w:r>
      </w:hyperlink>
      <w:r>
        <w:rPr>
          <w:sz w:val="16"/>
        </w:rPr>
        <w:t xml:space="preserve">  |  </w:t>
      </w:r>
      <w:hyperlink r:id="rId42">
        <w:r>
          <w:rPr>
            <w:sz w:val="16"/>
            <w:color w:val="000000"/>
            <w:u w:val="single"/>
          </w:rPr>
          <w:t>EWY volume</w:t>
        </w:r>
      </w:hyperlink>
    </w:p>
    <w:p>
      <w:pPr>
        <w:pStyle w:val="Heading2"/>
      </w:pPr>
      <w:r>
        <w:t>Australia standard SPI beats the untraded mini sample</w:t>
      </w:r>
    </w:p>
    <w:p>
      <w:r>
        <w:t>US daily turnover: BHP $234m, RIO $173m, WDS $15m. The 2 October ASX night report shows December SPI AP 22,813 lots and OI 265,928; mini AM showed no trades. Resources AR is day-only; old ASX SSFs were delisted. Test SPI + iron ore + AUD for miners, Brent + AUD for WDS. Same-company London/ADR overlap is preferable where available. RIO ADR represents London plc; ASX Rio Limited is a DLC statistical pair with a persistent premium.</w:t>
      </w:r>
    </w:p>
    <w:p>
      <w:pPr>
        <w:spacing w:after="40"/>
      </w:pPr>
      <w:r>
        <w:rPr>
          <w:sz w:val="16"/>
        </w:rPr>
        <w:t xml:space="preserve">Sources: </w:t>
      </w:r>
      <w:hyperlink r:id="rId43">
        <w:r>
          <w:rPr>
            <w:sz w:val="16"/>
            <w:color w:val="000000"/>
            <w:u w:val="single"/>
          </w:rPr>
          <w:t>SPI night volume</w:t>
        </w:r>
      </w:hyperlink>
      <w:r>
        <w:rPr>
          <w:sz w:val="16"/>
        </w:rPr>
        <w:t xml:space="preserve">  |  </w:t>
      </w:r>
      <w:hyperlink r:id="rId44">
        <w:r>
          <w:rPr>
            <w:sz w:val="16"/>
            <w:color w:val="000000"/>
            <w:u w:val="single"/>
          </w:rPr>
          <w:t>ASX futures hours</w:t>
        </w:r>
      </w:hyperlink>
      <w:r>
        <w:rPr>
          <w:sz w:val="16"/>
        </w:rPr>
        <w:t xml:space="preserve">  |  </w:t>
      </w:r>
      <w:hyperlink r:id="rId45">
        <w:r>
          <w:rPr>
            <w:sz w:val="16"/>
            <w:color w:val="000000"/>
            <w:u w:val="single"/>
          </w:rPr>
          <w:t>ASX old SSFs</w:t>
        </w:r>
      </w:hyperlink>
      <w:r>
        <w:rPr>
          <w:sz w:val="16"/>
        </w:rPr>
        <w:t xml:space="preserve">  |  </w:t>
      </w:r>
      <w:hyperlink r:id="rId46">
        <w:r>
          <w:rPr>
            <w:sz w:val="16"/>
            <w:color w:val="000000"/>
            <w:u w:val="single"/>
          </w:rPr>
          <w:t>Rio London futures</w:t>
        </w:r>
      </w:hyperlink>
    </w:p>
    <w:p>
      <w:r>
        <w:br w:type="page"/>
      </w:r>
    </w:p>
    <w:p>
      <w:pPr>
        <w:pStyle w:val="Title"/>
      </w:pPr>
      <w:r>
        <w:t>Trade windows sizing and execution rules</w:t>
      </w:r>
    </w:p>
    <w:p>
      <w:r>
        <w:t>All times are HK, on normal trading days. Summer/winter below means US daylight-saving status. Use venue calendars for holidays, expiry and the weeks when Australian and US clock changes differ.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776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Entry idea</w:t>
            </w:r>
          </w:p>
        </w:tc>
        <w:tc>
          <w:tcPr>
            <w:tcW w:type="dxa" w:w="77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Orders and actual exit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US open ADR basket versus HTI</w:t>
            </w:r>
          </w:p>
        </w:tc>
        <w:tc>
          <w:tcPr>
            <w:tcW w:type="dxa" w:w="77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After the first 5–15 minutes: buy cheap ADR basket / sell beta-sized HTI, or reverse. Use HK closing values updated by futures and FX as a signal anchor. Close both before 02:50; HTI stops at 03:00.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HK before close versus US overnight ATS</w:t>
            </w:r>
          </w:p>
        </w:tc>
        <w:tc>
          <w:tcPr>
            <w:tcW w:type="dxa" w:w="77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Summer: scan 15:30–15:45. Winter: 15:30–15:55. Buy cheaper local line / short equivalent ADR shares, or reverse. Close both independently during a later common trading window. Eligibility, borrow and ATS depth must pass.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HK close local basket versus HTI</w:t>
            </w:r>
          </w:p>
        </w:tc>
        <w:tc>
          <w:tcPr>
            <w:tcW w:type="dxa" w:w="77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Buy local / short HTI, or reverse, then exit both during the next HK cash session. This forecasts convergence and retains company risk. Selling ADRs at US open while covering HTI leaves a local/ADR pair outstanding.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US close or after-hours</w:t>
            </w:r>
          </w:p>
        </w:tc>
        <w:tc>
          <w:tcPr>
            <w:tcW w:type="dxa" w:w="7776"/>
            <w:vAlign w:val="center"/>
            <w:tcMar>
              <w:top w:w="50" w:type="dxa"/>
              <w:bottom w:w="50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20"/>
              </w:rPr>
              <w:t>HTI is already shut. Trade ADR versus KWEB, EWJ, EWY, EWT or sector peers if both quotes and borrow are available. Close both later while both markets trade. OSE/KRX/TAIFEX end at 05:00, coinciding with winter US close; do not wait for that closing print to initiate a futures hedge.</w:t>
            </w:r>
          </w:p>
        </w:tc>
      </w:tr>
    </w:tbl>
    <w:p>
      <w:pPr>
        <w:pStyle w:val="Heading2"/>
      </w:pPr>
      <w:r>
        <w:t>Premarket after-hours and overnight are different books</w:t>
      </w:r>
    </w:p>
    <w:p>
      <w:r>
        <w:t>US regular: 21:30–04:00 summer / 22:30–05:00 winter. Premarket starts 16:00 / 17:00. Ordinary after-hours ends 08:00 / 09:00, before HK cash opens at 09:30. IBKR overnight ATS: 08:00–15:50 / 09:00–16:50. Confirm each symbol and short route; broad overnight availability does not prove depth.</w:t>
      </w:r>
    </w:p>
    <w:p>
      <w:r>
        <w:t>Japan/Korea cash opens around 08:00 HK, giving a winter postmarket overlap; Nextrade premarket starts 07:00. Taiwan cash at 09:00 has no meaningful ordinary postmarket overlap. Australia cash opens around 07:00 with Sydney DST / 08:00 otherwise: US postmarket overlap varies from zero to two hours. Japan PTS gives US regular-session overlap directly.</w:t>
      </w:r>
    </w:p>
    <w:p>
      <w:pPr>
        <w:spacing w:after="40"/>
      </w:pPr>
      <w:r>
        <w:rPr>
          <w:sz w:val="16"/>
        </w:rPr>
        <w:t xml:space="preserve">Sources: </w:t>
      </w:r>
      <w:hyperlink r:id="rId47">
        <w:r>
          <w:rPr>
            <w:sz w:val="16"/>
            <w:color w:val="000000"/>
            <w:u w:val="single"/>
          </w:rPr>
          <w:t>US overnight ATS</w:t>
        </w:r>
      </w:hyperlink>
      <w:r>
        <w:rPr>
          <w:sz w:val="16"/>
        </w:rPr>
        <w:t xml:space="preserve">  |  </w:t>
      </w:r>
      <w:hyperlink r:id="rId48">
        <w:r>
          <w:rPr>
            <w:sz w:val="16"/>
            <w:color w:val="000000"/>
            <w:u w:val="single"/>
          </w:rPr>
          <w:t>HTI hours</w:t>
        </w:r>
      </w:hyperlink>
      <w:r>
        <w:rPr>
          <w:sz w:val="16"/>
        </w:rPr>
        <w:t xml:space="preserve">  |  </w:t>
      </w:r>
      <w:hyperlink r:id="rId37">
        <w:r>
          <w:rPr>
            <w:sz w:val="16"/>
            <w:color w:val="000000"/>
            <w:u w:val="single"/>
          </w:rPr>
          <w:t>Japan night cash rules</w:t>
        </w:r>
      </w:hyperlink>
      <w:r>
        <w:rPr>
          <w:sz w:val="16"/>
        </w:rPr>
        <w:t xml:space="preserve">  |  </w:t>
      </w:r>
      <w:hyperlink r:id="rId40">
        <w:r>
          <w:rPr>
            <w:sz w:val="16"/>
            <w:color w:val="000000"/>
            <w:u w:val="single"/>
          </w:rPr>
          <w:t>Nextrade hours</w:t>
        </w:r>
      </w:hyperlink>
      <w:r>
        <w:rPr>
          <w:sz w:val="16"/>
        </w:rPr>
        <w:t xml:space="preserve">  |  </w:t>
      </w:r>
      <w:hyperlink r:id="rId44">
        <w:r>
          <w:rPr>
            <w:sz w:val="16"/>
            <w:color w:val="000000"/>
            <w:u w:val="single"/>
          </w:rPr>
          <w:t>ASX futures hours</w:t>
        </w:r>
      </w:hyperlink>
    </w:p>
    <w:p>
      <w:pPr>
        <w:pStyle w:val="Heading2"/>
      </w:pPr>
      <w:r>
        <w:t>HK SSFs fail the first capacity screen</w:t>
      </w:r>
    </w:p>
    <w:p>
      <w:r>
        <w:t>5 October all-expiry volume: ALB 96; JDC 25; BIU 319; NTE 13; TRP 20; BLI 0; PEN 25 lots. They are day-only. ALB front month traded only 82 lots, roughly HKD4.3m notional using settlement price. Investigate firm market-maker quotes for a small ADR/SSF pair; do not assume a basket can use these as its default hedge.</w:t>
      </w:r>
    </w:p>
    <w:p>
      <w:r>
        <w:t>HTI October traded 8,054 contracts in the previous after-hours session reported on 5 October, with OI 198,303 after that business day. This supports prioritizing HTI; executable depth in your exact minute is still required. SGX US SSFs were removed effective 1 October per TT’s operational notice. CME’s current SSF card has US semiconductor proxies, not BABA or TSM. CME TOPIX exists; validate quotes before relying on its longer clock.</w:t>
      </w:r>
    </w:p>
    <w:p>
      <w:pPr>
        <w:spacing w:after="40"/>
      </w:pPr>
      <w:r>
        <w:rPr>
          <w:sz w:val="16"/>
        </w:rPr>
        <w:t xml:space="preserve">Sources: </w:t>
      </w:r>
      <w:hyperlink r:id="rId49">
        <w:r>
          <w:rPr>
            <w:sz w:val="16"/>
            <w:color w:val="000000"/>
            <w:u w:val="single"/>
          </w:rPr>
          <w:t>HK SSF volume</w:t>
        </w:r>
      </w:hyperlink>
      <w:r>
        <w:rPr>
          <w:sz w:val="16"/>
        </w:rPr>
        <w:t xml:space="preserve">  |  </w:t>
      </w:r>
      <w:hyperlink r:id="rId50">
        <w:r>
          <w:rPr>
            <w:sz w:val="16"/>
            <w:color w:val="000000"/>
            <w:u w:val="single"/>
          </w:rPr>
          <w:t>HK SSF terms</w:t>
        </w:r>
      </w:hyperlink>
      <w:r>
        <w:rPr>
          <w:sz w:val="16"/>
        </w:rPr>
        <w:t xml:space="preserve">  |  </w:t>
      </w:r>
      <w:hyperlink r:id="rId51">
        <w:r>
          <w:rPr>
            <w:sz w:val="16"/>
            <w:color w:val="000000"/>
            <w:u w:val="single"/>
          </w:rPr>
          <w:t>HTI volume</w:t>
        </w:r>
      </w:hyperlink>
      <w:r>
        <w:rPr>
          <w:sz w:val="16"/>
        </w:rPr>
        <w:t xml:space="preserve">  |  </w:t>
      </w:r>
      <w:hyperlink r:id="rId52">
        <w:r>
          <w:rPr>
            <w:sz w:val="16"/>
            <w:color w:val="000000"/>
            <w:u w:val="single"/>
          </w:rPr>
          <w:t>SGX SSF removal notice</w:t>
        </w:r>
      </w:hyperlink>
      <w:r>
        <w:rPr>
          <w:sz w:val="16"/>
        </w:rPr>
        <w:t xml:space="preserve">  |  </w:t>
      </w:r>
      <w:hyperlink r:id="rId53">
        <w:r>
          <w:rPr>
            <w:sz w:val="16"/>
            <w:color w:val="000000"/>
            <w:u w:val="single"/>
          </w:rPr>
          <w:t>CME SSF list</w:t>
        </w:r>
      </w:hyperlink>
      <w:r>
        <w:rPr>
          <w:sz w:val="16"/>
        </w:rPr>
        <w:t xml:space="preserve">  |  </w:t>
      </w:r>
      <w:hyperlink r:id="rId54">
        <w:r>
          <w:rPr>
            <w:sz w:val="16"/>
            <w:color w:val="000000"/>
            <w:u w:val="single"/>
          </w:rPr>
          <w:t>CME TOPIX</w:t>
        </w:r>
      </w:hyperlink>
    </w:p>
    <w:p>
      <w:pPr>
        <w:pStyle w:val="Heading2"/>
      </w:pPr>
      <w:r>
        <w:t>Fit the hedge and reject trades that cannot pay for execution</w:t>
      </w:r>
    </w:p>
    <w:p>
      <w:r>
        <w:t>Index lots = beta × basket value in hedge currency / (futures price × multiplier). Example only: USD1m × 7.80 × assumed beta 1.10 / (HTI 5,000 × HKD50) = 34.3 lots. Fit rolling 60-session simultaneous 15-minute returns separately for HK day, US premarket and US regular; control FX. Compare HTI, HTI plus NQ and KWEB on out-of-sample residual risk after costs.</w:t>
      </w:r>
    </w:p>
    <w:p>
      <w:r>
        <w:t>Use a learned residual mean, not forced zero parity. Require stationary residuals, stable hedge weights, located borrow and two-sided quotes. Backtest actual bid/ask, depth, partial fills, rolls and session gaps. HK cash round trip is about 21.7bp in stamp duty and exchange levies alone. Apply a time stop before either venue closes and a maximum unhedged fill exposure. No strategy P&amp;L backtest has been run.</w:t>
      </w:r>
    </w:p>
    <w:p>
      <w:pPr>
        <w:spacing w:after="40"/>
      </w:pPr>
      <w:r>
        <w:rPr>
          <w:sz w:val="16"/>
        </w:rPr>
        <w:t xml:space="preserve">Sources: </w:t>
      </w:r>
      <w:hyperlink r:id="rId55">
        <w:r>
          <w:rPr>
            <w:sz w:val="16"/>
            <w:color w:val="000000"/>
            <w:u w:val="single"/>
          </w:rPr>
          <w:t>HK cash costs</w:t>
        </w:r>
      </w:hyperlink>
    </w:p>
    <w:sectPr w:rsidR="00FC693F" w:rsidRPr="0006063C" w:rsidSect="00034616">
      <w:footerReference w:type="default" r:id="rId9"/>
      <w:pgSz w:w="12240" w:h="15840"/>
      <w:pgMar w:top="792" w:right="864" w:bottom="792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6 October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lobalxetfs.com.hk/funds/hang-seng-tech-etf/" TargetMode="External"/><Relationship Id="rId11" Type="http://schemas.openxmlformats.org/officeDocument/2006/relationships/hyperlink" Target="https://kraneshares.com/etf/kweb/" TargetMode="External"/><Relationship Id="rId12" Type="http://schemas.openxmlformats.org/officeDocument/2006/relationships/hyperlink" Target="https://chartexchange.com/symbol/nyse-baba/historical/" TargetMode="External"/><Relationship Id="rId13" Type="http://schemas.openxmlformats.org/officeDocument/2006/relationships/hyperlink" Target="https://chartexchange.com/symbol/nasdaq-jd/historical/" TargetMode="External"/><Relationship Id="rId14" Type="http://schemas.openxmlformats.org/officeDocument/2006/relationships/hyperlink" Target="https://chartexchange.com/symbol/nasdaq-bidu/historical/" TargetMode="External"/><Relationship Id="rId15" Type="http://schemas.openxmlformats.org/officeDocument/2006/relationships/hyperlink" Target="https://chartexchange.com/symbol/nasdaq-tcom/historical/" TargetMode="External"/><Relationship Id="rId16" Type="http://schemas.openxmlformats.org/officeDocument/2006/relationships/hyperlink" Target="https://chartexchange.com/symbol/nasdaq-ntes/historical/" TargetMode="External"/><Relationship Id="rId17" Type="http://schemas.openxmlformats.org/officeDocument/2006/relationships/hyperlink" Target="https://chartexchange.com/symbol/nasdaq-bili/historical/" TargetMode="External"/><Relationship Id="rId18" Type="http://schemas.openxmlformats.org/officeDocument/2006/relationships/hyperlink" Target="https://chartexchange.com/symbol/nyse-tme/historical/" TargetMode="External"/><Relationship Id="rId19" Type="http://schemas.openxmlformats.org/officeDocument/2006/relationships/hyperlink" Target="https://chartexchange.com/symbol/nasdaq-li/historical/" TargetMode="External"/><Relationship Id="rId20" Type="http://schemas.openxmlformats.org/officeDocument/2006/relationships/hyperlink" Target="https://chartexchange.com/symbol/nyse-xpev/historical/" TargetMode="External"/><Relationship Id="rId21" Type="http://schemas.openxmlformats.org/officeDocument/2006/relationships/hyperlink" Target="https://chartexchange.com/symbol/nyse-nio/historical/" TargetMode="External"/><Relationship Id="rId22" Type="http://schemas.openxmlformats.org/officeDocument/2006/relationships/hyperlink" Target="https://ir.zhipin.com/static-files/6d76a2e2-c473-4191-a745-3b64cfcbbb0d" TargetMode="External"/><Relationship Id="rId23" Type="http://schemas.openxmlformats.org/officeDocument/2006/relationships/hyperlink" Target="https://www.hkexnews.hk/listedco/listconews/sehk/2026/0519/2026051900692.pdf" TargetMode="External"/><Relationship Id="rId24" Type="http://schemas.openxmlformats.org/officeDocument/2006/relationships/hyperlink" Target="https://ir.hworld.com/static-files/ec1a016d-4329-41e0-b3de-7af9e460bfcf" TargetMode="External"/><Relationship Id="rId25" Type="http://schemas.openxmlformats.org/officeDocument/2006/relationships/hyperlink" Target="https://www.hsbc.com/investors/shareholder-and-dividend-information/investor-faqs" TargetMode="External"/><Relationship Id="rId26" Type="http://schemas.openxmlformats.org/officeDocument/2006/relationships/hyperlink" Target="https://ir.zailaboratory.com/static-files/a2818321-29a4-4374-b949-31581dd79a04" TargetMode="External"/><Relationship Id="rId27" Type="http://schemas.openxmlformats.org/officeDocument/2006/relationships/hyperlink" Target="https://www.hesaitech.com/cn/news/1454" TargetMode="External"/><Relationship Id="rId28" Type="http://schemas.openxmlformats.org/officeDocument/2006/relationships/hyperlink" Target="https://ir.pony.ai/" TargetMode="External"/><Relationship Id="rId29" Type="http://schemas.openxmlformats.org/officeDocument/2006/relationships/hyperlink" Target="https://ir.weride.ai/" TargetMode="External"/><Relationship Id="rId30" Type="http://schemas.openxmlformats.org/officeDocument/2006/relationships/hyperlink" Target="https://www.taifex.com.tw/enl/eng2/stockLists" TargetMode="External"/><Relationship Id="rId31" Type="http://schemas.openxmlformats.org/officeDocument/2006/relationships/hyperlink" Target="https://www.taifex.com.tw/enl/eng3/futPrevious30DaysSalesData" TargetMode="External"/><Relationship Id="rId32" Type="http://schemas.openxmlformats.org/officeDocument/2006/relationships/hyperlink" Target="https://www.taifex.com.tw/enl/eng3/futDailyMarketReport?queryType=2&amp;marketCode=1&amp;queryDate=2026%2F10%2F02&amp;commodity_id=specialid2&amp;commodity_id2=CDF" TargetMode="External"/><Relationship Id="rId33" Type="http://schemas.openxmlformats.org/officeDocument/2006/relationships/hyperlink" Target="https://investor.tsmc.com/sites/ir/sec-filings/2025_20F%20Report.pdf" TargetMode="External"/><Relationship Id="rId34" Type="http://schemas.openxmlformats.org/officeDocument/2006/relationships/hyperlink" Target="https://www.jpx.co.jp/english/corporate/news/news-releases/0063/vk0khi000002j3l8-att/reference(oseandtocom).pdf" TargetMode="External"/><Relationship Id="rId35" Type="http://schemas.openxmlformats.org/officeDocument/2006/relationships/hyperlink" Target="https://www.jpx.co.jp/english/derivatives/products/list/" TargetMode="External"/><Relationship Id="rId36" Type="http://schemas.openxmlformats.org/officeDocument/2006/relationships/hyperlink" Target="https://www.jpx.co.jp/english/derivatives/products/domestic/topix-banks-index-futures/01.html" TargetMode="External"/><Relationship Id="rId37" Type="http://schemas.openxmlformats.org/officeDocument/2006/relationships/hyperlink" Target="https://www.japannext.co.jp/pub_data/pub_onboarding/JNX_Trading_Rules_Equities_2.02_EN.pdf" TargetMode="External"/><Relationship Id="rId38" Type="http://schemas.openxmlformats.org/officeDocument/2006/relationships/hyperlink" Target="https://www.japannext.co.jp/pub_data/reports/2026/monthly/Japannext_Monthly_Statistics_2026-09.pdf" TargetMode="External"/><Relationship Id="rId39" Type="http://schemas.openxmlformats.org/officeDocument/2006/relationships/hyperlink" Target="https://global.krx.co.kr/contents/GLB/02/0201/0201041004/GLB0201041004.jsp" TargetMode="External"/><Relationship Id="rId40" Type="http://schemas.openxmlformats.org/officeDocument/2006/relationships/hyperlink" Target="https://www.nextrade.co.kr/menu/transactionSys.do" TargetMode="External"/><Relationship Id="rId41" Type="http://schemas.openxmlformats.org/officeDocument/2006/relationships/hyperlink" Target="https://news.skhynix.com/en/skhynix-lists-adrs-on-nasdaq/" TargetMode="External"/><Relationship Id="rId42" Type="http://schemas.openxmlformats.org/officeDocument/2006/relationships/hyperlink" Target="https://chartexchange.com/symbol/nyse-ewy/historical/" TargetMode="External"/><Relationship Id="rId43" Type="http://schemas.openxmlformats.org/officeDocument/2006/relationships/hyperlink" Target="https://www.asx.com.au/data/futures/reports/EODWebMarketSummary261002SFN.htm" TargetMode="External"/><Relationship Id="rId44" Type="http://schemas.openxmlformats.org/officeDocument/2006/relationships/hyperlink" Target="https://www.asx.com.au/markets/market-resources/trading-hours-calendar/index-derivatives." TargetMode="External"/><Relationship Id="rId45" Type="http://schemas.openxmlformats.org/officeDocument/2006/relationships/hyperlink" Target="https://www.asx.com.au/markets/market-resources/asx-codes-and-descriptors/asx-24-commodity-codes" TargetMode="External"/><Relationship Id="rId46" Type="http://schemas.openxmlformats.org/officeDocument/2006/relationships/hyperlink" Target="https://www.eurex.com/ex-en/markets/equ/fut/Rio-Tinto-3090504" TargetMode="External"/><Relationship Id="rId47" Type="http://schemas.openxmlformats.org/officeDocument/2006/relationships/hyperlink" Target="https://www.interactivebrokers.com/en/trading/us-overnight-trading.php" TargetMode="External"/><Relationship Id="rId48" Type="http://schemas.openxmlformats.org/officeDocument/2006/relationships/hyperlink" Target="https://www.hkex.com.hk/Products/Listed-Derivatives/Equity-Index/Hang-Seng-TECH-Index-Futures-and-Options/Hang-Seng-TECH-Index-Futures?sc_lang=en" TargetMode="External"/><Relationship Id="rId49" Type="http://schemas.openxmlformats.org/officeDocument/2006/relationships/hyperlink" Target="https://www.hkex.com.hk/eng/stat/dmstat/dayrpt/stock261005.htm" TargetMode="External"/><Relationship Id="rId50" Type="http://schemas.openxmlformats.org/officeDocument/2006/relationships/hyperlink" Target="https://www.hkex.com.hk/Products/Listed-Derivatives/Single-Stock/Stock-Futures?sc_lang=en" TargetMode="External"/><Relationship Id="rId51" Type="http://schemas.openxmlformats.org/officeDocument/2006/relationships/hyperlink" Target="https://www.hkex.com.hk/eng/stat/dmstat/dayrpt/htif261005.htm" TargetMode="External"/><Relationship Id="rId52" Type="http://schemas.openxmlformats.org/officeDocument/2006/relationships/hyperlink" Target="https://tradingtechnologies.com/support-updates/sgx-delisting-of-single-stock-futures-hkex-introduction-of-new-contracts-on-partition-3-and-more/" TargetMode="External"/><Relationship Id="rId53" Type="http://schemas.openxmlformats.org/officeDocument/2006/relationships/hyperlink" Target="https://www.cmegroup.com/markets/equities/files/single-stock-futures-fact-card.pdf" TargetMode="External"/><Relationship Id="rId54" Type="http://schemas.openxmlformats.org/officeDocument/2006/relationships/hyperlink" Target="https://www.cmegroup.com/articles/faqs/frequently-asked-questions-usd-denominated-topix-futures.html" TargetMode="External"/><Relationship Id="rId55" Type="http://schemas.openxmlformats.org/officeDocument/2006/relationships/hyperlink" Target="https://www.hkex.com.hk/Services/Rules-and-Forms-and-Fees/Fees/Securities-%28Hong-Kong%29/Trading/Transaction?sc_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HK ADR Statistical Arbitrage and Regional Hedges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