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HK ADR trading: what v32 does, why it is not a trade, and what to do instead</w:t>
      </w:r>
    </w:p>
    <w:p>
      <w:r>
        <w:rPr>
          <w:i/>
          <w:color w:val="595959"/>
          <w:sz w:val="19"/>
        </w:rPr>
        <w:t>Pitch for discussion, 29 Sep 2026. Built from v32_hk_full.py, the v33 real-data runs and the public sources listed at the end. Sign convention: premium &gt; 0 = the ADR is rich to the HK line; cost &gt; 0 = you pay.</w:t>
      </w:r>
    </w:p>
    <w:p>
      <w:pPr>
        <w:pStyle w:val="Heading1"/>
      </w:pPr>
      <w:r>
        <w:t>0. Bottom line</w:t>
      </w:r>
    </w:p>
    <w:p>
      <w:pPr>
        <w:tabs>
          <w:tab w:pos="425" w:val="left"/>
        </w:tabs>
        <w:spacing w:after="60"/>
        <w:ind w:left="425" w:hanging="425"/>
      </w:pPr>
      <w:r>
        <w:rPr>
          <w:b/>
        </w:rPr>
        <w:t>1.</w:t>
        <w:tab/>
      </w:r>
      <w:r>
        <w:rPr>
          <w:b/>
        </w:rPr>
        <w:t xml:space="preserve">The v32 book fades a premium that does not exist. </w:t>
      </w:r>
      <w:r>
        <w:t>BABA and 9988 are the same share, convertible in two days for US$0.05 an ADS. The five-year average gap is 0.1%; the average was ~0 in 1H 2026. What the file measures at the US close is mostly the name's own news plus an hour of index movement the hedge cannot see. On the desk's real data only 31-38% of it survives to the HK open.</w:t>
      </w:r>
    </w:p>
    <w:p>
      <w:pPr>
        <w:tabs>
          <w:tab w:pos="425" w:val="left"/>
        </w:tabs>
        <w:spacing w:after="60"/>
        <w:ind w:left="425" w:hanging="425"/>
      </w:pPr>
      <w:r>
        <w:rPr>
          <w:b/>
        </w:rPr>
        <w:t>2.</w:t>
        <w:tab/>
      </w:r>
      <w:r>
        <w:rPr>
          <w:b/>
        </w:rPr>
        <w:t xml:space="preserve">The academic version of this exact trade made money when spreads were 3%, not 5 bps. </w:t>
      </w:r>
      <w:r>
        <w:t>Hong &amp; Susmel ran z-score entries on 36 HK/China ADR pairs (2000-2011), short the ADR at the US close and buy the local line at the next open: median 2.9% per position before costs, 2.7% median effective-spread cost, ~0.4% net on average, with the profit coming from the ADR leg. Those spreads are gone; Gagnon &amp; Karolyi's mean parity deviation across 506 cross-listings is 4.9 bps.</w:t>
      </w:r>
    </w:p>
    <w:p>
      <w:pPr>
        <w:tabs>
          <w:tab w:pos="425" w:val="left"/>
        </w:tabs>
        <w:spacing w:after="60"/>
        <w:ind w:left="425" w:hanging="425"/>
      </w:pPr>
      <w:r>
        <w:rPr>
          <w:b/>
        </w:rPr>
        <w:t>3.</w:t>
        <w:tab/>
      </w:r>
      <w:r>
        <w:rPr>
          <w:b/>
        </w:rPr>
        <w:t xml:space="preserve">Your cost stack is right. </w:t>
      </w:r>
      <w:r>
        <w:t>ADR 2/2, HTI 1-2, HK 13 bps a side, SOFR+120, SOFR-50 rebate, 13.5% x 120 bps margin: all confirmed against HKEX and depositary schedules. Add three lines only: the depositary fee (US$0.05/ADS), the T+1-vs-T+2 conversion carry, and per-name HK borrow. The no-arbitrage band is ~26-33 bps with a conversion exit and ~60 bps with a two-leg exit.</w:t>
      </w:r>
    </w:p>
    <w:p>
      <w:pPr>
        <w:tabs>
          <w:tab w:pos="425" w:val="left"/>
        </w:tabs>
        <w:spacing w:after="60"/>
        <w:ind w:left="425" w:hanging="425"/>
      </w:pPr>
      <w:r>
        <w:rPr>
          <w:b/>
        </w:rPr>
        <w:t>4.</w:t>
        <w:tab/>
      </w:r>
      <w:r>
        <w:rPr>
          <w:b/>
        </w:rPr>
        <w:t xml:space="preserve">The only same-time overlap of the ADR and the HK share is the US overnight session, and it is about to move onto Nasdaq and NYSE Arca (6 Dec 2026, 21:00-04:00 ET = 09:00/10:00-16:00/17:00 HKT). </w:t>
      </w:r>
      <w:r>
        <w:t>That turns a projected premium into an observed one. Blue Ocean already does US$3.5bn a night, 75-80% from Asia. Nobody has published BABA's overnight volume; measuring it is the first job.</w:t>
      </w:r>
    </w:p>
    <w:p>
      <w:pPr>
        <w:tabs>
          <w:tab w:pos="425" w:val="left"/>
        </w:tabs>
        <w:spacing w:after="60"/>
        <w:ind w:left="425" w:hanging="425"/>
      </w:pPr>
      <w:r>
        <w:rPr>
          <w:b/>
        </w:rPr>
        <w:t>5.</w:t>
        <w:tab/>
      </w:r>
      <w:r>
        <w:rPr>
          <w:b/>
        </w:rPr>
        <w:t xml:space="preserve">The gaps that do exist are made by flows that can only touch one line. </w:t>
      </w:r>
      <w:r>
        <w:t>Southbound money (22% of HK turnover) cannot buy the ADR and shares held through Connect cannot be converted into ADRs; US divestment fears hit only the ADR. Mar 2025: 9988 averaged 1.1% rich to BABA for a month and touched 3.6%, against a 0.19% long-run average. NetEase (Jun 2026) and Baidu (Sep 2026) just went dual-primary and into Connect; NIO is next. These are calendar trades with a conversion exit.</w:t>
      </w:r>
    </w:p>
    <w:p>
      <w:pPr>
        <w:tabs>
          <w:tab w:pos="425" w:val="left"/>
        </w:tabs>
        <w:spacing w:after="60"/>
        <w:ind w:left="425" w:hanging="425"/>
      </w:pPr>
      <w:r>
        <w:rPr>
          <w:b/>
        </w:rPr>
        <w:t>6.</w:t>
        <w:tab/>
      </w:r>
      <w:r>
        <w:rPr>
          <w:b/>
        </w:rPr>
        <w:t xml:space="preserve">The machinery you built is a risk engine for a flow business, not a signal. </w:t>
      </w:r>
      <w:r>
        <w:t>Guaranteed close-to-open conversions for clients, priced off the rolling beta, the HTI bridge and the measured residual, earn the band on every ticket. That is what a delta-one desk is for.</w:t>
      </w:r>
    </w:p>
    <w:p>
      <w:pPr>
        <w:tabs>
          <w:tab w:pos="425" w:val="left"/>
        </w:tabs>
        <w:spacing w:after="60"/>
        <w:ind w:left="425" w:hanging="425"/>
      </w:pPr>
      <w:r>
        <w:rPr>
          <w:b/>
        </w:rPr>
        <w:t>7.</w:t>
        <w:tab/>
      </w:r>
      <w:r>
        <w:rPr>
          <w:b/>
        </w:rPr>
        <w:t xml:space="preserve">Two cheap tests before anything systematic: </w:t>
      </w:r>
      <w:r>
        <w:t>index-rebalance close reversal through the ADR (the v32 signal on the days the HK close is distorted by a known flow) and the earnings-day opening-auction fade (the ADR has priced the print for a whole session; the HK pre-opening auction is thin). Both can be measured from the terminal in a day.</w:t>
      </w:r>
    </w:p>
    <w:p>
      <w:pPr>
        <w:tabs>
          <w:tab w:pos="425" w:val="left"/>
        </w:tabs>
        <w:spacing w:after="60"/>
        <w:ind w:left="425" w:hanging="425"/>
      </w:pPr>
      <w:r>
        <w:rPr>
          <w:b/>
        </w:rPr>
        <w:t>8.</w:t>
        <w:tab/>
      </w:r>
      <w:r>
        <w:rPr>
          <w:b/>
        </w:rPr>
        <w:t xml:space="preserve">Outside HK, the same logic ranks Japan first (Nikkei night futures cover the whole US session, no transaction tax, Japannext trades 17:00-06:00 JST), </w:t>
      </w:r>
      <w:r>
        <w:t>Australia as the cleanest fully-fungible pair (BHP, no stamp, SPI night session), Korea and India as one-way-conversion premium markets where the trade is the catalyst that reopens conversion (KT, SK hynix, HDFC Bank), and South-East Asia as too thin to matter.</w:t>
      </w:r>
    </w:p>
    <w:p>
      <w:r>
        <w:br w:type="page"/>
      </w:r>
    </w:p>
    <w:p>
      <w:pPr>
        <w:pStyle w:val="Heading1"/>
      </w:pPr>
      <w:r>
        <w:t>1. What v32_hk_full.py actually does</w:t>
      </w:r>
    </w:p>
    <w:p>
      <w:pPr>
        <w:spacing w:after="80"/>
      </w:pPr>
      <w:r>
        <w:rPr>
          <w:i w:val="0"/>
        </w:rPr>
        <w:t>The file is a single-name backtest (BABA vs 9988 HK, a JD stub) that fades the ADR's premium to a projected fair value at the US close and hedges with Hang Seng TECH futures. 7,956 lines, 57 functions, most of it diagnostics. The table is the whole strategy on one page.</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247"/>
            <w:shd w:val="clear" w:color="auto" w:fill="1F3A5F"/>
          </w:tcPr>
          <w:p>
            <w:r/>
            <w:r>
              <w:rPr>
                <w:b/>
                <w:color w:val="FFFFFF"/>
                <w:sz w:val="17"/>
              </w:rPr>
              <w:t>Block</w:t>
            </w:r>
          </w:p>
        </w:tc>
        <w:tc>
          <w:tcPr>
            <w:tcW w:type="dxa" w:w="4762"/>
            <w:shd w:val="clear" w:color="auto" w:fill="1F3A5F"/>
          </w:tcPr>
          <w:p>
            <w:r/>
            <w:r>
              <w:rPr>
                <w:b/>
                <w:color w:val="FFFFFF"/>
                <w:sz w:val="17"/>
              </w:rPr>
              <w:t>What the code does</w:t>
            </w:r>
          </w:p>
        </w:tc>
        <w:tc>
          <w:tcPr>
            <w:tcW w:type="dxa" w:w="3628"/>
            <w:shd w:val="clear" w:color="auto" w:fill="1F3A5F"/>
          </w:tcPr>
          <w:p>
            <w:r/>
            <w:r>
              <w:rPr>
                <w:b/>
                <w:color w:val="FFFFFF"/>
                <w:sz w:val="17"/>
              </w:rPr>
              <w:t>What is wrong with it</w:t>
            </w:r>
          </w:p>
        </w:tc>
      </w:tr>
      <w:tr>
        <w:tc>
          <w:tcPr>
            <w:tcW w:type="dxa" w:w="1247"/>
          </w:tcPr>
          <w:p>
            <w:r/>
            <w:r>
              <w:rPr>
                <w:b/>
                <w:sz w:val="17"/>
              </w:rPr>
              <w:t>Universe</w:t>
            </w:r>
          </w:p>
        </w:tc>
        <w:tc>
          <w:tcPr>
            <w:tcW w:type="dxa" w:w="4762"/>
          </w:tcPr>
          <w:p>
            <w:r/>
            <w:r>
              <w:rPr>
                <w:sz w:val="17"/>
              </w:rPr>
              <w:t>One name at a time (INSTRUMENT). ADR vs its own HK line; hedge = HTI (HK$50/pt, ~US$35k a contract). us_etf (KTEC/KWEB) and naked modes exist as challengers.</w:t>
            </w:r>
          </w:p>
        </w:tc>
        <w:tc>
          <w:tcPr>
            <w:tcW w:type="dxa" w:w="3628"/>
          </w:tcPr>
          <w:p>
            <w:r/>
            <w:r>
              <w:rPr>
                <w:sz w:val="17"/>
              </w:rPr>
              <w:t>A single name against an index is a stock-vs-index bet for the life of the trade (v33 post-mortem [L1]).</w:t>
            </w:r>
          </w:p>
        </w:tc>
      </w:tr>
      <w:tr>
        <w:tc>
          <w:tcPr>
            <w:tcW w:type="dxa" w:w="1247"/>
            <w:shd w:val="clear" w:color="auto" w:fill="F2F5F9"/>
          </w:tcPr>
          <w:p>
            <w:r/>
            <w:r>
              <w:rPr>
                <w:b/>
                <w:sz w:val="17"/>
              </w:rPr>
              <w:t>Fair value</w:t>
            </w:r>
          </w:p>
        </w:tc>
        <w:tc>
          <w:tcPr>
            <w:tcW w:type="dxa" w:w="4762"/>
            <w:shd w:val="clear" w:color="auto" w:fill="F2F5F9"/>
          </w:tcPr>
          <w:p>
            <w:r/>
            <w:r>
              <w:rPr>
                <w:sz w:val="17"/>
              </w:rPr>
              <w:t>Fair = HK close x (1 + beta x HTI overnight gap) x ADS ratio / USDHKD. beta = EWMA regression of the parity gap on the HTI gap, shrunk 60/40 to a 2-year daily prior, clamped 0.2-1.5, lagged a day. HTI gap = 19:00 UTC print / 08:00 UTC print.</w:t>
            </w:r>
          </w:p>
        </w:tc>
        <w:tc>
          <w:tcPr>
            <w:tcW w:type="dxa" w:w="3628"/>
            <w:shd w:val="clear" w:color="auto" w:fill="F2F5F9"/>
          </w:tcPr>
          <w:p>
            <w:r/>
            <w:r>
              <w:rPr>
                <w:sz w:val="17"/>
              </w:rPr>
              <w:t>The hedge explains ~R2 = 0.5 of the overnight move (BABA beta ~0.7). The 19:00 UTC futures print is 1-2 h older than the ADR close it is compared with ([HK2]).</w:t>
            </w:r>
          </w:p>
        </w:tc>
      </w:tr>
      <w:tr>
        <w:tc>
          <w:tcPr>
            <w:tcW w:type="dxa" w:w="1247"/>
          </w:tcPr>
          <w:p>
            <w:r/>
            <w:r>
              <w:rPr>
                <w:b/>
                <w:sz w:val="17"/>
              </w:rPr>
              <w:t>Signal</w:t>
            </w:r>
          </w:p>
        </w:tc>
        <w:tc>
          <w:tcPr>
            <w:tcW w:type="dxa" w:w="4762"/>
          </w:tcPr>
          <w:p>
            <w:r/>
            <w:r>
              <w:rPr>
                <w:sz w:val="17"/>
              </w:rPr>
              <w:t>Premium in bps = ADR / fair - 1. z-score vs a rolling N-day mean/sd (grid N = 10..50, thresholds 0.5..3.0). Entry needs |z| &gt; threshold AND the deviation to clear a bps floor (cost x 1.5; MIN_ENTRY_DEV_BPS = 0 for BABA).</w:t>
            </w:r>
          </w:p>
        </w:tc>
        <w:tc>
          <w:tcPr>
            <w:tcW w:type="dxa" w:w="3628"/>
          </w:tcPr>
          <w:p>
            <w:r/>
            <w:r>
              <w:rPr>
                <w:sz w:val="17"/>
              </w:rPr>
              <w:t>A rolling mean of a premium that is structurally ~0 turns every regime move into a "signal" and chases it.</w:t>
            </w:r>
          </w:p>
        </w:tc>
      </w:tr>
      <w:tr>
        <w:tc>
          <w:tcPr>
            <w:tcW w:type="dxa" w:w="1247"/>
            <w:shd w:val="clear" w:color="auto" w:fill="F2F5F9"/>
          </w:tcPr>
          <w:p>
            <w:r/>
            <w:r>
              <w:rPr>
                <w:b/>
                <w:sz w:val="17"/>
              </w:rPr>
              <w:t>Regime gate</w:t>
            </w:r>
          </w:p>
        </w:tc>
        <w:tc>
          <w:tcPr>
            <w:tcW w:type="dxa" w:w="4762"/>
            <w:shd w:val="clear" w:color="auto" w:fill="F2F5F9"/>
          </w:tcPr>
          <w:p>
            <w:r/>
            <w:r>
              <w:rPr>
                <w:sz w:val="17"/>
              </w:rPr>
              <w:t>AR(1) gamma &lt; 0, implied half-life &lt;= 15 days, 5-day mean shift &lt;= 0.5 sigma of daily changes; 2-day earnings block; no entry on contract-mismatch rows or into data gaps.</w:t>
            </w:r>
          </w:p>
        </w:tc>
        <w:tc>
          <w:tcPr>
            <w:tcW w:type="dxa" w:w="3628"/>
            <w:shd w:val="clear" w:color="auto" w:fill="F2F5F9"/>
          </w:tcPr>
          <w:p>
            <w:r/>
            <w:r>
              <w:rPr>
                <w:sz w:val="17"/>
              </w:rPr>
              <w:t>The drift test was measured inert (it needed a CUSUM in the TW file); earnings are blocked rather than traded.</w:t>
            </w:r>
          </w:p>
        </w:tc>
      </w:tr>
      <w:tr>
        <w:tc>
          <w:tcPr>
            <w:tcW w:type="dxa" w:w="1247"/>
          </w:tcPr>
          <w:p>
            <w:r/>
            <w:r>
              <w:rPr>
                <w:b/>
                <w:sz w:val="17"/>
              </w:rPr>
              <w:t>Clock</w:t>
            </w:r>
          </w:p>
        </w:tc>
        <w:tc>
          <w:tcPr>
            <w:tcW w:type="dxa" w:w="4762"/>
          </w:tcPr>
          <w:p>
            <w:r/>
            <w:r>
              <w:rPr>
                <w:sz w:val="17"/>
              </w:rPr>
              <w:t>SIGNAL_TIMING = 'us_close': ADR fills MOC 16:00 ET, HTI fills at the NEXT 09:30 HKT open (futures shut 03:00 HKT), so the entry night is unhedged. 'hti_close': both legs at 19:00 UTC (ADR at 3pm ET). HEDGE_TIMING: index for the whole hold / index overnight then the HK stock at the open / naked overnight then the stock.</w:t>
            </w:r>
          </w:p>
        </w:tc>
        <w:tc>
          <w:tcPr>
            <w:tcW w:type="dxa" w:w="3628"/>
          </w:tcPr>
          <w:p>
            <w:r/>
            <w:r>
              <w:rPr>
                <w:sz w:val="17"/>
              </w:rPr>
              <w:t>Both clocks fill the HK leg 12-13 h after the signal. On real desk data only 31-38% of the deviation survives to the HK open and 2-8% to the HK close ([TZ1]/[TZ2] in v33).</w:t>
            </w:r>
          </w:p>
        </w:tc>
      </w:tr>
      <w:tr>
        <w:tc>
          <w:tcPr>
            <w:tcW w:type="dxa" w:w="1247"/>
            <w:shd w:val="clear" w:color="auto" w:fill="F2F5F9"/>
          </w:tcPr>
          <w:p>
            <w:r/>
            <w:r>
              <w:rPr>
                <w:b/>
                <w:sz w:val="17"/>
              </w:rPr>
              <w:t>Sizing</w:t>
            </w:r>
          </w:p>
        </w:tc>
        <w:tc>
          <w:tcPr>
            <w:tcW w:type="dxa" w:w="4762"/>
            <w:shd w:val="clear" w:color="auto" w:fill="F2F5F9"/>
          </w:tcPr>
          <w:p>
            <w:r/>
            <w:r>
              <w:rPr>
                <w:sz w:val="17"/>
              </w:rPr>
              <w:t>US$500k base, z-scaled up to 2x, snapped to whole HTI contracts, capped at 50% of the visible futures book.</w:t>
            </w:r>
          </w:p>
        </w:tc>
        <w:tc>
          <w:tcPr>
            <w:tcW w:type="dxa" w:w="3628"/>
            <w:shd w:val="clear" w:color="auto" w:fill="F2F5F9"/>
          </w:tcPr>
          <w:p>
            <w:r/>
            <w:r>
              <w:rPr>
                <w:sz w:val="17"/>
              </w:rPr>
              <w:t>Fine. Capacity is not the problem.</w:t>
            </w:r>
          </w:p>
        </w:tc>
      </w:tr>
      <w:tr>
        <w:tc>
          <w:tcPr>
            <w:tcW w:type="dxa" w:w="1247"/>
          </w:tcPr>
          <w:p>
            <w:r/>
            <w:r>
              <w:rPr>
                <w:b/>
                <w:sz w:val="17"/>
              </w:rPr>
              <w:t>Exits</w:t>
            </w:r>
          </w:p>
        </w:tc>
        <w:tc>
          <w:tcPr>
            <w:tcW w:type="dxa" w:w="4762"/>
          </w:tcPr>
          <w:p>
            <w:r/>
            <w:r>
              <w:rPr>
                <w:sz w:val="17"/>
              </w:rPr>
              <w:t>z crosses 0; time stop 20 calendar days; gamma exit (expected daily reversion &lt; daily carry); profit target and hard stop exist but are off.</w:t>
            </w:r>
          </w:p>
        </w:tc>
        <w:tc>
          <w:tcPr>
            <w:tcW w:type="dxa" w:w="3628"/>
          </w:tcPr>
          <w:p>
            <w:r/>
            <w:r>
              <w:rPr>
                <w:sz w:val="17"/>
              </w:rPr>
              <w:t>A z-cross exit on a daily clock routinely overshoots (observed exit z of -1.4 on a +1.55 entry).</w:t>
            </w:r>
          </w:p>
        </w:tc>
      </w:tr>
      <w:tr>
        <w:tc>
          <w:tcPr>
            <w:tcW w:type="dxa" w:w="1247"/>
            <w:shd w:val="clear" w:color="auto" w:fill="F2F5F9"/>
          </w:tcPr>
          <w:p>
            <w:r/>
            <w:r>
              <w:rPr>
                <w:b/>
                <w:sz w:val="17"/>
              </w:rPr>
              <w:t>Costs</w:t>
            </w:r>
          </w:p>
        </w:tc>
        <w:tc>
          <w:tcPr>
            <w:tcW w:type="dxa" w:w="4762"/>
            <w:shd w:val="clear" w:color="auto" w:fill="F2F5F9"/>
          </w:tcPr>
          <w:p>
            <w:r/>
            <w:r>
              <w:rPr>
                <w:sz w:val="17"/>
              </w:rPr>
              <w:t>Per-leg fees (ADR 2/2, HTI 1/1 bps), half-spreads from QR screenshots (ADR 1.5, HTI 2.5 bps), 0.5 bps buffers, sqrt impact past the book, USDHKD 1 bp, SOFR+120 funding, 50 bps borrow, 24 bps/yr margin, dividend-carry correction between the HK and ADS ex-dates, stamp 10 bps + levies 1.1 bps on the stock leg.</w:t>
            </w:r>
          </w:p>
        </w:tc>
        <w:tc>
          <w:tcPr>
            <w:tcW w:type="dxa" w:w="3628"/>
            <w:shd w:val="clear" w:color="auto" w:fill="F2F5F9"/>
          </w:tcPr>
          <w:p>
            <w:r/>
            <w:r>
              <w:rPr>
                <w:sz w:val="17"/>
              </w:rPr>
              <w:t>The cost stack is right (see section 5). It is the edge that is missing, not the costs.</w:t>
            </w:r>
          </w:p>
        </w:tc>
      </w:tr>
      <w:tr>
        <w:tc>
          <w:tcPr>
            <w:tcW w:type="dxa" w:w="1247"/>
          </w:tcPr>
          <w:p>
            <w:r/>
            <w:r>
              <w:rPr>
                <w:b/>
                <w:sz w:val="17"/>
              </w:rPr>
              <w:t>Selection</w:t>
            </w:r>
          </w:p>
        </w:tc>
        <w:tc>
          <w:tcPr>
            <w:tcW w:type="dxa" w:w="4762"/>
          </w:tcPr>
          <w:p>
            <w:r/>
            <w:r>
              <w:rPr>
                <w:sz w:val="17"/>
              </w:rPr>
              <w:t>Composite rank of the N x threshold grid (P&amp;L, win rate, Sharpe, trades, Calmar, lower bound); floors: 55% win rate, 6 trades/yr, max DD 20% of deployed, N &gt;= 15.</w:t>
            </w:r>
          </w:p>
        </w:tc>
        <w:tc>
          <w:tcPr>
            <w:tcW w:type="dxa" w:w="3628"/>
          </w:tcPr>
          <w:p>
            <w:r/>
            <w:r>
              <w:rPr>
                <w:sz w:val="17"/>
              </w:rPr>
              <w:t>Picks a cell from ~100 on a few dozen trades. The 3x3 neighbourhood helps but cannot create an edge.</w:t>
            </w:r>
          </w:p>
        </w:tc>
      </w:tr>
      <w:tr>
        <w:tc>
          <w:tcPr>
            <w:tcW w:type="dxa" w:w="1247"/>
            <w:shd w:val="clear" w:color="auto" w:fill="F2F5F9"/>
          </w:tcPr>
          <w:p>
            <w:r/>
            <w:r>
              <w:rPr>
                <w:b/>
                <w:sz w:val="17"/>
              </w:rPr>
              <w:t>Diagnostics</w:t>
            </w:r>
          </w:p>
        </w:tc>
        <w:tc>
          <w:tcPr>
            <w:tcW w:type="dxa" w:w="4762"/>
            <w:shd w:val="clear" w:color="auto" w:fill="F2F5F9"/>
          </w:tcPr>
          <w:p>
            <w:r/>
            <w:r>
              <w:rPr>
                <w:sz w:val="17"/>
              </w:rPr>
              <w:t>[HK-1A] does today's deviation predict the HK next-open move; [HK-H2] entry floor from the idiosyncratic residual; [HK2] staleness of the 19:00 print; [HKT] hedge-timing compare; [HK1] hedge-mode compare; lag/decay tests; data audits; a PASS/WARN/FAIL scorecard.</w:t>
            </w:r>
          </w:p>
        </w:tc>
        <w:tc>
          <w:tcPr>
            <w:tcW w:type="dxa" w:w="3628"/>
            <w:shd w:val="clear" w:color="auto" w:fill="F2F5F9"/>
          </w:tcPr>
          <w:p>
            <w:r/>
            <w:r>
              <w:rPr>
                <w:sz w:val="17"/>
              </w:rPr>
              <w:t>This is the useful part. [HK-1A] is the go/no-go the whole book hangs on.</w:t>
            </w:r>
          </w:p>
        </w:tc>
      </w:tr>
      <w:tr>
        <w:tc>
          <w:tcPr>
            <w:tcW w:type="dxa" w:w="1247"/>
          </w:tcPr>
          <w:p>
            <w:r/>
            <w:r>
              <w:rPr>
                <w:b/>
                <w:sz w:val="17"/>
              </w:rPr>
              <w:t>Not here</w:t>
            </w:r>
          </w:p>
        </w:tc>
        <w:tc>
          <w:tcPr>
            <w:tcW w:type="dxa" w:w="4762"/>
          </w:tcPr>
          <w:p>
            <w:r/>
            <w:r>
              <w:rPr>
                <w:sz w:val="17"/>
              </w:rPr>
              <w:t>The paper desk is deliberately stubbed (Phase 2). The basket engine is v33_hk_basket_full.py.</w:t>
            </w:r>
          </w:p>
        </w:tc>
        <w:tc>
          <w:tcPr>
            <w:tcW w:type="dxa" w:w="3628"/>
          </w:tcPr>
          <w:p>
            <w:r/>
            <w:r>
              <w:rPr>
                <w:sz w:val="17"/>
              </w:rPr>
              <w:t>-</w:t>
            </w:r>
          </w:p>
        </w:tc>
      </w:tr>
    </w:tbl>
    <w:p>
      <w:pPr>
        <w:spacing w:after="40"/>
      </w:pPr>
    </w:p>
    <w:p>
      <w:pPr>
        <w:pStyle w:val="Heading1"/>
      </w:pPr>
      <w:r>
        <w:t>2. Why it is not a logical trade</w:t>
      </w:r>
    </w:p>
    <w:p>
      <w:pPr>
        <w:spacing w:after="80"/>
      </w:pPr>
      <w:r>
        <w:rPr>
          <w:i w:val="0"/>
        </w:rPr>
        <w:t>Read this as a chain. Each step is a fact about the instruments, and the conclusion follows.</w:t>
      </w:r>
    </w:p>
    <w:p>
      <w:pPr>
        <w:tabs>
          <w:tab w:pos="425" w:val="left"/>
        </w:tabs>
        <w:spacing w:after="60"/>
        <w:ind w:left="425" w:hanging="425"/>
      </w:pPr>
      <w:r>
        <w:rPr>
          <w:b/>
        </w:rPr>
        <w:t>1.</w:t>
        <w:tab/>
      </w:r>
      <w:r>
        <w:rPr>
          <w:b/>
        </w:rPr>
        <w:t xml:space="preserve">Same claim, free conversion. </w:t>
      </w:r>
      <w:r>
        <w:t>BABA and 9988 are the same share (1 ADS = 8 ordinaries), dual-primary since 28 Aug 2024, convertible both ways through the depositary for at most a few cents an ADS. Freely fungible pairs do not carry a persistent premium: BABA's five-year average was a 0.1% discount (Bloomberg, Mar 2025) and the average was ~0 between 29 Dec 2025 and 30 Jun 2026 (Endowus). What is left is time-zone noise inside a cost band.</w:t>
      </w:r>
    </w:p>
    <w:p>
      <w:pPr>
        <w:tabs>
          <w:tab w:pos="425" w:val="left"/>
        </w:tabs>
        <w:spacing w:after="60"/>
        <w:ind w:left="425" w:hanging="425"/>
      </w:pPr>
      <w:r>
        <w:rPr>
          <w:b/>
        </w:rPr>
        <w:t>2.</w:t>
        <w:tab/>
      </w:r>
      <w:r>
        <w:rPr>
          <w:b/>
        </w:rPr>
        <w:t xml:space="preserve">The two lines never trade at the same time in regular hours. </w:t>
      </w:r>
      <w:r>
        <w:t>The premium the file computes at the US close compares a live ADR price with a HK close that is 12-13 hours old, projected forward by beta x an index future that itself stopped trading 1-2 hours earlier. Most of the measured "deviation" is therefore (a) the name's own news during the US session and (b) the last hour of index movement nobody can see. Neither is a mispricing.</w:t>
      </w:r>
    </w:p>
    <w:p>
      <w:pPr>
        <w:tabs>
          <w:tab w:pos="425" w:val="left"/>
        </w:tabs>
        <w:spacing w:after="60"/>
        <w:ind w:left="425" w:hanging="425"/>
      </w:pPr>
      <w:r>
        <w:rPr>
          <w:b/>
        </w:rPr>
        <w:t>3.</w:t>
        <w:tab/>
      </w:r>
      <w:r>
        <w:rPr>
          <w:b/>
        </w:rPr>
        <w:t xml:space="preserve">The ADR is price discovery, not a lagging quote. </w:t>
      </w:r>
      <w:r>
        <w:t>When 9988 opens at 09:30 HKT it opens where BABA closed, adjusted for the overnight index move. On the desk's real data only 31-38% of the US-close deviation survived to the HK opening print and 2-8% to the HK close (v33 [TZ1]/[TZ2]; the 99% figure came from the synthetic panel). Two thirds of the signal is gone before the HK leg can be filled, and nearly all of it by the time the session ends.</w:t>
      </w:r>
    </w:p>
    <w:p>
      <w:pPr>
        <w:tabs>
          <w:tab w:pos="425" w:val="left"/>
        </w:tabs>
        <w:spacing w:after="60"/>
        <w:ind w:left="425" w:hanging="425"/>
      </w:pPr>
      <w:r>
        <w:rPr>
          <w:b/>
        </w:rPr>
        <w:t>4.</w:t>
        <w:tab/>
      </w:r>
      <w:r>
        <w:rPr>
          <w:b/>
        </w:rPr>
        <w:t xml:space="preserve">The z-score is the wrong object. </w:t>
      </w:r>
      <w:r>
        <w:t>A 10-50 day rolling mean of a premium that lives near zero turns every regime move into a trade: the Mar 2025 delisting scare (ADR 2.1% cheap, widest since the ~8% of 2022), the Sep 2024 Southbound inclusion, the Aug 2026 HK$80bn placement. The drift gate built to catch this was measured inert. The real v33 run had one averaged z buying JD at +42 bps inside a LONG package while NIO sat at -275 bps.</w:t>
      </w:r>
    </w:p>
    <w:p>
      <w:pPr>
        <w:tabs>
          <w:tab w:pos="425" w:val="left"/>
        </w:tabs>
        <w:spacing w:after="60"/>
        <w:ind w:left="425" w:hanging="425"/>
      </w:pPr>
      <w:r>
        <w:rPr>
          <w:b/>
        </w:rPr>
        <w:t>5.</w:t>
        <w:tab/>
      </w:r>
      <w:r>
        <w:rPr>
          <w:b/>
        </w:rPr>
        <w:t xml:space="preserve">The hedge is an index, R2 about 0.5. </w:t>
      </w:r>
      <w:r>
        <w:t>Holding HTI against one name for up to 20 days is a stock-vs-index position. The v33 post-mortem [L1] traced the legacy 50/50 win rate to exactly that mismatch.</w:t>
      </w:r>
    </w:p>
    <w:p>
      <w:pPr>
        <w:tabs>
          <w:tab w:pos="425" w:val="left"/>
        </w:tabs>
        <w:spacing w:after="60"/>
        <w:ind w:left="425" w:hanging="425"/>
      </w:pPr>
      <w:r>
        <w:rPr>
          <w:b/>
        </w:rPr>
        <w:t>6.</w:t>
        <w:tab/>
      </w:r>
      <w:r>
        <w:rPr>
          <w:b/>
        </w:rPr>
        <w:t xml:space="preserve">Costs are fine; edge is not. </w:t>
      </w:r>
      <w:r>
        <w:t>The modelled round trip is 40-67 bps (fees, spreads, bridge, carry). Against that the deviation sigma is tens of bps and the cost-multiplier breakeven sat at only ~1.4x. Nothing in the cost stack is exaggerated; there is simply not 60 bps of predictable reversion per trade. The academic version of this exact trade (Hong &amp; Susmel: z-score entries, short the ADR at the US close, buy the local line at the next open, 36 HK/China pairs, 2000-2011) netted ~0.4% a position only because effective spreads were 2.7% then; Gagnon &amp; Karolyi's mean parity deviation across 506 cross-listings is 4.9 bps.</w:t>
      </w:r>
    </w:p>
    <w:p>
      <w:pPr>
        <w:tabs>
          <w:tab w:pos="425" w:val="left"/>
        </w:tabs>
        <w:spacing w:after="60"/>
        <w:ind w:left="425" w:hanging="425"/>
      </w:pPr>
      <w:r>
        <w:rPr>
          <w:b/>
        </w:rPr>
        <w:t>7.</w:t>
        <w:tab/>
      </w:r>
      <w:r>
        <w:rPr>
          <w:b/>
        </w:rPr>
        <w:t xml:space="preserve">Timing hazards on top. </w:t>
      </w:r>
      <w:r>
        <w:t>China ADRs report before the US open (19:00-20:00 HKT, HK closed); HK and US holidays do not match (one-legged days, no HTI session on HK holidays); US settles T+1 and HK T+2; HTI shuts at 03:00 HKT, 1-2 h before the ADR close.</w:t>
      </w:r>
    </w:p>
    <w:tbl>
      <w:tblPr>
        <w:tblStyle w:val="TableGrid"/>
        <w:tblW w:type="auto" w:w="0"/>
        <w:tblLook w:firstColumn="1" w:firstRow="1" w:lastColumn="0" w:lastRow="0" w:noHBand="0" w:noVBand="1" w:val="04A0"/>
      </w:tblPr>
      <w:tblGrid>
        <w:gridCol w:w="9972"/>
      </w:tblGrid>
      <w:tr>
        <w:tc>
          <w:tcPr>
            <w:tcW w:type="dxa" w:w="9638"/>
            <w:shd w:val="clear" w:color="auto" w:fill="F7E1E1"/>
          </w:tcPr>
          <w:p>
            <w:r/>
            <w:r>
              <w:rPr>
                <w:b/>
                <w:color w:val="B02A2A"/>
                <w:sz w:val="19"/>
              </w:rPr>
              <w:t xml:space="preserve">CONCLUSION.  </w:t>
            </w:r>
            <w:r>
              <w:rPr>
                <w:sz w:val="19"/>
              </w:rPr>
              <w:t>The machinery is sound (capture jobs, cost model, bridge arithmetic, rolling beta, the [HK-1A] test). The premise is not: there is no mean-reverting premium to fade at the US close in a freely fungible name. Reuse the machinery on trades where the gap is created by a known flow or a known timing constraint (sections 6-7).</w:t>
            </w:r>
          </w:p>
        </w:tc>
      </w:tr>
    </w:tbl>
    <w:p>
      <w:pPr>
        <w:spacing w:after="40"/>
      </w:pPr>
    </w:p>
    <w:p>
      <w:r>
        <w:br w:type="page"/>
      </w:r>
    </w:p>
    <w:p>
      <w:pPr>
        <w:pStyle w:val="Heading1"/>
      </w:pPr>
      <w:r>
        <w:t>3. The clock: where the two lines actually overlap</w:t>
      </w:r>
    </w:p>
    <w:p>
      <w:pPr>
        <w:spacing w:after="80"/>
      </w:pPr>
      <w:r>
        <w:rPr>
          <w:i w:val="0"/>
        </w:rPr>
        <w:t>HK has no daylight saving. US summer time (EDT, UTC-4) runs until 1 Nov 2026; winter (EST, UTC-5) after that. HKT = ET + 12 h in summer, + 13 h in winter. Every strategy below lives or dies on this table.</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2608"/>
            <w:shd w:val="clear" w:color="auto" w:fill="1F3A5F"/>
          </w:tcPr>
          <w:p>
            <w:r/>
            <w:r>
              <w:rPr>
                <w:b/>
                <w:color w:val="FFFFFF"/>
                <w:sz w:val="15"/>
              </w:rPr>
              <w:t>Event</w:t>
            </w:r>
          </w:p>
        </w:tc>
        <w:tc>
          <w:tcPr>
            <w:tcW w:type="dxa" w:w="1191"/>
            <w:shd w:val="clear" w:color="auto" w:fill="1F3A5F"/>
          </w:tcPr>
          <w:p>
            <w:r/>
            <w:r>
              <w:rPr>
                <w:b/>
                <w:color w:val="FFFFFF"/>
                <w:sz w:val="15"/>
              </w:rPr>
              <w:t>HKT</w:t>
            </w:r>
          </w:p>
        </w:tc>
        <w:tc>
          <w:tcPr>
            <w:tcW w:type="dxa" w:w="1134"/>
            <w:shd w:val="clear" w:color="auto" w:fill="1F3A5F"/>
          </w:tcPr>
          <w:p>
            <w:r/>
            <w:r>
              <w:rPr>
                <w:b/>
                <w:color w:val="FFFFFF"/>
                <w:sz w:val="15"/>
              </w:rPr>
              <w:t>UTC</w:t>
            </w:r>
          </w:p>
        </w:tc>
        <w:tc>
          <w:tcPr>
            <w:tcW w:type="dxa" w:w="1134"/>
            <w:shd w:val="clear" w:color="auto" w:fill="1F3A5F"/>
          </w:tcPr>
          <w:p>
            <w:r/>
            <w:r>
              <w:rPr>
                <w:b/>
                <w:color w:val="FFFFFF"/>
                <w:sz w:val="15"/>
              </w:rPr>
              <w:t>ET summer</w:t>
            </w:r>
          </w:p>
        </w:tc>
        <w:tc>
          <w:tcPr>
            <w:tcW w:type="dxa" w:w="1134"/>
            <w:shd w:val="clear" w:color="auto" w:fill="1F3A5F"/>
          </w:tcPr>
          <w:p>
            <w:r/>
            <w:r>
              <w:rPr>
                <w:b/>
                <w:color w:val="FFFFFF"/>
                <w:sz w:val="15"/>
              </w:rPr>
              <w:t>ET winter</w:t>
            </w:r>
          </w:p>
        </w:tc>
        <w:tc>
          <w:tcPr>
            <w:tcW w:type="dxa" w:w="2438"/>
            <w:shd w:val="clear" w:color="auto" w:fill="1F3A5F"/>
          </w:tcPr>
          <w:p>
            <w:r/>
            <w:r>
              <w:rPr>
                <w:b/>
                <w:color w:val="FFFFFF"/>
                <w:sz w:val="15"/>
              </w:rPr>
              <w:t>What is open on the other side</w:t>
            </w:r>
          </w:p>
        </w:tc>
      </w:tr>
      <w:tr>
        <w:tc>
          <w:tcPr>
            <w:tcW w:type="dxa" w:w="2608"/>
          </w:tcPr>
          <w:p>
            <w:r/>
            <w:r>
              <w:rPr>
                <w:b/>
                <w:sz w:val="15"/>
              </w:rPr>
              <w:t>HK pre-opening auction (input 09:00-09:15, no-cancel 09:15-09:20, random match 09:20-09:22; +/-15% band)</w:t>
            </w:r>
          </w:p>
        </w:tc>
        <w:tc>
          <w:tcPr>
            <w:tcW w:type="dxa" w:w="1191"/>
          </w:tcPr>
          <w:p>
            <w:r/>
            <w:r>
              <w:rPr>
                <w:sz w:val="15"/>
              </w:rPr>
              <w:t>09:00-09:30</w:t>
            </w:r>
          </w:p>
        </w:tc>
        <w:tc>
          <w:tcPr>
            <w:tcW w:type="dxa" w:w="1134"/>
          </w:tcPr>
          <w:p>
            <w:r/>
            <w:r>
              <w:rPr>
                <w:sz w:val="15"/>
              </w:rPr>
              <w:t>01:00-01:30</w:t>
            </w:r>
          </w:p>
        </w:tc>
        <w:tc>
          <w:tcPr>
            <w:tcW w:type="dxa" w:w="1134"/>
          </w:tcPr>
          <w:p>
            <w:r/>
            <w:r>
              <w:rPr>
                <w:sz w:val="15"/>
              </w:rPr>
              <w:t>21:00-21:30 (prev day)</w:t>
            </w:r>
          </w:p>
        </w:tc>
        <w:tc>
          <w:tcPr>
            <w:tcW w:type="dxa" w:w="1134"/>
          </w:tcPr>
          <w:p>
            <w:r/>
            <w:r>
              <w:rPr>
                <w:sz w:val="15"/>
              </w:rPr>
              <w:t>20:00-20:30 (prev day)</w:t>
            </w:r>
          </w:p>
        </w:tc>
        <w:tc>
          <w:tcPr>
            <w:tcW w:type="dxa" w:w="2438"/>
          </w:tcPr>
          <w:p>
            <w:r/>
            <w:r>
              <w:rPr>
                <w:sz w:val="15"/>
              </w:rPr>
              <w:t>US overnight venues only (Blue Ocean 20:00-04:00 ET today; Nasdaq/NYSE Arca 21:00-04:00 ET from 6 Dec 2026)</w:t>
            </w:r>
          </w:p>
        </w:tc>
      </w:tr>
      <w:tr>
        <w:tc>
          <w:tcPr>
            <w:tcW w:type="dxa" w:w="2608"/>
            <w:shd w:val="clear" w:color="auto" w:fill="F2F5F9"/>
          </w:tcPr>
          <w:p>
            <w:r/>
            <w:r>
              <w:rPr>
                <w:b/>
                <w:sz w:val="15"/>
              </w:rPr>
              <w:t>HK continuous session</w:t>
            </w:r>
          </w:p>
        </w:tc>
        <w:tc>
          <w:tcPr>
            <w:tcW w:type="dxa" w:w="1191"/>
            <w:shd w:val="clear" w:color="auto" w:fill="F2F5F9"/>
          </w:tcPr>
          <w:p>
            <w:r/>
            <w:r>
              <w:rPr>
                <w:sz w:val="15"/>
              </w:rPr>
              <w:t>09:30-12:00, 13:00-16:00</w:t>
            </w:r>
          </w:p>
        </w:tc>
        <w:tc>
          <w:tcPr>
            <w:tcW w:type="dxa" w:w="1134"/>
            <w:shd w:val="clear" w:color="auto" w:fill="F2F5F9"/>
          </w:tcPr>
          <w:p>
            <w:r/>
            <w:r>
              <w:rPr>
                <w:sz w:val="15"/>
              </w:rPr>
              <w:t>01:30-04:00, 05:00-08:00</w:t>
            </w:r>
          </w:p>
        </w:tc>
        <w:tc>
          <w:tcPr>
            <w:tcW w:type="dxa" w:w="1134"/>
            <w:shd w:val="clear" w:color="auto" w:fill="F2F5F9"/>
          </w:tcPr>
          <w:p>
            <w:r/>
            <w:r>
              <w:rPr>
                <w:sz w:val="15"/>
              </w:rPr>
              <w:t>21:30-00:00, 01:00-04:00</w:t>
            </w:r>
          </w:p>
        </w:tc>
        <w:tc>
          <w:tcPr>
            <w:tcW w:type="dxa" w:w="1134"/>
            <w:shd w:val="clear" w:color="auto" w:fill="F2F5F9"/>
          </w:tcPr>
          <w:p>
            <w:r/>
            <w:r>
              <w:rPr>
                <w:sz w:val="15"/>
              </w:rPr>
              <w:t>20:30-23:00, 00:00-03:00</w:t>
            </w:r>
          </w:p>
        </w:tc>
        <w:tc>
          <w:tcPr>
            <w:tcW w:type="dxa" w:w="2438"/>
            <w:shd w:val="clear" w:color="auto" w:fill="F2F5F9"/>
          </w:tcPr>
          <w:p>
            <w:r/>
            <w:r>
              <w:rPr>
                <w:sz w:val="15"/>
              </w:rPr>
              <w:t>US overnight venues for the whole session; nothing else</w:t>
            </w:r>
          </w:p>
        </w:tc>
      </w:tr>
      <w:tr>
        <w:tc>
          <w:tcPr>
            <w:tcW w:type="dxa" w:w="2608"/>
          </w:tcPr>
          <w:p>
            <w:r/>
            <w:r>
              <w:rPr>
                <w:b/>
                <w:sz w:val="15"/>
              </w:rPr>
              <w:t>HK closing auction (CAS: reference 16:00-16:01, input 16:01-16:06, no-cancel 16:06-16:08, random close 16:08-16:10; +/-5% of reference)</w:t>
            </w:r>
          </w:p>
        </w:tc>
        <w:tc>
          <w:tcPr>
            <w:tcW w:type="dxa" w:w="1191"/>
          </w:tcPr>
          <w:p>
            <w:r/>
            <w:r>
              <w:rPr>
                <w:sz w:val="15"/>
              </w:rPr>
              <w:t>16:00-16:10</w:t>
            </w:r>
          </w:p>
        </w:tc>
        <w:tc>
          <w:tcPr>
            <w:tcW w:type="dxa" w:w="1134"/>
          </w:tcPr>
          <w:p>
            <w:r/>
            <w:r>
              <w:rPr>
                <w:sz w:val="15"/>
              </w:rPr>
              <w:t>08:00-08:10</w:t>
            </w:r>
          </w:p>
        </w:tc>
        <w:tc>
          <w:tcPr>
            <w:tcW w:type="dxa" w:w="1134"/>
          </w:tcPr>
          <w:p>
            <w:r/>
            <w:r>
              <w:rPr>
                <w:sz w:val="15"/>
              </w:rPr>
              <w:t>04:00-04:10</w:t>
            </w:r>
          </w:p>
        </w:tc>
        <w:tc>
          <w:tcPr>
            <w:tcW w:type="dxa" w:w="1134"/>
          </w:tcPr>
          <w:p>
            <w:r/>
            <w:r>
              <w:rPr>
                <w:sz w:val="15"/>
              </w:rPr>
              <w:t>03:00-03:10</w:t>
            </w:r>
          </w:p>
        </w:tc>
        <w:tc>
          <w:tcPr>
            <w:tcW w:type="dxa" w:w="2438"/>
          </w:tcPr>
          <w:p>
            <w:r/>
            <w:r>
              <w:rPr>
                <w:sz w:val="15"/>
              </w:rPr>
              <w:t>Summer: US exchange pre-market opens 04:00 ET exactly as the CAS starts. Winter: overnight venues only.</w:t>
            </w:r>
          </w:p>
        </w:tc>
      </w:tr>
      <w:tr>
        <w:tc>
          <w:tcPr>
            <w:tcW w:type="dxa" w:w="2608"/>
            <w:shd w:val="clear" w:color="auto" w:fill="F2F5F9"/>
          </w:tcPr>
          <w:p>
            <w:r/>
            <w:r>
              <w:rPr>
                <w:b/>
                <w:sz w:val="15"/>
              </w:rPr>
              <w:t>HKEX index futures day session (HSI/HHI/HTI)</w:t>
            </w:r>
          </w:p>
        </w:tc>
        <w:tc>
          <w:tcPr>
            <w:tcW w:type="dxa" w:w="1191"/>
            <w:shd w:val="clear" w:color="auto" w:fill="F2F5F9"/>
          </w:tcPr>
          <w:p>
            <w:r/>
            <w:r>
              <w:rPr>
                <w:sz w:val="15"/>
              </w:rPr>
              <w:t>09:15-12:00, 13:00-16:30</w:t>
            </w:r>
          </w:p>
        </w:tc>
        <w:tc>
          <w:tcPr>
            <w:tcW w:type="dxa" w:w="1134"/>
            <w:shd w:val="clear" w:color="auto" w:fill="F2F5F9"/>
          </w:tcPr>
          <w:p>
            <w:r/>
            <w:r>
              <w:rPr>
                <w:sz w:val="15"/>
              </w:rPr>
              <w:t>01:15-08:30</w:t>
            </w:r>
          </w:p>
        </w:tc>
        <w:tc>
          <w:tcPr>
            <w:tcW w:type="dxa" w:w="1134"/>
            <w:shd w:val="clear" w:color="auto" w:fill="F2F5F9"/>
          </w:tcPr>
          <w:p>
            <w:r/>
            <w:r>
              <w:rPr>
                <w:sz w:val="15"/>
              </w:rPr>
              <w:t>21:15-04:30</w:t>
            </w:r>
          </w:p>
        </w:tc>
        <w:tc>
          <w:tcPr>
            <w:tcW w:type="dxa" w:w="1134"/>
            <w:shd w:val="clear" w:color="auto" w:fill="F2F5F9"/>
          </w:tcPr>
          <w:p>
            <w:r/>
            <w:r>
              <w:rPr>
                <w:sz w:val="15"/>
              </w:rPr>
              <w:t>20:15-03:30</w:t>
            </w:r>
          </w:p>
        </w:tc>
        <w:tc>
          <w:tcPr>
            <w:tcW w:type="dxa" w:w="2438"/>
            <w:shd w:val="clear" w:color="auto" w:fill="F2F5F9"/>
          </w:tcPr>
          <w:p>
            <w:r/>
            <w:r>
              <w:rPr>
                <w:sz w:val="15"/>
              </w:rPr>
              <w:t>US overnight / early pre-market</w:t>
            </w:r>
          </w:p>
        </w:tc>
      </w:tr>
      <w:tr>
        <w:tc>
          <w:tcPr>
            <w:tcW w:type="dxa" w:w="2608"/>
          </w:tcPr>
          <w:p>
            <w:r/>
            <w:r>
              <w:rPr>
                <w:b/>
                <w:sz w:val="15"/>
              </w:rPr>
              <w:t>HKEX index futures after-hours (T+1) session (17:00 start since 20 Jul 2026; was 17:15)</w:t>
            </w:r>
          </w:p>
        </w:tc>
        <w:tc>
          <w:tcPr>
            <w:tcW w:type="dxa" w:w="1191"/>
          </w:tcPr>
          <w:p>
            <w:r/>
            <w:r>
              <w:rPr>
                <w:sz w:val="15"/>
              </w:rPr>
              <w:t>17:00-03:00</w:t>
            </w:r>
          </w:p>
        </w:tc>
        <w:tc>
          <w:tcPr>
            <w:tcW w:type="dxa" w:w="1134"/>
          </w:tcPr>
          <w:p>
            <w:r/>
            <w:r>
              <w:rPr>
                <w:sz w:val="15"/>
              </w:rPr>
              <w:t>09:00-19:00</w:t>
            </w:r>
          </w:p>
        </w:tc>
        <w:tc>
          <w:tcPr>
            <w:tcW w:type="dxa" w:w="1134"/>
          </w:tcPr>
          <w:p>
            <w:r/>
            <w:r>
              <w:rPr>
                <w:sz w:val="15"/>
              </w:rPr>
              <w:t>05:00-15:00</w:t>
            </w:r>
          </w:p>
        </w:tc>
        <w:tc>
          <w:tcPr>
            <w:tcW w:type="dxa" w:w="1134"/>
          </w:tcPr>
          <w:p>
            <w:r/>
            <w:r>
              <w:rPr>
                <w:sz w:val="15"/>
              </w:rPr>
              <w:t>04:00-14:00</w:t>
            </w:r>
          </w:p>
        </w:tc>
        <w:tc>
          <w:tcPr>
            <w:tcW w:type="dxa" w:w="2438"/>
          </w:tcPr>
          <w:p>
            <w:r/>
            <w:r>
              <w:rPr>
                <w:sz w:val="15"/>
              </w:rPr>
              <w:t>US pre-market and the core session up to 15:00 ET summer / 14:00 ET winter. The LAST 1-2 h of the US session has no HK futures.</w:t>
            </w:r>
          </w:p>
        </w:tc>
      </w:tr>
      <w:tr>
        <w:tc>
          <w:tcPr>
            <w:tcW w:type="dxa" w:w="2608"/>
            <w:shd w:val="clear" w:color="auto" w:fill="F2F5F9"/>
          </w:tcPr>
          <w:p>
            <w:r/>
            <w:r>
              <w:rPr>
                <w:b/>
                <w:sz w:val="15"/>
              </w:rPr>
              <w:t>HKEX single-stock futures (ALB, TCH, MET, JDC, BIU, NTE, MIU, BYD)</w:t>
            </w:r>
          </w:p>
        </w:tc>
        <w:tc>
          <w:tcPr>
            <w:tcW w:type="dxa" w:w="1191"/>
            <w:shd w:val="clear" w:color="auto" w:fill="F2F5F9"/>
          </w:tcPr>
          <w:p>
            <w:r/>
            <w:r>
              <w:rPr>
                <w:sz w:val="15"/>
              </w:rPr>
              <w:t>09:30-12:00, 13:00-16:00</w:t>
            </w:r>
          </w:p>
        </w:tc>
        <w:tc>
          <w:tcPr>
            <w:tcW w:type="dxa" w:w="1134"/>
            <w:shd w:val="clear" w:color="auto" w:fill="F2F5F9"/>
          </w:tcPr>
          <w:p>
            <w:r/>
            <w:r>
              <w:rPr>
                <w:sz w:val="15"/>
              </w:rPr>
              <w:t>01:30-08:00</w:t>
            </w:r>
          </w:p>
        </w:tc>
        <w:tc>
          <w:tcPr>
            <w:tcW w:type="dxa" w:w="1134"/>
            <w:shd w:val="clear" w:color="auto" w:fill="F2F5F9"/>
          </w:tcPr>
          <w:p>
            <w:r/>
            <w:r>
              <w:rPr>
                <w:sz w:val="15"/>
              </w:rPr>
              <w:t>21:30-04:00</w:t>
            </w:r>
          </w:p>
        </w:tc>
        <w:tc>
          <w:tcPr>
            <w:tcW w:type="dxa" w:w="1134"/>
            <w:shd w:val="clear" w:color="auto" w:fill="F2F5F9"/>
          </w:tcPr>
          <w:p>
            <w:r/>
            <w:r>
              <w:rPr>
                <w:sz w:val="15"/>
              </w:rPr>
              <w:t>20:30-03:00</w:t>
            </w:r>
          </w:p>
        </w:tc>
        <w:tc>
          <w:tcPr>
            <w:tcW w:type="dxa" w:w="2438"/>
            <w:shd w:val="clear" w:color="auto" w:fill="F2F5F9"/>
          </w:tcPr>
          <w:p>
            <w:r/>
            <w:r>
              <w:rPr>
                <w:sz w:val="15"/>
              </w:rPr>
              <w:t>No after-hours session at all. Cash-settled, board-lot size, no market-maker obligation on every contract.</w:t>
            </w:r>
          </w:p>
        </w:tc>
      </w:tr>
      <w:tr>
        <w:tc>
          <w:tcPr>
            <w:tcW w:type="dxa" w:w="2608"/>
          </w:tcPr>
          <w:p>
            <w:r/>
            <w:r>
              <w:rPr>
                <w:b/>
                <w:sz w:val="15"/>
              </w:rPr>
              <w:t>US exchange pre-market</w:t>
            </w:r>
          </w:p>
        </w:tc>
        <w:tc>
          <w:tcPr>
            <w:tcW w:type="dxa" w:w="1191"/>
          </w:tcPr>
          <w:p>
            <w:r/>
            <w:r>
              <w:rPr>
                <w:sz w:val="15"/>
              </w:rPr>
              <w:t>16:00-21:30 (summer) / 17:00-22:30 (winter)</w:t>
            </w:r>
          </w:p>
        </w:tc>
        <w:tc>
          <w:tcPr>
            <w:tcW w:type="dxa" w:w="1134"/>
          </w:tcPr>
          <w:p>
            <w:r/>
            <w:r>
              <w:rPr>
                <w:sz w:val="15"/>
              </w:rPr>
              <w:t>08:00-13:30 / 09:00-14:30</w:t>
            </w:r>
          </w:p>
        </w:tc>
        <w:tc>
          <w:tcPr>
            <w:tcW w:type="dxa" w:w="1134"/>
          </w:tcPr>
          <w:p>
            <w:r/>
            <w:r>
              <w:rPr>
                <w:sz w:val="15"/>
              </w:rPr>
              <w:t>04:00-09:30</w:t>
            </w:r>
          </w:p>
        </w:tc>
        <w:tc>
          <w:tcPr>
            <w:tcW w:type="dxa" w:w="1134"/>
          </w:tcPr>
          <w:p>
            <w:r/>
            <w:r>
              <w:rPr>
                <w:sz w:val="15"/>
              </w:rPr>
              <w:t>04:00-09:30</w:t>
            </w:r>
          </w:p>
        </w:tc>
        <w:tc>
          <w:tcPr>
            <w:tcW w:type="dxa" w:w="2438"/>
          </w:tcPr>
          <w:p>
            <w:r/>
            <w:r>
              <w:rPr>
                <w:sz w:val="15"/>
              </w:rPr>
              <w:t>HTI after-hours session is open. HK cash is closed (except the CAS overlap in summer).</w:t>
            </w:r>
          </w:p>
        </w:tc>
      </w:tr>
      <w:tr>
        <w:tc>
          <w:tcPr>
            <w:tcW w:type="dxa" w:w="2608"/>
            <w:shd w:val="clear" w:color="auto" w:fill="F2F5F9"/>
          </w:tcPr>
          <w:p>
            <w:r/>
            <w:r>
              <w:rPr>
                <w:b/>
                <w:sz w:val="15"/>
              </w:rPr>
              <w:t>US core session (ADR MOC at 16:00 ET)</w:t>
            </w:r>
          </w:p>
        </w:tc>
        <w:tc>
          <w:tcPr>
            <w:tcW w:type="dxa" w:w="1191"/>
            <w:shd w:val="clear" w:color="auto" w:fill="F2F5F9"/>
          </w:tcPr>
          <w:p>
            <w:r/>
            <w:r>
              <w:rPr>
                <w:sz w:val="15"/>
              </w:rPr>
              <w:t>21:30-04:00 / 22:30-05:00</w:t>
            </w:r>
          </w:p>
        </w:tc>
        <w:tc>
          <w:tcPr>
            <w:tcW w:type="dxa" w:w="1134"/>
            <w:shd w:val="clear" w:color="auto" w:fill="F2F5F9"/>
          </w:tcPr>
          <w:p>
            <w:r/>
            <w:r>
              <w:rPr>
                <w:sz w:val="15"/>
              </w:rPr>
              <w:t>13:30-20:00 / 14:30-21:00</w:t>
            </w:r>
          </w:p>
        </w:tc>
        <w:tc>
          <w:tcPr>
            <w:tcW w:type="dxa" w:w="1134"/>
            <w:shd w:val="clear" w:color="auto" w:fill="F2F5F9"/>
          </w:tcPr>
          <w:p>
            <w:r/>
            <w:r>
              <w:rPr>
                <w:sz w:val="15"/>
              </w:rPr>
              <w:t>09:30-16:00</w:t>
            </w:r>
          </w:p>
        </w:tc>
        <w:tc>
          <w:tcPr>
            <w:tcW w:type="dxa" w:w="1134"/>
            <w:shd w:val="clear" w:color="auto" w:fill="F2F5F9"/>
          </w:tcPr>
          <w:p>
            <w:r/>
            <w:r>
              <w:rPr>
                <w:sz w:val="15"/>
              </w:rPr>
              <w:t>09:30-16:00</w:t>
            </w:r>
          </w:p>
        </w:tc>
        <w:tc>
          <w:tcPr>
            <w:tcW w:type="dxa" w:w="2438"/>
            <w:shd w:val="clear" w:color="auto" w:fill="F2F5F9"/>
          </w:tcPr>
          <w:p>
            <w:r/>
            <w:r>
              <w:rPr>
                <w:sz w:val="15"/>
              </w:rPr>
              <w:t>HTI after-hours until 03:00 HKT; then nothing until the HK futures pre-open at 08:45 HKT.</w:t>
            </w:r>
          </w:p>
        </w:tc>
      </w:tr>
      <w:tr>
        <w:tc>
          <w:tcPr>
            <w:tcW w:type="dxa" w:w="2608"/>
          </w:tcPr>
          <w:p>
            <w:r/>
            <w:r>
              <w:rPr>
                <w:b/>
                <w:sz w:val="15"/>
              </w:rPr>
              <w:t>US post-market</w:t>
            </w:r>
          </w:p>
        </w:tc>
        <w:tc>
          <w:tcPr>
            <w:tcW w:type="dxa" w:w="1191"/>
          </w:tcPr>
          <w:p>
            <w:r/>
            <w:r>
              <w:rPr>
                <w:sz w:val="15"/>
              </w:rPr>
              <w:t>04:00-08:00 / 05:00-09:00</w:t>
            </w:r>
          </w:p>
        </w:tc>
        <w:tc>
          <w:tcPr>
            <w:tcW w:type="dxa" w:w="1134"/>
          </w:tcPr>
          <w:p>
            <w:r/>
            <w:r>
              <w:rPr>
                <w:sz w:val="15"/>
              </w:rPr>
              <w:t>20:00-00:00 / 21:00-01:00</w:t>
            </w:r>
          </w:p>
        </w:tc>
        <w:tc>
          <w:tcPr>
            <w:tcW w:type="dxa" w:w="1134"/>
          </w:tcPr>
          <w:p>
            <w:r/>
            <w:r>
              <w:rPr>
                <w:sz w:val="15"/>
              </w:rPr>
              <w:t>16:00-20:00</w:t>
            </w:r>
          </w:p>
        </w:tc>
        <w:tc>
          <w:tcPr>
            <w:tcW w:type="dxa" w:w="1134"/>
          </w:tcPr>
          <w:p>
            <w:r/>
            <w:r>
              <w:rPr>
                <w:sz w:val="15"/>
              </w:rPr>
              <w:t>16:00-20:00</w:t>
            </w:r>
          </w:p>
        </w:tc>
        <w:tc>
          <w:tcPr>
            <w:tcW w:type="dxa" w:w="2438"/>
          </w:tcPr>
          <w:p>
            <w:r/>
            <w:r>
              <w:rPr>
                <w:sz w:val="15"/>
              </w:rPr>
              <w:t>Nothing in HK.</w:t>
            </w:r>
          </w:p>
        </w:tc>
      </w:tr>
      <w:tr>
        <w:tc>
          <w:tcPr>
            <w:tcW w:type="dxa" w:w="2608"/>
            <w:shd w:val="clear" w:color="auto" w:fill="F2F5F9"/>
          </w:tcPr>
          <w:p>
            <w:r/>
            <w:r>
              <w:rPr>
                <w:b/>
                <w:sz w:val="15"/>
              </w:rPr>
              <w:t>US overnight venues: Blue Ocean ATS and MOON ATS 20:00-04:00 ET (Sun-Thu); OTC Overnight 20:00-07:45 ET; Nasdaq and NYSE Arca 21:00-04:00 ET from 6 Dec 2026</w:t>
            </w:r>
          </w:p>
        </w:tc>
        <w:tc>
          <w:tcPr>
            <w:tcW w:type="dxa" w:w="1191"/>
            <w:shd w:val="clear" w:color="auto" w:fill="F2F5F9"/>
          </w:tcPr>
          <w:p>
            <w:r/>
            <w:r>
              <w:rPr>
                <w:sz w:val="15"/>
              </w:rPr>
              <w:t>08:00-16:00 (summer) / 09:00-17:00 (winter)</w:t>
            </w:r>
          </w:p>
        </w:tc>
        <w:tc>
          <w:tcPr>
            <w:tcW w:type="dxa" w:w="1134"/>
            <w:shd w:val="clear" w:color="auto" w:fill="F2F5F9"/>
          </w:tcPr>
          <w:p>
            <w:r/>
            <w:r>
              <w:rPr>
                <w:sz w:val="15"/>
              </w:rPr>
              <w:t>00:00-08:00 / 01:00-09:00</w:t>
            </w:r>
          </w:p>
        </w:tc>
        <w:tc>
          <w:tcPr>
            <w:tcW w:type="dxa" w:w="1134"/>
            <w:shd w:val="clear" w:color="auto" w:fill="F2F5F9"/>
          </w:tcPr>
          <w:p>
            <w:r/>
            <w:r>
              <w:rPr>
                <w:sz w:val="15"/>
              </w:rPr>
              <w:t>20:00-04:00</w:t>
            </w:r>
          </w:p>
        </w:tc>
        <w:tc>
          <w:tcPr>
            <w:tcW w:type="dxa" w:w="1134"/>
            <w:shd w:val="clear" w:color="auto" w:fill="F2F5F9"/>
          </w:tcPr>
          <w:p>
            <w:r/>
            <w:r>
              <w:rPr>
                <w:sz w:val="15"/>
              </w:rPr>
              <w:t>20:00-04:00</w:t>
            </w:r>
          </w:p>
        </w:tc>
        <w:tc>
          <w:tcPr>
            <w:tcW w:type="dxa" w:w="2438"/>
            <w:shd w:val="clear" w:color="auto" w:fill="F2F5F9"/>
          </w:tcPr>
          <w:p>
            <w:r/>
            <w:r>
              <w:rPr>
                <w:sz w:val="15"/>
              </w:rPr>
              <w:t>Covers the ENTIRE HK cash session. Trades are flagged T (not last-sale), 20% static price bands, no auction, US broker-dealer members only.</w:t>
            </w:r>
          </w:p>
        </w:tc>
      </w:tr>
    </w:tbl>
    <w:p>
      <w:pPr>
        <w:spacing w:after="40"/>
      </w:pPr>
    </w:p>
    <w:p>
      <w:pPr>
        <w:spacing w:after="80"/>
      </w:pPr>
      <w:r>
        <w:rPr>
          <w:i w:val="0"/>
        </w:rPr>
        <w:t>Three things follow.</w:t>
      </w:r>
    </w:p>
    <w:p>
      <w:pPr>
        <w:tabs>
          <w:tab w:pos="425" w:val="left"/>
        </w:tabs>
        <w:spacing w:after="60"/>
        <w:ind w:left="425" w:hanging="425"/>
      </w:pPr>
      <w:r>
        <w:rPr>
          <w:b/>
        </w:rPr>
        <w:t>1.</w:t>
        <w:tab/>
      </w:r>
      <w:r>
        <w:rPr>
          <w:b/>
        </w:rPr>
        <w:t xml:space="preserve">The only same-time overlap of the ADR and the HK share is the US overnight session. </w:t>
      </w:r>
      <w:r>
        <w:t>Today that is Blue Ocean / MOON (ATSs, US$3.5bn a day across all symbols, concentrated in TSLA, NVDA and leveraged ETFs, ~75-80% of flow from Asia-Pacific). From 6 Dec 2026 it is Nasdaq and NYSE Arca themselves, 21:00-04:00 ET. That is the venue for a true parity arbitrage.</w:t>
      </w:r>
    </w:p>
    <w:p>
      <w:pPr>
        <w:tabs>
          <w:tab w:pos="425" w:val="left"/>
        </w:tabs>
        <w:spacing w:after="60"/>
        <w:ind w:left="425" w:hanging="425"/>
      </w:pPr>
      <w:r>
        <w:rPr>
          <w:b/>
        </w:rPr>
        <w:t>2.</w:t>
        <w:tab/>
      </w:r>
      <w:r>
        <w:rPr>
          <w:b/>
        </w:rPr>
        <w:t xml:space="preserve">The HK futures hedge is missing for the last 60 minutes (summer) or 120 minutes (winter) of the US session </w:t>
      </w:r>
      <w:r>
        <w:t>and for the whole US post-market. Any "signal at the US close" is measured against a stale hedge print. Signal at 19:00 UTC (hti_close) is the only honest version, and the file already has it.</w:t>
      </w:r>
    </w:p>
    <w:p>
      <w:pPr>
        <w:tabs>
          <w:tab w:pos="425" w:val="left"/>
        </w:tabs>
        <w:spacing w:after="60"/>
        <w:ind w:left="425" w:hanging="425"/>
      </w:pPr>
      <w:r>
        <w:rPr>
          <w:b/>
        </w:rPr>
        <w:t>3.</w:t>
        <w:tab/>
      </w:r>
      <w:r>
        <w:rPr>
          <w:b/>
        </w:rPr>
        <w:t xml:space="preserve">US pre-market is not a HK overlap. </w:t>
      </w:r>
      <w:r>
        <w:t>HK closes at 16:00/16:10 HKT = 04:00/03:00 ET. In summer the closing auction and the first 10 minutes of US pre-market coincide; in winter they do not touch. And pre-market volume before 07:00 ET is only 28% of pre-market volume, which itself is ~6% of the day (Cboe, 2025; NYSE research, Feb 2025).</w:t>
      </w:r>
    </w:p>
    <w:p>
      <w:pPr>
        <w:pStyle w:val="Heading1"/>
      </w:pPr>
      <w:r>
        <w:t>4. Liquidity: who actually trades where</w:t>
      </w:r>
    </w:p>
    <w:p>
      <w:pPr>
        <w:spacing w:after="80"/>
      </w:pPr>
      <w:r>
        <w:rPr>
          <w:i w:val="0"/>
        </w:rPr>
        <w:t>Regular-hours dollar ADV, 29 Jun-25 Sep 2026 (Yahoo daily bars, mean of close x volume, USDHKD 7.84). Treat as +/-15%: Yahoo does not say which sessions its volume covers. "HK share" = HK line as a share of US + HK value.</w:t>
      </w:r>
    </w:p>
    <w:tbl>
      <w:tblPr>
        <w:tblStyle w:val="TableGrid"/>
        <w:tblW w:type="auto" w:w="0"/>
        <w:jc w:val="center"/>
        <w:tblLayout w:type="fixed"/>
        <w:tblLook w:firstColumn="1" w:firstRow="1" w:lastColumn="0" w:lastRow="0" w:noHBand="0" w:noVBand="1" w:val="04A0"/>
      </w:tblPr>
      <w:tblGrid>
        <w:gridCol w:w="1246"/>
        <w:gridCol w:w="1246"/>
        <w:gridCol w:w="1246"/>
        <w:gridCol w:w="1246"/>
        <w:gridCol w:w="1246"/>
        <w:gridCol w:w="1246"/>
        <w:gridCol w:w="1246"/>
        <w:gridCol w:w="1246"/>
      </w:tblGrid>
      <w:tr>
        <w:tc>
          <w:tcPr>
            <w:tcW w:type="dxa" w:w="1077"/>
            <w:shd w:val="clear" w:color="auto" w:fill="1F3A5F"/>
          </w:tcPr>
          <w:p>
            <w:r/>
            <w:r>
              <w:rPr>
                <w:b/>
                <w:color w:val="FFFFFF"/>
                <w:sz w:val="15"/>
              </w:rPr>
              <w:t>ADR</w:t>
            </w:r>
          </w:p>
        </w:tc>
        <w:tc>
          <w:tcPr>
            <w:tcW w:type="dxa" w:w="964"/>
            <w:shd w:val="clear" w:color="auto" w:fill="1F3A5F"/>
          </w:tcPr>
          <w:p>
            <w:r/>
            <w:r>
              <w:rPr>
                <w:b/>
                <w:color w:val="FFFFFF"/>
                <w:sz w:val="15"/>
              </w:rPr>
              <w:t>US ADV US$m</w:t>
            </w:r>
          </w:p>
        </w:tc>
        <w:tc>
          <w:tcPr>
            <w:tcW w:type="dxa" w:w="737"/>
            <w:shd w:val="clear" w:color="auto" w:fill="1F3A5F"/>
          </w:tcPr>
          <w:p>
            <w:r/>
            <w:r>
              <w:rPr>
                <w:b/>
                <w:color w:val="FFFFFF"/>
                <w:sz w:val="15"/>
              </w:rPr>
              <w:t>HK line</w:t>
            </w:r>
          </w:p>
        </w:tc>
        <w:tc>
          <w:tcPr>
            <w:tcW w:type="dxa" w:w="964"/>
            <w:shd w:val="clear" w:color="auto" w:fill="1F3A5F"/>
          </w:tcPr>
          <w:p>
            <w:r/>
            <w:r>
              <w:rPr>
                <w:b/>
                <w:color w:val="FFFFFF"/>
                <w:sz w:val="15"/>
              </w:rPr>
              <w:t>HK ADV US$m</w:t>
            </w:r>
          </w:p>
        </w:tc>
        <w:tc>
          <w:tcPr>
            <w:tcW w:type="dxa" w:w="737"/>
            <w:shd w:val="clear" w:color="auto" w:fill="1F3A5F"/>
          </w:tcPr>
          <w:p>
            <w:r/>
            <w:r>
              <w:rPr>
                <w:b/>
                <w:color w:val="FFFFFF"/>
                <w:sz w:val="15"/>
              </w:rPr>
              <w:t>HK share</w:t>
            </w:r>
          </w:p>
        </w:tc>
        <w:tc>
          <w:tcPr>
            <w:tcW w:type="dxa" w:w="2494"/>
            <w:shd w:val="clear" w:color="auto" w:fill="1F3A5F"/>
          </w:tcPr>
          <w:p>
            <w:r/>
            <w:r>
              <w:rPr>
                <w:b/>
                <w:color w:val="FFFFFF"/>
                <w:sz w:val="15"/>
              </w:rPr>
              <w:t>HK status</w:t>
            </w:r>
          </w:p>
        </w:tc>
        <w:tc>
          <w:tcPr>
            <w:tcW w:type="dxa" w:w="964"/>
            <w:shd w:val="clear" w:color="auto" w:fill="1F3A5F"/>
          </w:tcPr>
          <w:p>
            <w:r/>
            <w:r>
              <w:rPr>
                <w:b/>
                <w:color w:val="FFFFFF"/>
                <w:sz w:val="15"/>
              </w:rPr>
              <w:t>SSF</w:t>
            </w:r>
          </w:p>
        </w:tc>
        <w:tc>
          <w:tcPr>
            <w:tcW w:type="dxa" w:w="1134"/>
            <w:shd w:val="clear" w:color="auto" w:fill="1F3A5F"/>
          </w:tcPr>
          <w:p>
            <w:r/>
            <w:r>
              <w:rPr>
                <w:b/>
                <w:color w:val="FFFFFF"/>
                <w:sz w:val="15"/>
              </w:rPr>
              <w:t>Overnight venue</w:t>
            </w:r>
          </w:p>
        </w:tc>
      </w:tr>
      <w:tr>
        <w:tc>
          <w:tcPr>
            <w:tcW w:type="dxa" w:w="1077"/>
          </w:tcPr>
          <w:p>
            <w:r/>
            <w:r>
              <w:rPr>
                <w:b/>
                <w:sz w:val="15"/>
              </w:rPr>
              <w:t>BABA</w:t>
            </w:r>
          </w:p>
        </w:tc>
        <w:tc>
          <w:tcPr>
            <w:tcW w:type="dxa" w:w="964"/>
          </w:tcPr>
          <w:p>
            <w:r/>
            <w:r>
              <w:rPr>
                <w:sz w:val="15"/>
              </w:rPr>
              <w:t>1,332</w:t>
            </w:r>
          </w:p>
        </w:tc>
        <w:tc>
          <w:tcPr>
            <w:tcW w:type="dxa" w:w="737"/>
          </w:tcPr>
          <w:p>
            <w:r/>
            <w:r>
              <w:rPr>
                <w:sz w:val="15"/>
              </w:rPr>
              <w:t>9988</w:t>
            </w:r>
          </w:p>
        </w:tc>
        <w:tc>
          <w:tcPr>
            <w:tcW w:type="dxa" w:w="964"/>
          </w:tcPr>
          <w:p>
            <w:r/>
            <w:r>
              <w:rPr>
                <w:sz w:val="15"/>
              </w:rPr>
              <w:t>1,368</w:t>
            </w:r>
          </w:p>
        </w:tc>
        <w:tc>
          <w:tcPr>
            <w:tcW w:type="dxa" w:w="737"/>
          </w:tcPr>
          <w:p>
            <w:r/>
            <w:r>
              <w:rPr>
                <w:sz w:val="15"/>
              </w:rPr>
              <w:t>51%</w:t>
            </w:r>
          </w:p>
        </w:tc>
        <w:tc>
          <w:tcPr>
            <w:tcW w:type="dxa" w:w="2494"/>
          </w:tcPr>
          <w:p>
            <w:r/>
            <w:r>
              <w:rPr>
                <w:sz w:val="15"/>
              </w:rPr>
              <w:t>Dual-primary 28 Aug 2024; Connect 10 Sep 2024</w:t>
            </w:r>
          </w:p>
        </w:tc>
        <w:tc>
          <w:tcPr>
            <w:tcW w:type="dxa" w:w="964"/>
          </w:tcPr>
          <w:p>
            <w:r/>
            <w:r>
              <w:rPr>
                <w:sz w:val="15"/>
              </w:rPr>
              <w:t>ALB (500 sh)</w:t>
            </w:r>
          </w:p>
        </w:tc>
        <w:tc>
          <w:tcPr>
            <w:tcW w:type="dxa" w:w="1134"/>
          </w:tcPr>
          <w:p>
            <w:r/>
            <w:r>
              <w:rPr>
                <w:sz w:val="15"/>
              </w:rPr>
              <w:t>Yes (NMS)</w:t>
            </w:r>
          </w:p>
        </w:tc>
      </w:tr>
      <w:tr>
        <w:tc>
          <w:tcPr>
            <w:tcW w:type="dxa" w:w="1077"/>
            <w:shd w:val="clear" w:color="auto" w:fill="F2F5F9"/>
          </w:tcPr>
          <w:p>
            <w:r/>
            <w:r>
              <w:rPr>
                <w:b/>
                <w:sz w:val="15"/>
              </w:rPr>
              <w:t>JD</w:t>
            </w:r>
          </w:p>
        </w:tc>
        <w:tc>
          <w:tcPr>
            <w:tcW w:type="dxa" w:w="964"/>
            <w:shd w:val="clear" w:color="auto" w:fill="F2F5F9"/>
          </w:tcPr>
          <w:p>
            <w:r/>
            <w:r>
              <w:rPr>
                <w:sz w:val="15"/>
              </w:rPr>
              <w:t>219</w:t>
            </w:r>
          </w:p>
        </w:tc>
        <w:tc>
          <w:tcPr>
            <w:tcW w:type="dxa" w:w="737"/>
            <w:shd w:val="clear" w:color="auto" w:fill="F2F5F9"/>
          </w:tcPr>
          <w:p>
            <w:r/>
            <w:r>
              <w:rPr>
                <w:sz w:val="15"/>
              </w:rPr>
              <w:t>9618</w:t>
            </w:r>
          </w:p>
        </w:tc>
        <w:tc>
          <w:tcPr>
            <w:tcW w:type="dxa" w:w="964"/>
            <w:shd w:val="clear" w:color="auto" w:fill="F2F5F9"/>
          </w:tcPr>
          <w:p>
            <w:r/>
            <w:r>
              <w:rPr>
                <w:sz w:val="15"/>
              </w:rPr>
              <w:t>130</w:t>
            </w:r>
          </w:p>
        </w:tc>
        <w:tc>
          <w:tcPr>
            <w:tcW w:type="dxa" w:w="737"/>
            <w:shd w:val="clear" w:color="auto" w:fill="F2F5F9"/>
          </w:tcPr>
          <w:p>
            <w:r/>
            <w:r>
              <w:rPr>
                <w:sz w:val="15"/>
              </w:rPr>
              <w:t>37%</w:t>
            </w:r>
          </w:p>
        </w:tc>
        <w:tc>
          <w:tcPr>
            <w:tcW w:type="dxa" w:w="2494"/>
            <w:shd w:val="clear" w:color="auto" w:fill="F2F5F9"/>
          </w:tcPr>
          <w:p>
            <w:r/>
            <w:r>
              <w:rPr>
                <w:sz w:val="15"/>
              </w:rPr>
              <w:t>Secondary; NOT in Connect</w:t>
            </w:r>
          </w:p>
        </w:tc>
        <w:tc>
          <w:tcPr>
            <w:tcW w:type="dxa" w:w="964"/>
            <w:shd w:val="clear" w:color="auto" w:fill="F2F5F9"/>
          </w:tcPr>
          <w:p>
            <w:r/>
            <w:r>
              <w:rPr>
                <w:sz w:val="15"/>
              </w:rPr>
              <w:t>JDC (500)</w:t>
            </w:r>
          </w:p>
        </w:tc>
        <w:tc>
          <w:tcPr>
            <w:tcW w:type="dxa" w:w="1134"/>
            <w:shd w:val="clear" w:color="auto" w:fill="F2F5F9"/>
          </w:tcPr>
          <w:p>
            <w:r/>
            <w:r>
              <w:rPr>
                <w:sz w:val="15"/>
              </w:rPr>
              <w:t>Yes</w:t>
            </w:r>
          </w:p>
        </w:tc>
      </w:tr>
      <w:tr>
        <w:tc>
          <w:tcPr>
            <w:tcW w:type="dxa" w:w="1077"/>
          </w:tcPr>
          <w:p>
            <w:r/>
            <w:r>
              <w:rPr>
                <w:b/>
                <w:sz w:val="15"/>
              </w:rPr>
              <w:t>BIDU</w:t>
            </w:r>
          </w:p>
        </w:tc>
        <w:tc>
          <w:tcPr>
            <w:tcW w:type="dxa" w:w="964"/>
          </w:tcPr>
          <w:p>
            <w:r/>
            <w:r>
              <w:rPr>
                <w:sz w:val="15"/>
              </w:rPr>
              <w:t>272</w:t>
            </w:r>
          </w:p>
        </w:tc>
        <w:tc>
          <w:tcPr>
            <w:tcW w:type="dxa" w:w="737"/>
          </w:tcPr>
          <w:p>
            <w:r/>
            <w:r>
              <w:rPr>
                <w:sz w:val="15"/>
              </w:rPr>
              <w:t>9888</w:t>
            </w:r>
          </w:p>
        </w:tc>
        <w:tc>
          <w:tcPr>
            <w:tcW w:type="dxa" w:w="964"/>
          </w:tcPr>
          <w:p>
            <w:r/>
            <w:r>
              <w:rPr>
                <w:sz w:val="15"/>
              </w:rPr>
              <w:t>170</w:t>
            </w:r>
          </w:p>
        </w:tc>
        <w:tc>
          <w:tcPr>
            <w:tcW w:type="dxa" w:w="737"/>
          </w:tcPr>
          <w:p>
            <w:r/>
            <w:r>
              <w:rPr>
                <w:sz w:val="15"/>
              </w:rPr>
              <w:t>39%</w:t>
            </w:r>
          </w:p>
        </w:tc>
        <w:tc>
          <w:tcPr>
            <w:tcW w:type="dxa" w:w="2494"/>
          </w:tcPr>
          <w:p>
            <w:r/>
            <w:r>
              <w:rPr>
                <w:sz w:val="15"/>
              </w:rPr>
              <w:t>Dual-primary 1 Sep 2026; Connect 7 Sep 2026</w:t>
            </w:r>
          </w:p>
        </w:tc>
        <w:tc>
          <w:tcPr>
            <w:tcW w:type="dxa" w:w="964"/>
          </w:tcPr>
          <w:p>
            <w:r/>
            <w:r>
              <w:rPr>
                <w:sz w:val="15"/>
              </w:rPr>
              <w:t>BIU (150)</w:t>
            </w:r>
          </w:p>
        </w:tc>
        <w:tc>
          <w:tcPr>
            <w:tcW w:type="dxa" w:w="1134"/>
          </w:tcPr>
          <w:p>
            <w:r/>
            <w:r>
              <w:rPr>
                <w:sz w:val="15"/>
              </w:rPr>
              <w:t>Yes</w:t>
            </w:r>
          </w:p>
        </w:tc>
      </w:tr>
      <w:tr>
        <w:tc>
          <w:tcPr>
            <w:tcW w:type="dxa" w:w="1077"/>
            <w:shd w:val="clear" w:color="auto" w:fill="F2F5F9"/>
          </w:tcPr>
          <w:p>
            <w:r/>
            <w:r>
              <w:rPr>
                <w:b/>
                <w:sz w:val="15"/>
              </w:rPr>
              <w:t>NTES</w:t>
            </w:r>
          </w:p>
        </w:tc>
        <w:tc>
          <w:tcPr>
            <w:tcW w:type="dxa" w:w="964"/>
            <w:shd w:val="clear" w:color="auto" w:fill="F2F5F9"/>
          </w:tcPr>
          <w:p>
            <w:r/>
            <w:r>
              <w:rPr>
                <w:sz w:val="15"/>
              </w:rPr>
              <w:t>103</w:t>
            </w:r>
          </w:p>
        </w:tc>
        <w:tc>
          <w:tcPr>
            <w:tcW w:type="dxa" w:w="737"/>
            <w:shd w:val="clear" w:color="auto" w:fill="F2F5F9"/>
          </w:tcPr>
          <w:p>
            <w:r/>
            <w:r>
              <w:rPr>
                <w:sz w:val="15"/>
              </w:rPr>
              <w:t>9999</w:t>
            </w:r>
          </w:p>
        </w:tc>
        <w:tc>
          <w:tcPr>
            <w:tcW w:type="dxa" w:w="964"/>
            <w:shd w:val="clear" w:color="auto" w:fill="F2F5F9"/>
          </w:tcPr>
          <w:p>
            <w:r/>
            <w:r>
              <w:rPr>
                <w:sz w:val="15"/>
              </w:rPr>
              <w:t>209</w:t>
            </w:r>
          </w:p>
        </w:tc>
        <w:tc>
          <w:tcPr>
            <w:tcW w:type="dxa" w:w="737"/>
            <w:shd w:val="clear" w:color="auto" w:fill="F2F5F9"/>
          </w:tcPr>
          <w:p>
            <w:r/>
            <w:r>
              <w:rPr>
                <w:sz w:val="15"/>
              </w:rPr>
              <w:t>67%</w:t>
            </w:r>
          </w:p>
        </w:tc>
        <w:tc>
          <w:tcPr>
            <w:tcW w:type="dxa" w:w="2494"/>
            <w:shd w:val="clear" w:color="auto" w:fill="F2F5F9"/>
          </w:tcPr>
          <w:p>
            <w:r/>
            <w:r>
              <w:rPr>
                <w:sz w:val="15"/>
              </w:rPr>
              <w:t>Dual-primary + Connect 30 Jun 2026</w:t>
            </w:r>
          </w:p>
        </w:tc>
        <w:tc>
          <w:tcPr>
            <w:tcW w:type="dxa" w:w="964"/>
            <w:shd w:val="clear" w:color="auto" w:fill="F2F5F9"/>
          </w:tcPr>
          <w:p>
            <w:r/>
            <w:r>
              <w:rPr>
                <w:sz w:val="15"/>
              </w:rPr>
              <w:t>NTE (500)</w:t>
            </w:r>
          </w:p>
        </w:tc>
        <w:tc>
          <w:tcPr>
            <w:tcW w:type="dxa" w:w="1134"/>
            <w:shd w:val="clear" w:color="auto" w:fill="F2F5F9"/>
          </w:tcPr>
          <w:p>
            <w:r/>
            <w:r>
              <w:rPr>
                <w:sz w:val="15"/>
              </w:rPr>
              <w:t>Yes</w:t>
            </w:r>
          </w:p>
        </w:tc>
      </w:tr>
      <w:tr>
        <w:tc>
          <w:tcPr>
            <w:tcW w:type="dxa" w:w="1077"/>
          </w:tcPr>
          <w:p>
            <w:r/>
            <w:r>
              <w:rPr>
                <w:b/>
                <w:sz w:val="15"/>
              </w:rPr>
              <w:t>TCOM</w:t>
            </w:r>
          </w:p>
        </w:tc>
        <w:tc>
          <w:tcPr>
            <w:tcW w:type="dxa" w:w="964"/>
          </w:tcPr>
          <w:p>
            <w:r/>
            <w:r>
              <w:rPr>
                <w:sz w:val="15"/>
              </w:rPr>
              <w:t>138</w:t>
            </w:r>
          </w:p>
        </w:tc>
        <w:tc>
          <w:tcPr>
            <w:tcW w:type="dxa" w:w="737"/>
          </w:tcPr>
          <w:p>
            <w:r/>
            <w:r>
              <w:rPr>
                <w:sz w:val="15"/>
              </w:rPr>
              <w:t>9961</w:t>
            </w:r>
          </w:p>
        </w:tc>
        <w:tc>
          <w:tcPr>
            <w:tcW w:type="dxa" w:w="964"/>
          </w:tcPr>
          <w:p>
            <w:r/>
            <w:r>
              <w:rPr>
                <w:sz w:val="15"/>
              </w:rPr>
              <w:t>131</w:t>
            </w:r>
          </w:p>
        </w:tc>
        <w:tc>
          <w:tcPr>
            <w:tcW w:type="dxa" w:w="737"/>
          </w:tcPr>
          <w:p>
            <w:r/>
            <w:r>
              <w:rPr>
                <w:sz w:val="15"/>
              </w:rPr>
              <w:t>49%</w:t>
            </w:r>
          </w:p>
        </w:tc>
        <w:tc>
          <w:tcPr>
            <w:tcW w:type="dxa" w:w="2494"/>
          </w:tcPr>
          <w:p>
            <w:r/>
            <w:r>
              <w:rPr>
                <w:sz w:val="15"/>
              </w:rPr>
              <w:t>Secondary; NOT in Connect</w:t>
            </w:r>
          </w:p>
        </w:tc>
        <w:tc>
          <w:tcPr>
            <w:tcW w:type="dxa" w:w="964"/>
          </w:tcPr>
          <w:p>
            <w:r/>
            <w:r>
              <w:rPr>
                <w:sz w:val="15"/>
              </w:rPr>
              <w:t>TRP (150)</w:t>
            </w:r>
          </w:p>
        </w:tc>
        <w:tc>
          <w:tcPr>
            <w:tcW w:type="dxa" w:w="1134"/>
          </w:tcPr>
          <w:p>
            <w:r/>
            <w:r>
              <w:rPr>
                <w:sz w:val="15"/>
              </w:rPr>
              <w:t>Yes</w:t>
            </w:r>
          </w:p>
        </w:tc>
      </w:tr>
      <w:tr>
        <w:tc>
          <w:tcPr>
            <w:tcW w:type="dxa" w:w="1077"/>
            <w:shd w:val="clear" w:color="auto" w:fill="F2F5F9"/>
          </w:tcPr>
          <w:p>
            <w:r/>
            <w:r>
              <w:rPr>
                <w:b/>
                <w:sz w:val="15"/>
              </w:rPr>
              <w:t>BILI</w:t>
            </w:r>
          </w:p>
        </w:tc>
        <w:tc>
          <w:tcPr>
            <w:tcW w:type="dxa" w:w="964"/>
            <w:shd w:val="clear" w:color="auto" w:fill="F2F5F9"/>
          </w:tcPr>
          <w:p>
            <w:r/>
            <w:r>
              <w:rPr>
                <w:sz w:val="15"/>
              </w:rPr>
              <w:t>46</w:t>
            </w:r>
          </w:p>
        </w:tc>
        <w:tc>
          <w:tcPr>
            <w:tcW w:type="dxa" w:w="737"/>
            <w:shd w:val="clear" w:color="auto" w:fill="F2F5F9"/>
          </w:tcPr>
          <w:p>
            <w:r/>
            <w:r>
              <w:rPr>
                <w:sz w:val="15"/>
              </w:rPr>
              <w:t>9626</w:t>
            </w:r>
          </w:p>
        </w:tc>
        <w:tc>
          <w:tcPr>
            <w:tcW w:type="dxa" w:w="964"/>
            <w:shd w:val="clear" w:color="auto" w:fill="F2F5F9"/>
          </w:tcPr>
          <w:p>
            <w:r/>
            <w:r>
              <w:rPr>
                <w:sz w:val="15"/>
              </w:rPr>
              <w:t>75</w:t>
            </w:r>
          </w:p>
        </w:tc>
        <w:tc>
          <w:tcPr>
            <w:tcW w:type="dxa" w:w="737"/>
            <w:shd w:val="clear" w:color="auto" w:fill="F2F5F9"/>
          </w:tcPr>
          <w:p>
            <w:r/>
            <w:r>
              <w:rPr>
                <w:sz w:val="15"/>
              </w:rPr>
              <w:t>62%</w:t>
            </w:r>
          </w:p>
        </w:tc>
        <w:tc>
          <w:tcPr>
            <w:tcW w:type="dxa" w:w="2494"/>
            <w:shd w:val="clear" w:color="auto" w:fill="F2F5F9"/>
          </w:tcPr>
          <w:p>
            <w:r/>
            <w:r>
              <w:rPr>
                <w:sz w:val="15"/>
              </w:rPr>
              <w:t>Primary Oct 2022; in Connect</w:t>
            </w:r>
          </w:p>
        </w:tc>
        <w:tc>
          <w:tcPr>
            <w:tcW w:type="dxa" w:w="964"/>
            <w:shd w:val="clear" w:color="auto" w:fill="F2F5F9"/>
          </w:tcPr>
          <w:p>
            <w:r/>
            <w:r>
              <w:rPr>
                <w:sz w:val="15"/>
              </w:rPr>
              <w:t>BLI (60)</w:t>
            </w:r>
          </w:p>
        </w:tc>
        <w:tc>
          <w:tcPr>
            <w:tcW w:type="dxa" w:w="1134"/>
            <w:shd w:val="clear" w:color="auto" w:fill="F2F5F9"/>
          </w:tcPr>
          <w:p>
            <w:r/>
            <w:r>
              <w:rPr>
                <w:sz w:val="15"/>
              </w:rPr>
              <w:t>Yes</w:t>
            </w:r>
          </w:p>
        </w:tc>
      </w:tr>
      <w:tr>
        <w:tc>
          <w:tcPr>
            <w:tcW w:type="dxa" w:w="1077"/>
          </w:tcPr>
          <w:p>
            <w:r/>
            <w:r>
              <w:rPr>
                <w:b/>
                <w:sz w:val="15"/>
              </w:rPr>
              <w:t>NIO</w:t>
            </w:r>
          </w:p>
        </w:tc>
        <w:tc>
          <w:tcPr>
            <w:tcW w:type="dxa" w:w="964"/>
          </w:tcPr>
          <w:p>
            <w:r/>
            <w:r>
              <w:rPr>
                <w:sz w:val="15"/>
              </w:rPr>
              <w:t>130</w:t>
            </w:r>
          </w:p>
        </w:tc>
        <w:tc>
          <w:tcPr>
            <w:tcW w:type="dxa" w:w="737"/>
          </w:tcPr>
          <w:p>
            <w:r/>
            <w:r>
              <w:rPr>
                <w:sz w:val="15"/>
              </w:rPr>
              <w:t>9866</w:t>
            </w:r>
          </w:p>
        </w:tc>
        <w:tc>
          <w:tcPr>
            <w:tcW w:type="dxa" w:w="964"/>
          </w:tcPr>
          <w:p>
            <w:r/>
            <w:r>
              <w:rPr>
                <w:sz w:val="15"/>
              </w:rPr>
              <w:t>22</w:t>
            </w:r>
          </w:p>
        </w:tc>
        <w:tc>
          <w:tcPr>
            <w:tcW w:type="dxa" w:w="737"/>
          </w:tcPr>
          <w:p>
            <w:r/>
            <w:r>
              <w:rPr>
                <w:sz w:val="15"/>
              </w:rPr>
              <w:t>15%</w:t>
            </w:r>
          </w:p>
        </w:tc>
        <w:tc>
          <w:tcPr>
            <w:tcW w:type="dxa" w:w="2494"/>
          </w:tcPr>
          <w:p>
            <w:r/>
            <w:r>
              <w:rPr>
                <w:sz w:val="15"/>
              </w:rPr>
              <w:t>Secondary (by introduction); seeking primary (Jun 2026)</w:t>
            </w:r>
          </w:p>
        </w:tc>
        <w:tc>
          <w:tcPr>
            <w:tcW w:type="dxa" w:w="964"/>
          </w:tcPr>
          <w:p>
            <w:r/>
            <w:r>
              <w:rPr>
                <w:sz w:val="15"/>
              </w:rPr>
              <w:t>-</w:t>
            </w:r>
          </w:p>
        </w:tc>
        <w:tc>
          <w:tcPr>
            <w:tcW w:type="dxa" w:w="1134"/>
          </w:tcPr>
          <w:p>
            <w:r/>
            <w:r>
              <w:rPr>
                <w:sz w:val="15"/>
              </w:rPr>
              <w:t>Yes</w:t>
            </w:r>
          </w:p>
        </w:tc>
      </w:tr>
      <w:tr>
        <w:tc>
          <w:tcPr>
            <w:tcW w:type="dxa" w:w="1077"/>
            <w:shd w:val="clear" w:color="auto" w:fill="F2F5F9"/>
          </w:tcPr>
          <w:p>
            <w:r/>
            <w:r>
              <w:rPr>
                <w:b/>
                <w:sz w:val="15"/>
              </w:rPr>
              <w:t>XPEV</w:t>
            </w:r>
          </w:p>
        </w:tc>
        <w:tc>
          <w:tcPr>
            <w:tcW w:type="dxa" w:w="964"/>
            <w:shd w:val="clear" w:color="auto" w:fill="F2F5F9"/>
          </w:tcPr>
          <w:p>
            <w:r/>
            <w:r>
              <w:rPr>
                <w:sz w:val="15"/>
              </w:rPr>
              <w:t>86</w:t>
            </w:r>
          </w:p>
        </w:tc>
        <w:tc>
          <w:tcPr>
            <w:tcW w:type="dxa" w:w="737"/>
            <w:shd w:val="clear" w:color="auto" w:fill="F2F5F9"/>
          </w:tcPr>
          <w:p>
            <w:r/>
            <w:r>
              <w:rPr>
                <w:sz w:val="15"/>
              </w:rPr>
              <w:t>9868</w:t>
            </w:r>
          </w:p>
        </w:tc>
        <w:tc>
          <w:tcPr>
            <w:tcW w:type="dxa" w:w="964"/>
            <w:shd w:val="clear" w:color="auto" w:fill="F2F5F9"/>
          </w:tcPr>
          <w:p>
            <w:r/>
            <w:r>
              <w:rPr>
                <w:sz w:val="15"/>
              </w:rPr>
              <w:t>81</w:t>
            </w:r>
          </w:p>
        </w:tc>
        <w:tc>
          <w:tcPr>
            <w:tcW w:type="dxa" w:w="737"/>
            <w:shd w:val="clear" w:color="auto" w:fill="F2F5F9"/>
          </w:tcPr>
          <w:p>
            <w:r/>
            <w:r>
              <w:rPr>
                <w:sz w:val="15"/>
              </w:rPr>
              <w:t>48%</w:t>
            </w:r>
          </w:p>
        </w:tc>
        <w:tc>
          <w:tcPr>
            <w:tcW w:type="dxa" w:w="2494"/>
            <w:shd w:val="clear" w:color="auto" w:fill="F2F5F9"/>
          </w:tcPr>
          <w:p>
            <w:r/>
            <w:r>
              <w:rPr>
                <w:sz w:val="15"/>
              </w:rPr>
              <w:t>Primary; Connect 9 Feb 2022</w:t>
            </w:r>
          </w:p>
        </w:tc>
        <w:tc>
          <w:tcPr>
            <w:tcW w:type="dxa" w:w="964"/>
            <w:shd w:val="clear" w:color="auto" w:fill="F2F5F9"/>
          </w:tcPr>
          <w:p>
            <w:r/>
            <w:r>
              <w:rPr>
                <w:sz w:val="15"/>
              </w:rPr>
              <w:t>PEN (200)</w:t>
            </w:r>
          </w:p>
        </w:tc>
        <w:tc>
          <w:tcPr>
            <w:tcW w:type="dxa" w:w="1134"/>
            <w:shd w:val="clear" w:color="auto" w:fill="F2F5F9"/>
          </w:tcPr>
          <w:p>
            <w:r/>
            <w:r>
              <w:rPr>
                <w:sz w:val="15"/>
              </w:rPr>
              <w:t>Yes</w:t>
            </w:r>
          </w:p>
        </w:tc>
      </w:tr>
      <w:tr>
        <w:tc>
          <w:tcPr>
            <w:tcW w:type="dxa" w:w="1077"/>
          </w:tcPr>
          <w:p>
            <w:r/>
            <w:r>
              <w:rPr>
                <w:b/>
                <w:sz w:val="15"/>
              </w:rPr>
              <w:t>LI</w:t>
            </w:r>
          </w:p>
        </w:tc>
        <w:tc>
          <w:tcPr>
            <w:tcW w:type="dxa" w:w="964"/>
          </w:tcPr>
          <w:p>
            <w:r/>
            <w:r>
              <w:rPr>
                <w:sz w:val="15"/>
              </w:rPr>
              <w:t>41</w:t>
            </w:r>
          </w:p>
        </w:tc>
        <w:tc>
          <w:tcPr>
            <w:tcW w:type="dxa" w:w="737"/>
          </w:tcPr>
          <w:p>
            <w:r/>
            <w:r>
              <w:rPr>
                <w:sz w:val="15"/>
              </w:rPr>
              <w:t>2015</w:t>
            </w:r>
          </w:p>
        </w:tc>
        <w:tc>
          <w:tcPr>
            <w:tcW w:type="dxa" w:w="964"/>
          </w:tcPr>
          <w:p>
            <w:r/>
            <w:r>
              <w:rPr>
                <w:sz w:val="15"/>
              </w:rPr>
              <w:t>66</w:t>
            </w:r>
          </w:p>
        </w:tc>
        <w:tc>
          <w:tcPr>
            <w:tcW w:type="dxa" w:w="737"/>
          </w:tcPr>
          <w:p>
            <w:r/>
            <w:r>
              <w:rPr>
                <w:sz w:val="15"/>
              </w:rPr>
              <w:t>62%</w:t>
            </w:r>
          </w:p>
        </w:tc>
        <w:tc>
          <w:tcPr>
            <w:tcW w:type="dxa" w:w="2494"/>
          </w:tcPr>
          <w:p>
            <w:r/>
            <w:r>
              <w:rPr>
                <w:sz w:val="15"/>
              </w:rPr>
              <w:t>Primary; Connect 14 Mar 2022</w:t>
            </w:r>
          </w:p>
        </w:tc>
        <w:tc>
          <w:tcPr>
            <w:tcW w:type="dxa" w:w="964"/>
          </w:tcPr>
          <w:p>
            <w:r/>
            <w:r>
              <w:rPr>
                <w:sz w:val="15"/>
              </w:rPr>
              <w:t>-</w:t>
            </w:r>
          </w:p>
        </w:tc>
        <w:tc>
          <w:tcPr>
            <w:tcW w:type="dxa" w:w="1134"/>
          </w:tcPr>
          <w:p>
            <w:r/>
            <w:r>
              <w:rPr>
                <w:sz w:val="15"/>
              </w:rPr>
              <w:t>Yes</w:t>
            </w:r>
          </w:p>
        </w:tc>
      </w:tr>
      <w:tr>
        <w:tc>
          <w:tcPr>
            <w:tcW w:type="dxa" w:w="1077"/>
            <w:shd w:val="clear" w:color="auto" w:fill="F2F5F9"/>
          </w:tcPr>
          <w:p>
            <w:r/>
            <w:r>
              <w:rPr>
                <w:b/>
                <w:sz w:val="15"/>
              </w:rPr>
              <w:t>YUMC</w:t>
            </w:r>
          </w:p>
        </w:tc>
        <w:tc>
          <w:tcPr>
            <w:tcW w:type="dxa" w:w="964"/>
            <w:shd w:val="clear" w:color="auto" w:fill="F2F5F9"/>
          </w:tcPr>
          <w:p>
            <w:r/>
            <w:r>
              <w:rPr>
                <w:sz w:val="15"/>
              </w:rPr>
              <w:t>68</w:t>
            </w:r>
          </w:p>
        </w:tc>
        <w:tc>
          <w:tcPr>
            <w:tcW w:type="dxa" w:w="737"/>
            <w:shd w:val="clear" w:color="auto" w:fill="F2F5F9"/>
          </w:tcPr>
          <w:p>
            <w:r/>
            <w:r>
              <w:rPr>
                <w:sz w:val="15"/>
              </w:rPr>
              <w:t>9987</w:t>
            </w:r>
          </w:p>
        </w:tc>
        <w:tc>
          <w:tcPr>
            <w:tcW w:type="dxa" w:w="964"/>
            <w:shd w:val="clear" w:color="auto" w:fill="F2F5F9"/>
          </w:tcPr>
          <w:p>
            <w:r/>
            <w:r>
              <w:rPr>
                <w:sz w:val="15"/>
              </w:rPr>
              <w:t>36</w:t>
            </w:r>
          </w:p>
        </w:tc>
        <w:tc>
          <w:tcPr>
            <w:tcW w:type="dxa" w:w="737"/>
            <w:shd w:val="clear" w:color="auto" w:fill="F2F5F9"/>
          </w:tcPr>
          <w:p>
            <w:r/>
            <w:r>
              <w:rPr>
                <w:sz w:val="15"/>
              </w:rPr>
              <w:t>35%</w:t>
            </w:r>
          </w:p>
        </w:tc>
        <w:tc>
          <w:tcPr>
            <w:tcW w:type="dxa" w:w="2494"/>
            <w:shd w:val="clear" w:color="auto" w:fill="F2F5F9"/>
          </w:tcPr>
          <w:p>
            <w:r/>
            <w:r>
              <w:rPr>
                <w:sz w:val="15"/>
              </w:rPr>
              <w:t>Primary + Connect Oct 2022</w:t>
            </w:r>
          </w:p>
        </w:tc>
        <w:tc>
          <w:tcPr>
            <w:tcW w:type="dxa" w:w="964"/>
            <w:shd w:val="clear" w:color="auto" w:fill="F2F5F9"/>
          </w:tcPr>
          <w:p>
            <w:r/>
            <w:r>
              <w:rPr>
                <w:sz w:val="15"/>
              </w:rPr>
              <w:t>-</w:t>
            </w:r>
          </w:p>
        </w:tc>
        <w:tc>
          <w:tcPr>
            <w:tcW w:type="dxa" w:w="1134"/>
            <w:shd w:val="clear" w:color="auto" w:fill="F2F5F9"/>
          </w:tcPr>
          <w:p>
            <w:r/>
            <w:r>
              <w:rPr>
                <w:sz w:val="15"/>
              </w:rPr>
              <w:t>Yes</w:t>
            </w:r>
          </w:p>
        </w:tc>
      </w:tr>
      <w:tr>
        <w:tc>
          <w:tcPr>
            <w:tcW w:type="dxa" w:w="1077"/>
          </w:tcPr>
          <w:p>
            <w:r/>
            <w:r>
              <w:rPr>
                <w:b/>
                <w:sz w:val="15"/>
              </w:rPr>
              <w:t>PDD</w:t>
            </w:r>
          </w:p>
        </w:tc>
        <w:tc>
          <w:tcPr>
            <w:tcW w:type="dxa" w:w="964"/>
          </w:tcPr>
          <w:p>
            <w:r/>
            <w:r>
              <w:rPr>
                <w:sz w:val="15"/>
              </w:rPr>
              <w:t>559</w:t>
            </w:r>
          </w:p>
        </w:tc>
        <w:tc>
          <w:tcPr>
            <w:tcW w:type="dxa" w:w="737"/>
          </w:tcPr>
          <w:p>
            <w:r/>
            <w:r>
              <w:rPr>
                <w:sz w:val="15"/>
              </w:rPr>
              <w:t>none</w:t>
            </w:r>
          </w:p>
        </w:tc>
        <w:tc>
          <w:tcPr>
            <w:tcW w:type="dxa" w:w="964"/>
          </w:tcPr>
          <w:p>
            <w:r/>
            <w:r>
              <w:rPr>
                <w:sz w:val="15"/>
              </w:rPr>
              <w:t>-</w:t>
            </w:r>
          </w:p>
        </w:tc>
        <w:tc>
          <w:tcPr>
            <w:tcW w:type="dxa" w:w="737"/>
          </w:tcPr>
          <w:p>
            <w:r/>
            <w:r>
              <w:rPr>
                <w:sz w:val="15"/>
              </w:rPr>
              <w:t>-</w:t>
            </w:r>
          </w:p>
        </w:tc>
        <w:tc>
          <w:tcPr>
            <w:tcW w:type="dxa" w:w="2494"/>
          </w:tcPr>
          <w:p>
            <w:r/>
            <w:r>
              <w:rPr>
                <w:sz w:val="15"/>
              </w:rPr>
              <w:t>No HK line</w:t>
            </w:r>
          </w:p>
        </w:tc>
        <w:tc>
          <w:tcPr>
            <w:tcW w:type="dxa" w:w="964"/>
          </w:tcPr>
          <w:p>
            <w:r/>
            <w:r>
              <w:rPr>
                <w:sz w:val="15"/>
              </w:rPr>
              <w:t>-</w:t>
            </w:r>
          </w:p>
        </w:tc>
        <w:tc>
          <w:tcPr>
            <w:tcW w:type="dxa" w:w="1134"/>
          </w:tcPr>
          <w:p>
            <w:r/>
            <w:r>
              <w:rPr>
                <w:sz w:val="15"/>
              </w:rPr>
              <w:t>Yes</w:t>
            </w:r>
          </w:p>
        </w:tc>
      </w:tr>
      <w:tr>
        <w:tc>
          <w:tcPr>
            <w:tcW w:type="dxa" w:w="1077"/>
            <w:shd w:val="clear" w:color="auto" w:fill="F2F5F9"/>
          </w:tcPr>
          <w:p>
            <w:r/>
            <w:r>
              <w:rPr>
                <w:b/>
                <w:sz w:val="15"/>
              </w:rPr>
              <w:t>TCEHY (OTC)</w:t>
            </w:r>
          </w:p>
        </w:tc>
        <w:tc>
          <w:tcPr>
            <w:tcW w:type="dxa" w:w="964"/>
            <w:shd w:val="clear" w:color="auto" w:fill="F2F5F9"/>
          </w:tcPr>
          <w:p>
            <w:r/>
            <w:r>
              <w:rPr>
                <w:sz w:val="15"/>
              </w:rPr>
              <w:t>~200</w:t>
            </w:r>
          </w:p>
        </w:tc>
        <w:tc>
          <w:tcPr>
            <w:tcW w:type="dxa" w:w="737"/>
            <w:shd w:val="clear" w:color="auto" w:fill="F2F5F9"/>
          </w:tcPr>
          <w:p>
            <w:r/>
            <w:r>
              <w:rPr>
                <w:sz w:val="15"/>
              </w:rPr>
              <w:t>700</w:t>
            </w:r>
          </w:p>
        </w:tc>
        <w:tc>
          <w:tcPr>
            <w:tcW w:type="dxa" w:w="964"/>
            <w:shd w:val="clear" w:color="auto" w:fill="F2F5F9"/>
          </w:tcPr>
          <w:p>
            <w:r/>
            <w:r>
              <w:rPr>
                <w:sz w:val="15"/>
              </w:rPr>
              <w:t>1,559</w:t>
            </w:r>
          </w:p>
        </w:tc>
        <w:tc>
          <w:tcPr>
            <w:tcW w:type="dxa" w:w="737"/>
            <w:shd w:val="clear" w:color="auto" w:fill="F2F5F9"/>
          </w:tcPr>
          <w:p>
            <w:r/>
            <w:r>
              <w:rPr>
                <w:sz w:val="15"/>
              </w:rPr>
              <w:t>89%</w:t>
            </w:r>
          </w:p>
        </w:tc>
        <w:tc>
          <w:tcPr>
            <w:tcW w:type="dxa" w:w="2494"/>
            <w:shd w:val="clear" w:color="auto" w:fill="F2F5F9"/>
          </w:tcPr>
          <w:p>
            <w:r/>
            <w:r>
              <w:rPr>
                <w:sz w:val="15"/>
              </w:rPr>
              <w:t>HK primary; OTC ADR, no closing auction</w:t>
            </w:r>
          </w:p>
        </w:tc>
        <w:tc>
          <w:tcPr>
            <w:tcW w:type="dxa" w:w="964"/>
            <w:shd w:val="clear" w:color="auto" w:fill="F2F5F9"/>
          </w:tcPr>
          <w:p>
            <w:r/>
            <w:r>
              <w:rPr>
                <w:sz w:val="15"/>
              </w:rPr>
              <w:t>TCH (100)</w:t>
            </w:r>
          </w:p>
        </w:tc>
        <w:tc>
          <w:tcPr>
            <w:tcW w:type="dxa" w:w="1134"/>
            <w:shd w:val="clear" w:color="auto" w:fill="F2F5F9"/>
          </w:tcPr>
          <w:p>
            <w:r/>
            <w:r>
              <w:rPr>
                <w:sz w:val="15"/>
              </w:rPr>
              <w:t>No (OTC)</w:t>
            </w:r>
          </w:p>
        </w:tc>
      </w:tr>
      <w:tr>
        <w:tc>
          <w:tcPr>
            <w:tcW w:type="dxa" w:w="1077"/>
          </w:tcPr>
          <w:p>
            <w:r/>
            <w:r>
              <w:rPr>
                <w:b/>
                <w:sz w:val="15"/>
              </w:rPr>
              <w:t>MPNGY (OTC)</w:t>
            </w:r>
          </w:p>
        </w:tc>
        <w:tc>
          <w:tcPr>
            <w:tcW w:type="dxa" w:w="964"/>
          </w:tcPr>
          <w:p>
            <w:r/>
            <w:r>
              <w:rPr>
                <w:sz w:val="15"/>
              </w:rPr>
              <w:t>4</w:t>
            </w:r>
          </w:p>
        </w:tc>
        <w:tc>
          <w:tcPr>
            <w:tcW w:type="dxa" w:w="737"/>
          </w:tcPr>
          <w:p>
            <w:r/>
            <w:r>
              <w:rPr>
                <w:sz w:val="15"/>
              </w:rPr>
              <w:t>3690</w:t>
            </w:r>
          </w:p>
        </w:tc>
        <w:tc>
          <w:tcPr>
            <w:tcW w:type="dxa" w:w="964"/>
          </w:tcPr>
          <w:p>
            <w:r/>
            <w:r>
              <w:rPr>
                <w:sz w:val="15"/>
              </w:rPr>
              <w:t>475</w:t>
            </w:r>
          </w:p>
        </w:tc>
        <w:tc>
          <w:tcPr>
            <w:tcW w:type="dxa" w:w="737"/>
          </w:tcPr>
          <w:p>
            <w:r/>
            <w:r>
              <w:rPr>
                <w:sz w:val="15"/>
              </w:rPr>
              <w:t>99%</w:t>
            </w:r>
          </w:p>
        </w:tc>
        <w:tc>
          <w:tcPr>
            <w:tcW w:type="dxa" w:w="2494"/>
          </w:tcPr>
          <w:p>
            <w:r/>
            <w:r>
              <w:rPr>
                <w:sz w:val="15"/>
              </w:rPr>
              <w:t>HK primary</w:t>
            </w:r>
          </w:p>
        </w:tc>
        <w:tc>
          <w:tcPr>
            <w:tcW w:type="dxa" w:w="964"/>
          </w:tcPr>
          <w:p>
            <w:r/>
            <w:r>
              <w:rPr>
                <w:sz w:val="15"/>
              </w:rPr>
              <w:t>MET (500)</w:t>
            </w:r>
          </w:p>
        </w:tc>
        <w:tc>
          <w:tcPr>
            <w:tcW w:type="dxa" w:w="1134"/>
          </w:tcPr>
          <w:p>
            <w:r/>
            <w:r>
              <w:rPr>
                <w:sz w:val="15"/>
              </w:rPr>
              <w:t>No</w:t>
            </w:r>
          </w:p>
        </w:tc>
      </w:tr>
      <w:tr>
        <w:tc>
          <w:tcPr>
            <w:tcW w:type="dxa" w:w="1077"/>
            <w:shd w:val="clear" w:color="auto" w:fill="F2F5F9"/>
          </w:tcPr>
          <w:p>
            <w:r/>
            <w:r>
              <w:rPr>
                <w:b/>
                <w:sz w:val="15"/>
              </w:rPr>
              <w:t>XIACY (OTC)</w:t>
            </w:r>
          </w:p>
        </w:tc>
        <w:tc>
          <w:tcPr>
            <w:tcW w:type="dxa" w:w="964"/>
            <w:shd w:val="clear" w:color="auto" w:fill="F2F5F9"/>
          </w:tcPr>
          <w:p>
            <w:r/>
            <w:r>
              <w:rPr>
                <w:sz w:val="15"/>
              </w:rPr>
              <w:t>5</w:t>
            </w:r>
          </w:p>
        </w:tc>
        <w:tc>
          <w:tcPr>
            <w:tcW w:type="dxa" w:w="737"/>
            <w:shd w:val="clear" w:color="auto" w:fill="F2F5F9"/>
          </w:tcPr>
          <w:p>
            <w:r/>
            <w:r>
              <w:rPr>
                <w:sz w:val="15"/>
              </w:rPr>
              <w:t>1810</w:t>
            </w:r>
          </w:p>
        </w:tc>
        <w:tc>
          <w:tcPr>
            <w:tcW w:type="dxa" w:w="964"/>
            <w:shd w:val="clear" w:color="auto" w:fill="F2F5F9"/>
          </w:tcPr>
          <w:p>
            <w:r/>
            <w:r>
              <w:rPr>
                <w:sz w:val="15"/>
              </w:rPr>
              <w:t>599</w:t>
            </w:r>
          </w:p>
        </w:tc>
        <w:tc>
          <w:tcPr>
            <w:tcW w:type="dxa" w:w="737"/>
            <w:shd w:val="clear" w:color="auto" w:fill="F2F5F9"/>
          </w:tcPr>
          <w:p>
            <w:r/>
            <w:r>
              <w:rPr>
                <w:sz w:val="15"/>
              </w:rPr>
              <w:t>99%</w:t>
            </w:r>
          </w:p>
        </w:tc>
        <w:tc>
          <w:tcPr>
            <w:tcW w:type="dxa" w:w="2494"/>
            <w:shd w:val="clear" w:color="auto" w:fill="F2F5F9"/>
          </w:tcPr>
          <w:p>
            <w:r/>
            <w:r>
              <w:rPr>
                <w:sz w:val="15"/>
              </w:rPr>
              <w:t>HK primary</w:t>
            </w:r>
          </w:p>
        </w:tc>
        <w:tc>
          <w:tcPr>
            <w:tcW w:type="dxa" w:w="964"/>
            <w:shd w:val="clear" w:color="auto" w:fill="F2F5F9"/>
          </w:tcPr>
          <w:p>
            <w:r/>
            <w:r>
              <w:rPr>
                <w:sz w:val="15"/>
              </w:rPr>
              <w:t>MIU</w:t>
            </w:r>
          </w:p>
        </w:tc>
        <w:tc>
          <w:tcPr>
            <w:tcW w:type="dxa" w:w="1134"/>
            <w:shd w:val="clear" w:color="auto" w:fill="F2F5F9"/>
          </w:tcPr>
          <w:p>
            <w:r/>
            <w:r>
              <w:rPr>
                <w:sz w:val="15"/>
              </w:rPr>
              <w:t>No</w:t>
            </w:r>
          </w:p>
        </w:tc>
      </w:tr>
      <w:tr>
        <w:tc>
          <w:tcPr>
            <w:tcW w:type="dxa" w:w="1077"/>
          </w:tcPr>
          <w:p>
            <w:r/>
            <w:r>
              <w:rPr>
                <w:b/>
                <w:sz w:val="15"/>
              </w:rPr>
              <w:t>BYDDY (OTC)</w:t>
            </w:r>
          </w:p>
        </w:tc>
        <w:tc>
          <w:tcPr>
            <w:tcW w:type="dxa" w:w="964"/>
          </w:tcPr>
          <w:p>
            <w:r/>
            <w:r>
              <w:rPr>
                <w:sz w:val="15"/>
              </w:rPr>
              <w:t>13</w:t>
            </w:r>
          </w:p>
        </w:tc>
        <w:tc>
          <w:tcPr>
            <w:tcW w:type="dxa" w:w="737"/>
          </w:tcPr>
          <w:p>
            <w:r/>
            <w:r>
              <w:rPr>
                <w:sz w:val="15"/>
              </w:rPr>
              <w:t>1211</w:t>
            </w:r>
          </w:p>
        </w:tc>
        <w:tc>
          <w:tcPr>
            <w:tcW w:type="dxa" w:w="964"/>
          </w:tcPr>
          <w:p>
            <w:r/>
            <w:r>
              <w:rPr>
                <w:sz w:val="15"/>
              </w:rPr>
              <w:t>227</w:t>
            </w:r>
          </w:p>
        </w:tc>
        <w:tc>
          <w:tcPr>
            <w:tcW w:type="dxa" w:w="737"/>
          </w:tcPr>
          <w:p>
            <w:r/>
            <w:r>
              <w:rPr>
                <w:sz w:val="15"/>
              </w:rPr>
              <w:t>94%</w:t>
            </w:r>
          </w:p>
        </w:tc>
        <w:tc>
          <w:tcPr>
            <w:tcW w:type="dxa" w:w="2494"/>
          </w:tcPr>
          <w:p>
            <w:r/>
            <w:r>
              <w:rPr>
                <w:sz w:val="15"/>
              </w:rPr>
              <w:t>HK primary</w:t>
            </w:r>
          </w:p>
        </w:tc>
        <w:tc>
          <w:tcPr>
            <w:tcW w:type="dxa" w:w="964"/>
          </w:tcPr>
          <w:p>
            <w:r/>
            <w:r>
              <w:rPr>
                <w:sz w:val="15"/>
              </w:rPr>
              <w:t>BYD</w:t>
            </w:r>
          </w:p>
        </w:tc>
        <w:tc>
          <w:tcPr>
            <w:tcW w:type="dxa" w:w="1134"/>
          </w:tcPr>
          <w:p>
            <w:r/>
            <w:r>
              <w:rPr>
                <w:sz w:val="15"/>
              </w:rPr>
              <w:t>No</w:t>
            </w:r>
          </w:p>
        </w:tc>
      </w:tr>
      <w:tr>
        <w:tc>
          <w:tcPr>
            <w:tcW w:type="dxa" w:w="1077"/>
            <w:shd w:val="clear" w:color="auto" w:fill="F2F5F9"/>
          </w:tcPr>
          <w:p>
            <w:r/>
            <w:r>
              <w:rPr>
                <w:b/>
                <w:sz w:val="15"/>
              </w:rPr>
              <w:t>KSHTY (OTC)</w:t>
            </w:r>
          </w:p>
        </w:tc>
        <w:tc>
          <w:tcPr>
            <w:tcW w:type="dxa" w:w="964"/>
            <w:shd w:val="clear" w:color="auto" w:fill="F2F5F9"/>
          </w:tcPr>
          <w:p>
            <w:r/>
            <w:r>
              <w:rPr>
                <w:sz w:val="15"/>
              </w:rPr>
              <w:t>0.04</w:t>
            </w:r>
          </w:p>
        </w:tc>
        <w:tc>
          <w:tcPr>
            <w:tcW w:type="dxa" w:w="737"/>
            <w:shd w:val="clear" w:color="auto" w:fill="F2F5F9"/>
          </w:tcPr>
          <w:p>
            <w:r/>
            <w:r>
              <w:rPr>
                <w:sz w:val="15"/>
              </w:rPr>
              <w:t>1024</w:t>
            </w:r>
          </w:p>
        </w:tc>
        <w:tc>
          <w:tcPr>
            <w:tcW w:type="dxa" w:w="964"/>
            <w:shd w:val="clear" w:color="auto" w:fill="F2F5F9"/>
          </w:tcPr>
          <w:p>
            <w:r/>
            <w:r>
              <w:rPr>
                <w:sz w:val="15"/>
              </w:rPr>
              <w:t>295</w:t>
            </w:r>
          </w:p>
        </w:tc>
        <w:tc>
          <w:tcPr>
            <w:tcW w:type="dxa" w:w="737"/>
            <w:shd w:val="clear" w:color="auto" w:fill="F2F5F9"/>
          </w:tcPr>
          <w:p>
            <w:r/>
            <w:r>
              <w:rPr>
                <w:sz w:val="15"/>
              </w:rPr>
              <w:t>~100%</w:t>
            </w:r>
          </w:p>
        </w:tc>
        <w:tc>
          <w:tcPr>
            <w:tcW w:type="dxa" w:w="2494"/>
            <w:shd w:val="clear" w:color="auto" w:fill="F2F5F9"/>
          </w:tcPr>
          <w:p>
            <w:r/>
            <w:r>
              <w:rPr>
                <w:sz w:val="15"/>
              </w:rPr>
              <w:t>HK primary (ratio to be checked)</w:t>
            </w:r>
          </w:p>
        </w:tc>
        <w:tc>
          <w:tcPr>
            <w:tcW w:type="dxa" w:w="964"/>
            <w:shd w:val="clear" w:color="auto" w:fill="F2F5F9"/>
          </w:tcPr>
          <w:p>
            <w:r/>
            <w:r>
              <w:rPr>
                <w:sz w:val="15"/>
              </w:rPr>
              <w:t>-</w:t>
            </w:r>
          </w:p>
        </w:tc>
        <w:tc>
          <w:tcPr>
            <w:tcW w:type="dxa" w:w="1134"/>
            <w:shd w:val="clear" w:color="auto" w:fill="F2F5F9"/>
          </w:tcPr>
          <w:p>
            <w:r/>
            <w:r>
              <w:rPr>
                <w:sz w:val="15"/>
              </w:rPr>
              <w:t>No</w:t>
            </w:r>
          </w:p>
        </w:tc>
      </w:tr>
    </w:tbl>
    <w:p>
      <w:pPr>
        <w:spacing w:after="40"/>
      </w:pPr>
    </w:p>
    <w:p>
      <w:pPr>
        <w:spacing w:after="80"/>
      </w:pPr>
      <w:r>
        <w:rPr>
          <w:i w:val="0"/>
        </w:rPr>
        <w:t>What the table says:</w:t>
      </w:r>
    </w:p>
    <w:p>
      <w:pPr>
        <w:tabs>
          <w:tab w:pos="425" w:val="left"/>
        </w:tabs>
        <w:spacing w:after="60"/>
        <w:ind w:left="425" w:hanging="425"/>
      </w:pPr>
      <w:r>
        <w:rPr>
          <w:b/>
        </w:rPr>
        <w:t>1.</w:t>
        <w:tab/>
      </w:r>
      <w:r>
        <w:rPr>
          <w:b/>
        </w:rPr>
        <w:t xml:space="preserve">The HK line is now the bigger or equal venue for most of the complex. </w:t>
      </w:r>
      <w:r>
        <w:t>BABA is 50/50 (it was US$3.2bn vs US$0.7bn in 2022; the HK share went 19% in 2021 to 38% in 2025 YTD to ~51% now, NetEase 30% to 53% to 67%, JD 23% to 37%); NetEase, Bilibili, Li Auto are two-thirds HK. HKEX treats a name as migrated once 55% of worldwide volume is in HK, which is what pushed NetEase and Baidu into dual-primary status this year. NIO is the odd one out (15% HK) because its HK listing was by introduction with no new shares. Southbound flow was 22% of HK turnover in 1H 2026 (HK$123bn a day).</w:t>
      </w:r>
    </w:p>
    <w:p>
      <w:pPr>
        <w:tabs>
          <w:tab w:pos="425" w:val="left"/>
        </w:tabs>
        <w:spacing w:after="60"/>
        <w:ind w:left="425" w:hanging="425"/>
      </w:pPr>
      <w:r>
        <w:rPr>
          <w:b/>
        </w:rPr>
        <w:t>2.</w:t>
        <w:tab/>
      </w:r>
      <w:r>
        <w:rPr>
          <w:b/>
        </w:rPr>
        <w:t xml:space="preserve">The OTC lines have no US closing print and no overnight venue. </w:t>
      </w:r>
      <w:r>
        <w:t>TCEHY does US$200m a day, the others under US$15m. They are fills at the last print with a 10 bps assumed spread; Blue Ocean and MOON only carry exchange-listed names. Keep them in the basket as the desk prefers, size them off HK liquidity, and do not build an overnight-venue idea on them.</w:t>
      </w:r>
    </w:p>
    <w:p>
      <w:pPr>
        <w:tabs>
          <w:tab w:pos="425" w:val="left"/>
        </w:tabs>
        <w:spacing w:after="60"/>
        <w:ind w:left="425" w:hanging="425"/>
      </w:pPr>
      <w:r>
        <w:rPr>
          <w:b/>
        </w:rPr>
        <w:t>3.</w:t>
        <w:tab/>
      </w:r>
      <w:r>
        <w:rPr>
          <w:b/>
        </w:rPr>
        <w:t xml:space="preserve">US pre-market is thin where it overlaps HK. </w:t>
      </w:r>
      <w:r>
        <w:t>Market-wide, pre-market was 5.9% of consolidated volume in 2025, and 59% of that trades 08:00-09:30 ET. Only 28% of pre-market volume prints before 07:00 ET, so the 04:00-05:00 ET window that touches the HK close is well under 1% of a day's volume even for BABA. No per-name figure is published; the desk can measure it from the terminal.</w:t>
      </w:r>
    </w:p>
    <w:p>
      <w:pPr>
        <w:tabs>
          <w:tab w:pos="425" w:val="left"/>
        </w:tabs>
        <w:spacing w:after="60"/>
        <w:ind w:left="425" w:hanging="425"/>
      </w:pPr>
      <w:r>
        <w:rPr>
          <w:b/>
        </w:rPr>
        <w:t>4.</w:t>
        <w:tab/>
      </w:r>
      <w:r>
        <w:rPr>
          <w:b/>
        </w:rPr>
        <w:t xml:space="preserve">The overnight venues are real but not yet measured for these names. </w:t>
      </w:r>
      <w:r>
        <w:t>Blue Ocean averaged 130m shares (US$3.5bn) a night in early 2026, 75-80% from Asia-Pacific, but TSLA and NVDA alone were ~35% of 2025 notional and leveraged ETFs another 12%. No published BABA overnight volume exists. That is the first thing to capture (section 9).</w:t>
      </w:r>
    </w:p>
    <w:p>
      <w:pPr>
        <w:tabs>
          <w:tab w:pos="425" w:val="left"/>
        </w:tabs>
        <w:spacing w:after="60"/>
        <w:ind w:left="425" w:hanging="425"/>
      </w:pPr>
      <w:r>
        <w:rPr>
          <w:b/>
        </w:rPr>
        <w:t>5.</w:t>
        <w:tab/>
      </w:r>
      <w:r>
        <w:rPr>
          <w:b/>
        </w:rPr>
        <w:t xml:space="preserve">HTI after-hours is liquid enough for the bridge, not for size. </w:t>
      </w:r>
      <w:r>
        <w:t>The T+1 session traded 118k contracts a day in 1H 2026 (14% of futures volume) across all products; your own QR read of the 02:30-02:55 HKT tail was 1-2 contracts a print, 45 contracts in 25 minutes, bid 7-8 x ask 28-33 at 2 points wide. That covers a US$1-2m bridge, not a US$20m one.</w:t>
      </w:r>
    </w:p>
    <w:p>
      <w:pPr>
        <w:pStyle w:val="Heading1"/>
      </w:pPr>
      <w:r>
        <w:t>5. Costs: what is right, what is missing, and three worked round trips</w:t>
      </w:r>
    </w:p>
    <w:p>
      <w:pPr>
        <w:spacing w:after="80"/>
      </w:pPr>
      <w:r>
        <w:rPr>
          <w:i w:val="0"/>
        </w:rPr>
        <w:t>Your desk numbers are correct and stay. Sign convention: positive = cost, negative = credit. SOFR was 3.88% on 24 Sep 2026.</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701"/>
            <w:shd w:val="clear" w:color="auto" w:fill="1F3A5F"/>
          </w:tcPr>
          <w:p>
            <w:r/>
            <w:r>
              <w:rPr>
                <w:b/>
                <w:color w:val="FFFFFF"/>
                <w:sz w:val="17"/>
              </w:rPr>
              <w:t>Item</w:t>
            </w:r>
          </w:p>
        </w:tc>
        <w:tc>
          <w:tcPr>
            <w:tcW w:type="dxa" w:w="6236"/>
            <w:shd w:val="clear" w:color="auto" w:fill="1F3A5F"/>
          </w:tcPr>
          <w:p>
            <w:r/>
            <w:r>
              <w:rPr>
                <w:b/>
                <w:color w:val="FFFFFF"/>
                <w:sz w:val="17"/>
              </w:rPr>
              <w:t>Number</w:t>
            </w:r>
          </w:p>
        </w:tc>
        <w:tc>
          <w:tcPr>
            <w:tcW w:type="dxa" w:w="1701"/>
            <w:shd w:val="clear" w:color="auto" w:fill="1F3A5F"/>
          </w:tcPr>
          <w:p>
            <w:r/>
            <w:r>
              <w:rPr>
                <w:b/>
                <w:color w:val="FFFFFF"/>
                <w:sz w:val="17"/>
              </w:rPr>
              <w:t>Status</w:t>
            </w:r>
          </w:p>
        </w:tc>
      </w:tr>
      <w:tr>
        <w:tc>
          <w:tcPr>
            <w:tcW w:type="dxa" w:w="1701"/>
          </w:tcPr>
          <w:p>
            <w:r/>
            <w:r>
              <w:rPr>
                <w:b/>
                <w:sz w:val="17"/>
              </w:rPr>
              <w:t>ADR commission</w:t>
            </w:r>
          </w:p>
        </w:tc>
        <w:tc>
          <w:tcPr>
            <w:tcW w:type="dxa" w:w="6236"/>
          </w:tcPr>
          <w:p>
            <w:r/>
            <w:r>
              <w:rPr>
                <w:sz w:val="17"/>
              </w:rPr>
              <w:t>2 bps in / 2 bps out (the 32 bps depositary cancellation fee is NOT an on-market exit cost)</w:t>
            </w:r>
          </w:p>
        </w:tc>
        <w:tc>
          <w:tcPr>
            <w:tcW w:type="dxa" w:w="1701"/>
          </w:tcPr>
          <w:p>
            <w:r/>
            <w:r>
              <w:rPr>
                <w:sz w:val="17"/>
              </w:rPr>
              <w:t>Right</w:t>
            </w:r>
          </w:p>
        </w:tc>
      </w:tr>
      <w:tr>
        <w:tc>
          <w:tcPr>
            <w:tcW w:type="dxa" w:w="1701"/>
            <w:shd w:val="clear" w:color="auto" w:fill="F2F5F9"/>
          </w:tcPr>
          <w:p>
            <w:r/>
            <w:r>
              <w:rPr>
                <w:b/>
                <w:sz w:val="17"/>
              </w:rPr>
              <w:t>HTI futures</w:t>
            </w:r>
          </w:p>
        </w:tc>
        <w:tc>
          <w:tcPr>
            <w:tcW w:type="dxa" w:w="6236"/>
            <w:shd w:val="clear" w:color="auto" w:fill="F2F5F9"/>
          </w:tcPr>
          <w:p>
            <w:r/>
            <w:r>
              <w:rPr>
                <w:sz w:val="17"/>
              </w:rPr>
              <w:t>1-2 bps fees per side; exchange fee HK$2.50/contract with the 50% discount; half-spread 2.5 bps in the 02:00-03:00 HKT tail, 2 bps in the day session</w:t>
            </w:r>
          </w:p>
        </w:tc>
        <w:tc>
          <w:tcPr>
            <w:tcW w:type="dxa" w:w="1701"/>
            <w:shd w:val="clear" w:color="auto" w:fill="F2F5F9"/>
          </w:tcPr>
          <w:p>
            <w:r/>
            <w:r>
              <w:rPr>
                <w:sz w:val="17"/>
              </w:rPr>
              <w:t>Right</w:t>
            </w:r>
          </w:p>
        </w:tc>
      </w:tr>
      <w:tr>
        <w:tc>
          <w:tcPr>
            <w:tcW w:type="dxa" w:w="1701"/>
          </w:tcPr>
          <w:p>
            <w:r/>
            <w:r>
              <w:rPr>
                <w:b/>
                <w:sz w:val="17"/>
              </w:rPr>
              <w:t>HK ordinary</w:t>
            </w:r>
          </w:p>
        </w:tc>
        <w:tc>
          <w:tcPr>
            <w:tcW w:type="dxa" w:w="6236"/>
          </w:tcPr>
          <w:p>
            <w:r/>
            <w:r>
              <w:rPr>
                <w:sz w:val="17"/>
              </w:rPr>
              <w:t>13 bps per side all-in fees = stamp duty 10 bps + SFC/AFRC levies and HKEX trading fee ~1.1 bps + commission/CCASS ~2 bps; half-spread ~5 bps (9988 tighter)</w:t>
            </w:r>
          </w:p>
        </w:tc>
        <w:tc>
          <w:tcPr>
            <w:tcW w:type="dxa" w:w="1701"/>
          </w:tcPr>
          <w:p>
            <w:r/>
            <w:r>
              <w:rPr>
                <w:sz w:val="17"/>
              </w:rPr>
              <w:t>Right</w:t>
            </w:r>
          </w:p>
        </w:tc>
      </w:tr>
      <w:tr>
        <w:tc>
          <w:tcPr>
            <w:tcW w:type="dxa" w:w="1701"/>
            <w:shd w:val="clear" w:color="auto" w:fill="F2F5F9"/>
          </w:tcPr>
          <w:p>
            <w:r/>
            <w:r>
              <w:rPr>
                <w:b/>
                <w:sz w:val="17"/>
              </w:rPr>
              <w:t>Funding</w:t>
            </w:r>
          </w:p>
        </w:tc>
        <w:tc>
          <w:tcPr>
            <w:tcW w:type="dxa" w:w="6236"/>
            <w:shd w:val="clear" w:color="auto" w:fill="F2F5F9"/>
          </w:tcPr>
          <w:p>
            <w:r/>
            <w:r>
              <w:rPr>
                <w:sz w:val="17"/>
              </w:rPr>
              <w:t>Long stock legs pay SOFR + 120 bps = 5.08%/yr = 1.4 bps per calendar day; short proceeds EARN SOFR - 50 bps = 3.38%/yr = 0.94 bps/day</w:t>
            </w:r>
          </w:p>
        </w:tc>
        <w:tc>
          <w:tcPr>
            <w:tcW w:type="dxa" w:w="1701"/>
            <w:shd w:val="clear" w:color="auto" w:fill="F2F5F9"/>
          </w:tcPr>
          <w:p>
            <w:r/>
            <w:r>
              <w:rPr>
                <w:sz w:val="17"/>
              </w:rPr>
              <w:t>Right</w:t>
            </w:r>
          </w:p>
        </w:tc>
      </w:tr>
      <w:tr>
        <w:tc>
          <w:tcPr>
            <w:tcW w:type="dxa" w:w="1701"/>
          </w:tcPr>
          <w:p>
            <w:r/>
            <w:r>
              <w:rPr>
                <w:b/>
                <w:sz w:val="17"/>
              </w:rPr>
              <w:t>Futures margin</w:t>
            </w:r>
          </w:p>
        </w:tc>
        <w:tc>
          <w:tcPr>
            <w:tcW w:type="dxa" w:w="6236"/>
          </w:tcPr>
          <w:p>
            <w:r/>
            <w:r>
              <w:rPr>
                <w:sz w:val="17"/>
              </w:rPr>
              <w:t>Notional x 13.5% x 120 bps = 16 bps/yr on the futures leg</w:t>
            </w:r>
          </w:p>
        </w:tc>
        <w:tc>
          <w:tcPr>
            <w:tcW w:type="dxa" w:w="1701"/>
          </w:tcPr>
          <w:p>
            <w:r/>
            <w:r>
              <w:rPr>
                <w:sz w:val="17"/>
              </w:rPr>
              <w:t>Right</w:t>
            </w:r>
          </w:p>
        </w:tc>
      </w:tr>
      <w:tr>
        <w:tc>
          <w:tcPr>
            <w:tcW w:type="dxa" w:w="1701"/>
            <w:shd w:val="clear" w:color="auto" w:fill="F2F5F9"/>
          </w:tcPr>
          <w:p>
            <w:r/>
            <w:r>
              <w:rPr>
                <w:b/>
                <w:sz w:val="17"/>
              </w:rPr>
              <w:t>FX</w:t>
            </w:r>
          </w:p>
        </w:tc>
        <w:tc>
          <w:tcPr>
            <w:tcW w:type="dxa" w:w="6236"/>
            <w:shd w:val="clear" w:color="auto" w:fill="F2F5F9"/>
          </w:tcPr>
          <w:p>
            <w:r/>
            <w:r>
              <w:rPr>
                <w:sz w:val="17"/>
              </w:rPr>
              <w:t>USDHKD pegged 7.75-7.85, deliverable, ~1 bp half-spread</w:t>
            </w:r>
          </w:p>
        </w:tc>
        <w:tc>
          <w:tcPr>
            <w:tcW w:type="dxa" w:w="1701"/>
            <w:shd w:val="clear" w:color="auto" w:fill="F2F5F9"/>
          </w:tcPr>
          <w:p>
            <w:r/>
            <w:r>
              <w:rPr>
                <w:sz w:val="17"/>
              </w:rPr>
              <w:t>Right</w:t>
            </w:r>
          </w:p>
        </w:tc>
      </w:tr>
      <w:tr>
        <w:tc>
          <w:tcPr>
            <w:tcW w:type="dxa" w:w="1701"/>
          </w:tcPr>
          <w:p>
            <w:r/>
            <w:r>
              <w:rPr>
                <w:b/>
                <w:sz w:val="17"/>
              </w:rPr>
              <w:t>Depositary fee</w:t>
            </w:r>
          </w:p>
        </w:tc>
        <w:tc>
          <w:tcPr>
            <w:tcW w:type="dxa" w:w="6236"/>
          </w:tcPr>
          <w:p>
            <w:r/>
            <w:r>
              <w:rPr>
                <w:sz w:val="17"/>
              </w:rPr>
              <w:t>Issuance / cancellation up to US$0.05 per ADS: ~0.4-0.5 bps on a US$110 BABA ADS, ~2 bps on a US$25 ADS. Confirm on the Citi programme sheet.</w:t>
            </w:r>
          </w:p>
        </w:tc>
        <w:tc>
          <w:tcPr>
            <w:tcW w:type="dxa" w:w="1701"/>
          </w:tcPr>
          <w:p>
            <w:r/>
            <w:r>
              <w:rPr>
                <w:sz w:val="17"/>
              </w:rPr>
              <w:t>ADD</w:t>
            </w:r>
          </w:p>
        </w:tc>
      </w:tr>
      <w:tr>
        <w:tc>
          <w:tcPr>
            <w:tcW w:type="dxa" w:w="1701"/>
            <w:shd w:val="clear" w:color="auto" w:fill="F2F5F9"/>
          </w:tcPr>
          <w:p>
            <w:r/>
            <w:r>
              <w:rPr>
                <w:b/>
                <w:sz w:val="17"/>
              </w:rPr>
              <w:t>Conversion time</w:t>
            </w:r>
          </w:p>
        </w:tc>
        <w:tc>
          <w:tcPr>
            <w:tcW w:type="dxa" w:w="6236"/>
            <w:shd w:val="clear" w:color="auto" w:fill="F2F5F9"/>
          </w:tcPr>
          <w:p>
            <w:r/>
            <w:r>
              <w:rPr>
                <w:sz w:val="17"/>
              </w:rPr>
              <w:t>US settles T+1, HK T+2; a cancellation or issuance takes 1-3 business days on top. Budget 3-5 days of one-legged carry when the exit is a conversion.</w:t>
            </w:r>
          </w:p>
        </w:tc>
        <w:tc>
          <w:tcPr>
            <w:tcW w:type="dxa" w:w="1701"/>
            <w:shd w:val="clear" w:color="auto" w:fill="F2F5F9"/>
          </w:tcPr>
          <w:p>
            <w:r/>
            <w:r>
              <w:rPr>
                <w:sz w:val="17"/>
              </w:rPr>
              <w:t>ADD</w:t>
            </w:r>
          </w:p>
        </w:tc>
      </w:tr>
      <w:tr>
        <w:tc>
          <w:tcPr>
            <w:tcW w:type="dxa" w:w="1701"/>
          </w:tcPr>
          <w:p>
            <w:r/>
            <w:r>
              <w:rPr>
                <w:b/>
                <w:sz w:val="17"/>
              </w:rPr>
              <w:t>HK stock borrow</w:t>
            </w:r>
          </w:p>
        </w:tc>
        <w:tc>
          <w:tcPr>
            <w:tcW w:type="dxa" w:w="6236"/>
          </w:tcPr>
          <w:p>
            <w:r/>
            <w:r>
              <w:rPr>
                <w:sz w:val="17"/>
              </w:rPr>
              <w:t>A LONG spread shorts the HK line: GC names 50-100 bps/yr, specials (NIO, XPEV, BILI) several hundred. Check the SBL screen per name.</w:t>
            </w:r>
          </w:p>
        </w:tc>
        <w:tc>
          <w:tcPr>
            <w:tcW w:type="dxa" w:w="1701"/>
          </w:tcPr>
          <w:p>
            <w:r/>
            <w:r>
              <w:rPr>
                <w:sz w:val="17"/>
              </w:rPr>
              <w:t>ADD</w:t>
            </w:r>
          </w:p>
        </w:tc>
      </w:tr>
      <w:tr>
        <w:tc>
          <w:tcPr>
            <w:tcW w:type="dxa" w:w="1701"/>
            <w:shd w:val="clear" w:color="auto" w:fill="F2F5F9"/>
          </w:tcPr>
          <w:p>
            <w:r/>
            <w:r>
              <w:rPr>
                <w:b/>
                <w:sz w:val="17"/>
              </w:rPr>
              <w:t>Position limits</w:t>
            </w:r>
          </w:p>
        </w:tc>
        <w:tc>
          <w:tcPr>
            <w:tcW w:type="dxa" w:w="6236"/>
            <w:shd w:val="clear" w:color="auto" w:fill="F2F5F9"/>
          </w:tcPr>
          <w:p>
            <w:r/>
            <w:r>
              <w:rPr>
                <w:sz w:val="17"/>
              </w:rPr>
              <w:t>HTI delta limit 30,000 contracts; irrelevant at desk size.</w:t>
            </w:r>
          </w:p>
        </w:tc>
        <w:tc>
          <w:tcPr>
            <w:tcW w:type="dxa" w:w="1701"/>
            <w:shd w:val="clear" w:color="auto" w:fill="F2F5F9"/>
          </w:tcPr>
          <w:p>
            <w:r/>
            <w:r>
              <w:rPr>
                <w:sz w:val="17"/>
              </w:rPr>
              <w:t>Info</w:t>
            </w:r>
          </w:p>
        </w:tc>
      </w:tr>
      <w:tr>
        <w:tc>
          <w:tcPr>
            <w:tcW w:type="dxa" w:w="1701"/>
          </w:tcPr>
          <w:p>
            <w:r/>
            <w:r>
              <w:rPr>
                <w:b/>
                <w:sz w:val="17"/>
              </w:rPr>
              <w:t>Overnight-venue costs</w:t>
            </w:r>
          </w:p>
        </w:tc>
        <w:tc>
          <w:tcPr>
            <w:tcW w:type="dxa" w:w="6236"/>
          </w:tcPr>
          <w:p>
            <w:r/>
            <w:r>
              <w:rPr>
                <w:sz w:val="17"/>
              </w:rPr>
              <w:t>Access is via a US broker-dealer member; spreads there are wider than the core session and there is no closing print. Not yet measured.</w:t>
            </w:r>
          </w:p>
        </w:tc>
        <w:tc>
          <w:tcPr>
            <w:tcW w:type="dxa" w:w="1701"/>
          </w:tcPr>
          <w:p>
            <w:r/>
            <w:r>
              <w:rPr>
                <w:sz w:val="17"/>
              </w:rPr>
              <w:t>MEASURE</w:t>
            </w:r>
          </w:p>
        </w:tc>
      </w:tr>
    </w:tbl>
    <w:p>
      <w:pPr>
        <w:spacing w:after="40"/>
      </w:pPr>
    </w:p>
    <w:p>
      <w:pPr>
        <w:spacing w:after="80"/>
      </w:pPr>
      <w:r>
        <w:rPr>
          <w:i w:val="0"/>
        </w:rPr>
        <w:t>Three round trips on a BABA pair, bps of pair notional, 5-day hold:</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2835"/>
            <w:shd w:val="clear" w:color="auto" w:fill="1F3A5F"/>
          </w:tcPr>
          <w:p>
            <w:r/>
            <w:r>
              <w:rPr>
                <w:b/>
                <w:color w:val="FFFFFF"/>
                <w:sz w:val="17"/>
              </w:rPr>
              <w:t>Round trip</w:t>
            </w:r>
          </w:p>
        </w:tc>
        <w:tc>
          <w:tcPr>
            <w:tcW w:type="dxa" w:w="1304"/>
            <w:shd w:val="clear" w:color="auto" w:fill="1F3A5F"/>
          </w:tcPr>
          <w:p>
            <w:r/>
            <w:r>
              <w:rPr>
                <w:b/>
                <w:color w:val="FFFFFF"/>
                <w:sz w:val="17"/>
              </w:rPr>
              <w:t>ADR leg</w:t>
            </w:r>
          </w:p>
        </w:tc>
        <w:tc>
          <w:tcPr>
            <w:tcW w:type="dxa" w:w="1304"/>
            <w:shd w:val="clear" w:color="auto" w:fill="1F3A5F"/>
          </w:tcPr>
          <w:p>
            <w:r/>
            <w:r>
              <w:rPr>
                <w:b/>
                <w:color w:val="FFFFFF"/>
                <w:sz w:val="17"/>
              </w:rPr>
              <w:t>HK leg</w:t>
            </w:r>
          </w:p>
        </w:tc>
        <w:tc>
          <w:tcPr>
            <w:tcW w:type="dxa" w:w="1304"/>
            <w:shd w:val="clear" w:color="auto" w:fill="1F3A5F"/>
          </w:tcPr>
          <w:p>
            <w:r/>
            <w:r>
              <w:rPr>
                <w:b/>
                <w:color w:val="FFFFFF"/>
                <w:sz w:val="17"/>
              </w:rPr>
              <w:t>Bridge (HTI)</w:t>
            </w:r>
          </w:p>
        </w:tc>
        <w:tc>
          <w:tcPr>
            <w:tcW w:type="dxa" w:w="1644"/>
            <w:shd w:val="clear" w:color="auto" w:fill="1F3A5F"/>
          </w:tcPr>
          <w:p>
            <w:r/>
            <w:r>
              <w:rPr>
                <w:b/>
                <w:color w:val="FFFFFF"/>
                <w:sz w:val="17"/>
              </w:rPr>
              <w:t>Fee / carry</w:t>
            </w:r>
          </w:p>
        </w:tc>
        <w:tc>
          <w:tcPr>
            <w:tcW w:type="dxa" w:w="907"/>
            <w:shd w:val="clear" w:color="auto" w:fill="1F3A5F"/>
          </w:tcPr>
          <w:p>
            <w:r/>
            <w:r>
              <w:rPr>
                <w:b/>
                <w:color w:val="FFFFFF"/>
                <w:sz w:val="17"/>
              </w:rPr>
              <w:t>Total</w:t>
            </w:r>
          </w:p>
        </w:tc>
      </w:tr>
      <w:tr>
        <w:tc>
          <w:tcPr>
            <w:tcW w:type="dxa" w:w="2835"/>
          </w:tcPr>
          <w:p>
            <w:r/>
            <w:r>
              <w:rPr>
                <w:b/>
                <w:sz w:val="17"/>
              </w:rPr>
              <w:t>(a) Two-leg pair, both legs traded twice in the market (what v32/v33 model)</w:t>
            </w:r>
          </w:p>
        </w:tc>
        <w:tc>
          <w:tcPr>
            <w:tcW w:type="dxa" w:w="1304"/>
          </w:tcPr>
          <w:p>
            <w:r/>
            <w:r>
              <w:rPr>
                <w:sz w:val="17"/>
              </w:rPr>
              <w:t>4 fees + 3 spread = 7</w:t>
            </w:r>
          </w:p>
        </w:tc>
        <w:tc>
          <w:tcPr>
            <w:tcW w:type="dxa" w:w="1304"/>
          </w:tcPr>
          <w:p>
            <w:r/>
            <w:r>
              <w:rPr>
                <w:sz w:val="17"/>
              </w:rPr>
              <w:t>26 fees + 10 spread = 36</w:t>
            </w:r>
          </w:p>
        </w:tc>
        <w:tc>
          <w:tcPr>
            <w:tcW w:type="dxa" w:w="1304"/>
          </w:tcPr>
          <w:p>
            <w:r/>
            <w:r>
              <w:rPr>
                <w:sz w:val="17"/>
              </w:rPr>
              <w:t>2 crossings x ~5 = 10</w:t>
            </w:r>
          </w:p>
        </w:tc>
        <w:tc>
          <w:tcPr>
            <w:tcW w:type="dxa" w:w="1644"/>
          </w:tcPr>
          <w:p>
            <w:r/>
            <w:r>
              <w:rPr>
                <w:sz w:val="17"/>
              </w:rPr>
              <w:t>FX 2, net carry ~2</w:t>
            </w:r>
          </w:p>
        </w:tc>
        <w:tc>
          <w:tcPr>
            <w:tcW w:type="dxa" w:w="907"/>
          </w:tcPr>
          <w:p>
            <w:r/>
            <w:r>
              <w:rPr>
                <w:sz w:val="17"/>
              </w:rPr>
              <w:t>~57</w:t>
            </w:r>
          </w:p>
        </w:tc>
      </w:tr>
      <w:tr>
        <w:tc>
          <w:tcPr>
            <w:tcW w:type="dxa" w:w="2835"/>
            <w:shd w:val="clear" w:color="auto" w:fill="F2F5F9"/>
          </w:tcPr>
          <w:p>
            <w:r/>
            <w:r>
              <w:rPr>
                <w:b/>
                <w:sz w:val="17"/>
              </w:rPr>
              <w:t>(b) Enter as a pair, EXIT BY CONVERSION (cancel the bought ADR against the short HK line, or issue ADRs from bought HK shares)</w:t>
            </w:r>
          </w:p>
        </w:tc>
        <w:tc>
          <w:tcPr>
            <w:tcW w:type="dxa" w:w="1304"/>
            <w:shd w:val="clear" w:color="auto" w:fill="F2F5F9"/>
          </w:tcPr>
          <w:p>
            <w:r/>
            <w:r>
              <w:rPr>
                <w:sz w:val="17"/>
              </w:rPr>
              <w:t>2 + 1.5 = 3.5</w:t>
            </w:r>
          </w:p>
        </w:tc>
        <w:tc>
          <w:tcPr>
            <w:tcW w:type="dxa" w:w="1304"/>
            <w:shd w:val="clear" w:color="auto" w:fill="F2F5F9"/>
          </w:tcPr>
          <w:p>
            <w:r/>
            <w:r>
              <w:rPr>
                <w:sz w:val="17"/>
              </w:rPr>
              <w:t>13 + 5 = 18</w:t>
            </w:r>
          </w:p>
        </w:tc>
        <w:tc>
          <w:tcPr>
            <w:tcW w:type="dxa" w:w="1304"/>
            <w:shd w:val="clear" w:color="auto" w:fill="F2F5F9"/>
          </w:tcPr>
          <w:p>
            <w:r/>
            <w:r>
              <w:rPr>
                <w:sz w:val="17"/>
              </w:rPr>
              <w:t>5</w:t>
            </w:r>
          </w:p>
        </w:tc>
        <w:tc>
          <w:tcPr>
            <w:tcW w:type="dxa" w:w="1644"/>
            <w:shd w:val="clear" w:color="auto" w:fill="F2F5F9"/>
          </w:tcPr>
          <w:p>
            <w:r/>
            <w:r>
              <w:rPr>
                <w:sz w:val="17"/>
              </w:rPr>
              <w:t>fee 0.5, FX 1, carry incl. 3 extra days ~4</w:t>
            </w:r>
          </w:p>
        </w:tc>
        <w:tc>
          <w:tcPr>
            <w:tcW w:type="dxa" w:w="907"/>
            <w:shd w:val="clear" w:color="auto" w:fill="F2F5F9"/>
          </w:tcPr>
          <w:p>
            <w:r/>
            <w:r>
              <w:rPr>
                <w:sz w:val="17"/>
              </w:rPr>
              <w:t>~32</w:t>
            </w:r>
          </w:p>
        </w:tc>
      </w:tr>
      <w:tr>
        <w:tc>
          <w:tcPr>
            <w:tcW w:type="dxa" w:w="2835"/>
          </w:tcPr>
          <w:p>
            <w:r/>
            <w:r>
              <w:rPr>
                <w:b/>
                <w:sz w:val="17"/>
              </w:rPr>
              <w:t>(c) Pure conversion arbitrage: buy the cheap line, convert, sell the rich line</w:t>
            </w:r>
          </w:p>
        </w:tc>
        <w:tc>
          <w:tcPr>
            <w:tcW w:type="dxa" w:w="1304"/>
          </w:tcPr>
          <w:p>
            <w:r/>
            <w:r>
              <w:rPr>
                <w:sz w:val="17"/>
              </w:rPr>
              <w:t>3.5</w:t>
            </w:r>
          </w:p>
        </w:tc>
        <w:tc>
          <w:tcPr>
            <w:tcW w:type="dxa" w:w="1304"/>
          </w:tcPr>
          <w:p>
            <w:r/>
            <w:r>
              <w:rPr>
                <w:sz w:val="17"/>
              </w:rPr>
              <w:t>18</w:t>
            </w:r>
          </w:p>
        </w:tc>
        <w:tc>
          <w:tcPr>
            <w:tcW w:type="dxa" w:w="1304"/>
          </w:tcPr>
          <w:p>
            <w:r/>
            <w:r>
              <w:rPr>
                <w:sz w:val="17"/>
              </w:rPr>
              <w:t>0</w:t>
            </w:r>
          </w:p>
        </w:tc>
        <w:tc>
          <w:tcPr>
            <w:tcW w:type="dxa" w:w="1644"/>
          </w:tcPr>
          <w:p>
            <w:r/>
            <w:r>
              <w:rPr>
                <w:sz w:val="17"/>
              </w:rPr>
              <w:t>fee 0.5, FX 1, carry ~3</w:t>
            </w:r>
          </w:p>
        </w:tc>
        <w:tc>
          <w:tcPr>
            <w:tcW w:type="dxa" w:w="907"/>
          </w:tcPr>
          <w:p>
            <w:r/>
            <w:r>
              <w:rPr>
                <w:sz w:val="17"/>
              </w:rPr>
              <w:t>~26</w:t>
            </w:r>
          </w:p>
        </w:tc>
      </w:tr>
    </w:tbl>
    <w:p>
      <w:pPr>
        <w:spacing w:after="40"/>
      </w:pPr>
    </w:p>
    <w:p>
      <w:pPr>
        <w:spacing w:after="80"/>
      </w:pPr>
      <w:r>
        <w:rPr>
          <w:i w:val="0"/>
        </w:rPr>
        <w:t>So the no-arbitrage band for a fungible HK ADR is roughly +/-25-30 bps around parity, which is the low end of the 20-85 bps bands the cross-listing literature measures. Anything inside the band is noise; anything outside it is a trade only if you can convert or can hold both legs at the same time.</w:t>
      </w:r>
    </w:p>
    <w:p>
      <w:pPr>
        <w:pStyle w:val="Heading1"/>
      </w:pPr>
      <w:r>
        <w:t>6. What to trade instead: HK ideas, ranked</w:t>
      </w:r>
    </w:p>
    <w:p>
      <w:pPr>
        <w:spacing w:after="80"/>
      </w:pPr>
      <w:r>
        <w:rPr>
          <w:i w:val="0"/>
        </w:rPr>
        <w:t>Ranking rule: the gap must be created by something you can name (a flow, a rule, a clock), both legs must be executable at the size the gap pays for, and the round trip must be the conversion-band cost, not the two-leg cost. Each idea ends with a verdict: DO (build), TEST (measure first, cheap), SKIP.</w:t>
      </w:r>
    </w:p>
    <w:p>
      <w:pPr>
        <w:pStyle w:val="Heading2"/>
      </w:pPr>
      <w:r>
        <w:t>6.1  Same-time parity arbitrage in the US overnight session (the only real overlap)</w:t>
      </w:r>
    </w:p>
    <w:p>
      <w:pPr>
        <w:spacing w:after="80"/>
      </w:pPr>
      <w:r>
        <w:rPr>
          <w:i w:val="0"/>
        </w:rPr>
        <w:t>Logic:</w:t>
      </w:r>
    </w:p>
    <w:p>
      <w:pPr>
        <w:tabs>
          <w:tab w:pos="425" w:val="left"/>
        </w:tabs>
        <w:spacing w:after="60"/>
        <w:ind w:left="425" w:hanging="425"/>
      </w:pPr>
      <w:r>
        <w:rPr>
          <w:b/>
        </w:rPr>
        <w:t>1.</w:t>
        <w:tab/>
      </w:r>
      <w:r>
        <w:rPr>
          <w:b/>
        </w:rPr>
        <w:t xml:space="preserve">During HK hours the ADR already trades. </w:t>
      </w:r>
      <w:r>
        <w:t>Blue Ocean and MOON run 20:00-04:00 ET (08:00-16:00 HKT summer, 09:00-17:00 winter); from 6 Dec 2026 Nasdaq and NYSE Arca run 21:00-04:00 ET on their own books. 9988 is live at the same minute, so premium = ADR / (9988 x 8 / USDHKD) - 1 is a real number with a bid and an ask on both sides.</w:t>
      </w:r>
    </w:p>
    <w:p>
      <w:pPr>
        <w:tabs>
          <w:tab w:pos="425" w:val="left"/>
        </w:tabs>
        <w:spacing w:after="60"/>
        <w:ind w:left="425" w:hanging="425"/>
      </w:pPr>
      <w:r>
        <w:rPr>
          <w:b/>
        </w:rPr>
        <w:t>2.</w:t>
        <w:tab/>
      </w:r>
      <w:r>
        <w:rPr>
          <w:b/>
        </w:rPr>
        <w:t xml:space="preserve">The overnight flow is retail from Asia, anchored on the US close, not on the live HK print. </w:t>
      </w:r>
      <w:r>
        <w:t>75-80% of Blue Ocean volume is Asia-Pacific; Korean brokers are wired in, Robinhood's 24-hour market routes there. A HK retail buyer of BABA at 10:00 HKT is pricing off yesterday's US close plus headlines, while 9988 has already moved. That is the mechanism for a gap that is not news. Hong &amp; Susmel found the profit in Asian ADR pairs came from the ADR leg and fell as liquidity rose; the overnight book is the least liquid ADR venue there is.</w:t>
      </w:r>
    </w:p>
    <w:p>
      <w:pPr>
        <w:tabs>
          <w:tab w:pos="425" w:val="left"/>
        </w:tabs>
        <w:spacing w:after="60"/>
        <w:ind w:left="425" w:hanging="425"/>
      </w:pPr>
      <w:r>
        <w:rPr>
          <w:b/>
        </w:rPr>
        <w:t>3.</w:t>
        <w:tab/>
      </w:r>
      <w:r>
        <w:rPr>
          <w:b/>
        </w:rPr>
        <w:t xml:space="preserve">The two legs can be done simultaneously, so no bridge, no beta, no overnight residual. </w:t>
      </w:r>
      <w:r>
        <w:t>FX is pegged. The only costs are the two commissions, the two spreads and, if you convert, US$0.05 per ADS: the ~26-33 bps band in section 5.</w:t>
      </w:r>
    </w:p>
    <w:p>
      <w:pPr>
        <w:tabs>
          <w:tab w:pos="425" w:val="left"/>
        </w:tabs>
        <w:spacing w:after="60"/>
        <w:ind w:left="425" w:hanging="425"/>
      </w:pPr>
      <w:r>
        <w:rPr>
          <w:b/>
        </w:rPr>
        <w:t>4.</w:t>
        <w:tab/>
      </w:r>
      <w:r>
        <w:rPr>
          <w:b/>
        </w:rPr>
        <w:t xml:space="preserve">Capacity is the unknown, and it grows on 6 Dec. </w:t>
      </w:r>
      <w:r>
        <w:t>Blue Ocean does US$3.5bn a night across 8,000 symbols; the China-ADR share is unpublished. When Nasdaq/Arca open their overnight sessions the same Asian retail order flow migrates to lit exchange books with 20% static bands and no auction, which is exactly where a liquidity provider wants it.</w:t>
      </w:r>
    </w:p>
    <w:p>
      <w:pPr>
        <w:spacing w:after="80"/>
      </w:pPr>
      <w:r>
        <w:rPr>
          <w:i w:val="0"/>
        </w:rPr>
        <w:t>Execution:</w:t>
      </w:r>
    </w:p>
    <w:p>
      <w:pPr>
        <w:pStyle w:val="ListBullet"/>
        <w:spacing w:after="40"/>
      </w:pPr>
      <w:r>
        <w:t>Access: an NYSE Arca / Nasdaq member broker-dealer that routes to the Overnight Session (and to Blue Ocean/MOON today). Overnight prints are flagged T (not last-sale), trade date rolls at midnight ET, settlement is T+1 off that date.</w:t>
      </w:r>
    </w:p>
    <w:p>
      <w:pPr>
        <w:pStyle w:val="ListBullet"/>
        <w:spacing w:after="40"/>
      </w:pPr>
      <w:r>
        <w:t>Signal: live premium vs the HKEX order book, thresholds at the conversion band (+/-30 bps) and at the two-leg band (+/-60 bps).</w:t>
      </w:r>
    </w:p>
    <w:p>
      <w:pPr>
        <w:pStyle w:val="ListBullet"/>
        <w:spacing w:after="40"/>
      </w:pPr>
      <w:r>
        <w:t>Legs: sell the rich line at the touch, buy the cheap line at the touch, same second. HK leg through the desk's normal DMA; stamp applies.</w:t>
      </w:r>
    </w:p>
    <w:p>
      <w:pPr>
        <w:pStyle w:val="ListBullet"/>
        <w:spacing w:after="40"/>
      </w:pPr>
      <w:r>
        <w:t>Exit A (premium normalises before 04:00 ET): unwind both legs, two-leg cost ~60 bps, needs an entry gap of ~80 bps or more.</w:t>
      </w:r>
    </w:p>
    <w:p>
      <w:pPr>
        <w:pStyle w:val="ListBullet"/>
        <w:spacing w:after="40"/>
      </w:pPr>
      <w:r>
        <w:t>Exit B (premium persists): convert. Deposit the HK shares with Citi HK (12:00 HKT cut-off at launch; verify), receive ADSs in ~2 business days, deliver against the short. Cost ~33 bps; needs an entry gap of ~40 bps or more.</w:t>
      </w:r>
    </w:p>
    <w:p>
      <w:pPr>
        <w:pStyle w:val="ListBullet"/>
        <w:spacing w:after="40"/>
      </w:pPr>
      <w:r>
        <w:t>Size: whatever the overnight book shows at the touch; expect a few thousand ADSs per print today, more after December.</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041"/>
            <w:shd w:val="clear" w:color="auto" w:fill="1F3A5F"/>
          </w:tcPr>
          <w:p>
            <w:r/>
            <w:r>
              <w:rPr>
                <w:b/>
                <w:color w:val="FFFFFF"/>
                <w:sz w:val="17"/>
              </w:rPr>
              <w:t>Item</w:t>
            </w:r>
          </w:p>
        </w:tc>
        <w:tc>
          <w:tcPr>
            <w:tcW w:type="dxa" w:w="2494"/>
            <w:shd w:val="clear" w:color="auto" w:fill="1F3A5F"/>
          </w:tcPr>
          <w:p>
            <w:r/>
            <w:r>
              <w:rPr>
                <w:b/>
                <w:color w:val="FFFFFF"/>
                <w:sz w:val="17"/>
              </w:rPr>
              <w:t>Number</w:t>
            </w:r>
          </w:p>
        </w:tc>
        <w:tc>
          <w:tcPr>
            <w:tcW w:type="dxa" w:w="5102"/>
            <w:shd w:val="clear" w:color="auto" w:fill="1F3A5F"/>
          </w:tcPr>
          <w:p>
            <w:r/>
            <w:r>
              <w:rPr>
                <w:b/>
                <w:color w:val="FFFFFF"/>
                <w:sz w:val="17"/>
              </w:rPr>
              <w:t>Why it matters</w:t>
            </w:r>
          </w:p>
        </w:tc>
      </w:tr>
      <w:tr>
        <w:tc>
          <w:tcPr>
            <w:tcW w:type="dxa" w:w="2041"/>
          </w:tcPr>
          <w:p>
            <w:r/>
            <w:r>
              <w:rPr>
                <w:b/>
                <w:sz w:val="17"/>
              </w:rPr>
              <w:t>Two-leg round trip</w:t>
            </w:r>
          </w:p>
        </w:tc>
        <w:tc>
          <w:tcPr>
            <w:tcW w:type="dxa" w:w="2494"/>
          </w:tcPr>
          <w:p>
            <w:r/>
            <w:r>
              <w:rPr>
                <w:sz w:val="17"/>
              </w:rPr>
              <w:t>~60 bps</w:t>
            </w:r>
          </w:p>
        </w:tc>
        <w:tc>
          <w:tcPr>
            <w:tcW w:type="dxa" w:w="5102"/>
          </w:tcPr>
          <w:p>
            <w:r/>
            <w:r>
              <w:rPr>
                <w:sz w:val="17"/>
              </w:rPr>
              <w:t>Break-even for a same-night unwind</w:t>
            </w:r>
          </w:p>
        </w:tc>
      </w:tr>
      <w:tr>
        <w:tc>
          <w:tcPr>
            <w:tcW w:type="dxa" w:w="2041"/>
            <w:shd w:val="clear" w:color="auto" w:fill="F2F5F9"/>
          </w:tcPr>
          <w:p>
            <w:r/>
            <w:r>
              <w:rPr>
                <w:b/>
                <w:sz w:val="17"/>
              </w:rPr>
              <w:t>Conversion round trip</w:t>
            </w:r>
          </w:p>
        </w:tc>
        <w:tc>
          <w:tcPr>
            <w:tcW w:type="dxa" w:w="2494"/>
            <w:shd w:val="clear" w:color="auto" w:fill="F2F5F9"/>
          </w:tcPr>
          <w:p>
            <w:r/>
            <w:r>
              <w:rPr>
                <w:sz w:val="17"/>
              </w:rPr>
              <w:t>~33 bps (pair) / ~26 bps (pure)</w:t>
            </w:r>
          </w:p>
        </w:tc>
        <w:tc>
          <w:tcPr>
            <w:tcW w:type="dxa" w:w="5102"/>
            <w:shd w:val="clear" w:color="auto" w:fill="F2F5F9"/>
          </w:tcPr>
          <w:p>
            <w:r/>
            <w:r>
              <w:rPr>
                <w:sz w:val="17"/>
              </w:rPr>
              <w:t>Break-even when you convert instead of unwinding</w:t>
            </w:r>
          </w:p>
        </w:tc>
      </w:tr>
      <w:tr>
        <w:tc>
          <w:tcPr>
            <w:tcW w:type="dxa" w:w="2041"/>
          </w:tcPr>
          <w:p>
            <w:r/>
            <w:r>
              <w:rPr>
                <w:b/>
                <w:sz w:val="17"/>
              </w:rPr>
              <w:t>Depositary fee</w:t>
            </w:r>
          </w:p>
        </w:tc>
        <w:tc>
          <w:tcPr>
            <w:tcW w:type="dxa" w:w="2494"/>
          </w:tcPr>
          <w:p>
            <w:r/>
            <w:r>
              <w:rPr>
                <w:sz w:val="17"/>
              </w:rPr>
              <w:t>US$0.05 per ADS, ~0.4 bps on BABA, ~2 bps on a US$25 ADS</w:t>
            </w:r>
          </w:p>
        </w:tc>
        <w:tc>
          <w:tcPr>
            <w:tcW w:type="dxa" w:w="5102"/>
          </w:tcPr>
          <w:p>
            <w:r/>
            <w:r>
              <w:rPr>
                <w:sz w:val="17"/>
              </w:rPr>
              <w:t>Fixed cash fee, so cheap names pay more in bps</w:t>
            </w:r>
          </w:p>
        </w:tc>
      </w:tr>
      <w:tr>
        <w:tc>
          <w:tcPr>
            <w:tcW w:type="dxa" w:w="2041"/>
            <w:shd w:val="clear" w:color="auto" w:fill="F2F5F9"/>
          </w:tcPr>
          <w:p>
            <w:r/>
            <w:r>
              <w:rPr>
                <w:b/>
                <w:sz w:val="17"/>
              </w:rPr>
              <w:t>Conversion time</w:t>
            </w:r>
          </w:p>
        </w:tc>
        <w:tc>
          <w:tcPr>
            <w:tcW w:type="dxa" w:w="2494"/>
            <w:shd w:val="clear" w:color="auto" w:fill="F2F5F9"/>
          </w:tcPr>
          <w:p>
            <w:r/>
            <w:r>
              <w:rPr>
                <w:sz w:val="17"/>
              </w:rPr>
              <w:t>~2 HK/US business days electronically</w:t>
            </w:r>
          </w:p>
        </w:tc>
        <w:tc>
          <w:tcPr>
            <w:tcW w:type="dxa" w:w="5102"/>
            <w:shd w:val="clear" w:color="auto" w:fill="F2F5F9"/>
          </w:tcPr>
          <w:p>
            <w:r/>
            <w:r>
              <w:rPr>
                <w:sz w:val="17"/>
              </w:rPr>
              <w:t>Days of one-legged funding to budget</w:t>
            </w:r>
          </w:p>
        </w:tc>
      </w:tr>
      <w:tr>
        <w:tc>
          <w:tcPr>
            <w:tcW w:type="dxa" w:w="2041"/>
          </w:tcPr>
          <w:p>
            <w:r/>
            <w:r>
              <w:rPr>
                <w:b/>
                <w:sz w:val="17"/>
              </w:rPr>
              <w:t>Overnight price band</w:t>
            </w:r>
          </w:p>
        </w:tc>
        <w:tc>
          <w:tcPr>
            <w:tcW w:type="dxa" w:w="2494"/>
          </w:tcPr>
          <w:p>
            <w:r/>
            <w:r>
              <w:rPr>
                <w:sz w:val="17"/>
              </w:rPr>
              <w:t>Static 20% (Arca/Nasdaq), +/-5-6% on HTI after-hours</w:t>
            </w:r>
          </w:p>
        </w:tc>
        <w:tc>
          <w:tcPr>
            <w:tcW w:type="dxa" w:w="5102"/>
          </w:tcPr>
          <w:p>
            <w:r/>
            <w:r>
              <w:rPr>
                <w:sz w:val="17"/>
              </w:rPr>
              <w:t>No LULD; fat-finger prints are not busted overnight</w:t>
            </w:r>
          </w:p>
        </w:tc>
      </w:tr>
      <w:tr>
        <w:tc>
          <w:tcPr>
            <w:tcW w:type="dxa" w:w="2041"/>
            <w:shd w:val="clear" w:color="auto" w:fill="F2F5F9"/>
          </w:tcPr>
          <w:p>
            <w:r/>
            <w:r>
              <w:rPr>
                <w:b/>
                <w:sz w:val="17"/>
              </w:rPr>
              <w:t>Blue Ocean total</w:t>
            </w:r>
          </w:p>
        </w:tc>
        <w:tc>
          <w:tcPr>
            <w:tcW w:type="dxa" w:w="2494"/>
            <w:shd w:val="clear" w:color="auto" w:fill="F2F5F9"/>
          </w:tcPr>
          <w:p>
            <w:r/>
            <w:r>
              <w:rPr>
                <w:sz w:val="17"/>
              </w:rPr>
              <w:t>130m shares / US$3.5bn a night (Mar 2026)</w:t>
            </w:r>
          </w:p>
        </w:tc>
        <w:tc>
          <w:tcPr>
            <w:tcW w:type="dxa" w:w="5102"/>
            <w:shd w:val="clear" w:color="auto" w:fill="F2F5F9"/>
          </w:tcPr>
          <w:p>
            <w:r/>
            <w:r>
              <w:rPr>
                <w:sz w:val="17"/>
              </w:rPr>
              <w:t>Ceiling for today; BABA share unknown</w:t>
            </w:r>
          </w:p>
        </w:tc>
      </w:tr>
    </w:tbl>
    <w:p>
      <w:pPr>
        <w:spacing w:after="40"/>
      </w:pPr>
    </w:p>
    <w:p>
      <w:pPr>
        <w:spacing w:after="80"/>
      </w:pPr>
      <w:r>
        <w:rPr>
          <w:i w:val="0"/>
        </w:rPr>
        <w:t>Two-week test:</w:t>
      </w:r>
    </w:p>
    <w:p>
      <w:pPr>
        <w:pStyle w:val="ListBullet"/>
        <w:spacing w:after="40"/>
      </w:pPr>
      <w:r>
        <w:t>Capture 10 sessions of overnight quotes and prints for BABA, JD, BIDU, NTES, TCOM, BILI, XPEV, LI against the live HKEX top of book (Bloomberg intraday for the HK lines; Tiingo or the broker feed for Blue Ocean/MOON prints).</w:t>
      </w:r>
    </w:p>
    <w:p>
      <w:pPr>
        <w:pStyle w:val="ListBullet"/>
        <w:spacing w:after="40"/>
      </w:pPr>
      <w:r>
        <w:t>Report per name: minutes per session with |premium| &gt; 30 bps and &gt; 60 bps, the depth available at those minutes, and how long the gap lasts.</w:t>
      </w:r>
    </w:p>
    <w:p>
      <w:pPr>
        <w:pStyle w:val="ListBullet"/>
        <w:spacing w:after="40"/>
      </w:pPr>
      <w:r>
        <w:t>Ask the broker for Overnight Session membership and the December test dates (industry tests 2, 16, 30 Oct; 6, 20 Nov; 4 Dec).</w:t>
      </w:r>
    </w:p>
    <w:p>
      <w:pPr>
        <w:pStyle w:val="ListBullet"/>
        <w:spacing w:after="40"/>
      </w:pPr>
      <w:r>
        <w:t>Confirm with Citi the current deposit/cancellation cut-offs, the fee, and the stamp-duty treatment of the conversion leg (Alibaba's own prospectus calls it unclear).</w:t>
      </w:r>
    </w:p>
    <w:tbl>
      <w:tblPr>
        <w:tblStyle w:val="TableGrid"/>
        <w:tblW w:type="auto" w:w="0"/>
        <w:tblLook w:firstColumn="1" w:firstRow="1" w:lastColumn="0" w:lastRow="0" w:noHBand="0" w:noVBand="1" w:val="04A0"/>
      </w:tblPr>
      <w:tblGrid>
        <w:gridCol w:w="9972"/>
      </w:tblGrid>
      <w:tr>
        <w:tc>
          <w:tcPr>
            <w:tcW w:type="dxa" w:w="9638"/>
            <w:shd w:val="clear" w:color="auto" w:fill="FFF4D6"/>
          </w:tcPr>
          <w:p>
            <w:r/>
            <w:r>
              <w:rPr>
                <w:b/>
                <w:color w:val="9A6A00"/>
                <w:sz w:val="19"/>
              </w:rPr>
              <w:t xml:space="preserve">VERDICT.  </w:t>
            </w:r>
            <w:r>
              <w:rPr>
                <w:sz w:val="19"/>
              </w:rPr>
              <w:t>TEST now, build the pipes before 6 Dec 2026. This is the one version of the ADR-vs-HK trade where the premium is observed, not projected, and where the cost is the conversion band. Everything hangs on the measured overnight premium distribution and depth, which nobody has published.</w:t>
            </w:r>
          </w:p>
        </w:tc>
      </w:tr>
    </w:tbl>
    <w:p>
      <w:pPr>
        <w:spacing w:after="40"/>
      </w:pPr>
    </w:p>
    <w:p>
      <w:pPr>
        <w:pStyle w:val="Heading2"/>
      </w:pPr>
      <w:r>
        <w:t>6.2  Guaranteed-conversion service: sell the overnight gap to clients instead of hunting it</w:t>
      </w:r>
    </w:p>
    <w:p>
      <w:pPr>
        <w:spacing w:after="80"/>
      </w:pPr>
      <w:r>
        <w:rPr>
          <w:i w:val="0"/>
        </w:rPr>
        <w:t>Logic:</w:t>
      </w:r>
    </w:p>
    <w:p>
      <w:pPr>
        <w:tabs>
          <w:tab w:pos="425" w:val="left"/>
        </w:tabs>
        <w:spacing w:after="60"/>
        <w:ind w:left="425" w:hanging="425"/>
      </w:pPr>
      <w:r>
        <w:rPr>
          <w:b/>
        </w:rPr>
        <w:t>1.</w:t>
        <w:tab/>
      </w:r>
      <w:r>
        <w:rPr>
          <w:b/>
        </w:rPr>
        <w:t xml:space="preserve">Clients need to move between lines and cannot hold both legs across the gap. </w:t>
      </w:r>
      <w:r>
        <w:t>ADR holders convert to HK to escape delisting risk (HK holdings of the China complex rose ~30 points in three years to ~60% of market cap by May 2025, per Man Group); index and Connect changes force line switches (NetEase Jun 2026, Baidu Sep 2026, NIO next); ETF issuers and Southbound funds only hold the HK line.</w:t>
      </w:r>
    </w:p>
    <w:p>
      <w:pPr>
        <w:tabs>
          <w:tab w:pos="425" w:val="left"/>
        </w:tabs>
        <w:spacing w:after="60"/>
        <w:ind w:left="425" w:hanging="425"/>
      </w:pPr>
      <w:r>
        <w:rPr>
          <w:b/>
        </w:rPr>
        <w:t>2.</w:t>
        <w:tab/>
      </w:r>
      <w:r>
        <w:rPr>
          <w:b/>
        </w:rPr>
        <w:t xml:space="preserve">The gap is a timing constraint, not a mispricing, so the fair price is the desk's to set. </w:t>
      </w:r>
      <w:r>
        <w:t>Buy the client's ADRs at the US close, deliver HK shares at the next HK open at close x (1 + beta x HTI gap) plus a fee, or the mirror. The bridge is the HTI after-hours session to 03:00 HKT and the HK futures pre-open from 08:45 HKT; the naked window is the 1-2 hours before the US close plus 03:00-09:15 HKT.</w:t>
      </w:r>
    </w:p>
    <w:p>
      <w:pPr>
        <w:tabs>
          <w:tab w:pos="425" w:val="left"/>
        </w:tabs>
        <w:spacing w:after="60"/>
        <w:ind w:left="425" w:hanging="425"/>
      </w:pPr>
      <w:r>
        <w:rPr>
          <w:b/>
        </w:rPr>
        <w:t>3.</w:t>
        <w:tab/>
      </w:r>
      <w:r>
        <w:rPr>
          <w:b/>
        </w:rPr>
        <w:t xml:space="preserve">What you built is the risk engine for this. </w:t>
      </w:r>
      <w:r>
        <w:t>Rolling beta, the 08:00/19:00 UTC HTI captures, the [HK-H2] residual sigma, the cost model and the bridge sign table already exist in v32/v33. The fee is set from the residual sigma per ticket, and across many tickets it is earned, not gambled.</w:t>
      </w:r>
    </w:p>
    <w:p>
      <w:pPr>
        <w:spacing w:after="80"/>
      </w:pPr>
      <w:r>
        <w:rPr>
          <w:i w:val="0"/>
        </w:rPr>
        <w:t>Execution:</w:t>
      </w:r>
    </w:p>
    <w:p>
      <w:pPr>
        <w:pStyle w:val="ListBullet"/>
        <w:spacing w:after="40"/>
      </w:pPr>
      <w:r>
        <w:t>Quote a fixed spread (a starting point is the two-leg band, 40-60 bps, less for the liquid names) for close-to-open or open-to-close conversions.</w:t>
      </w:r>
    </w:p>
    <w:p>
      <w:pPr>
        <w:pStyle w:val="ListBullet"/>
        <w:spacing w:after="40"/>
      </w:pPr>
      <w:r>
        <w:t>Hedge the market delta with HTI in the after-hours session; take the residual on the book; convert the ADRs through the depositary in the background.</w:t>
      </w:r>
    </w:p>
    <w:p>
      <w:pPr>
        <w:pStyle w:val="ListBullet"/>
        <w:spacing w:after="40"/>
      </w:pPr>
      <w:r>
        <w:t>Report per ticket: fee earned, bridge cost, residual P&amp;L; and per month the hit rate of fee vs residual.</w:t>
      </w:r>
    </w:p>
    <w:p>
      <w:pPr>
        <w:spacing w:after="80"/>
      </w:pPr>
      <w:r>
        <w:rPr>
          <w:i w:val="0"/>
        </w:rPr>
        <w:t>Two-week test:</w:t>
      </w:r>
    </w:p>
    <w:p>
      <w:pPr>
        <w:pStyle w:val="ListBullet"/>
        <w:spacing w:after="40"/>
      </w:pPr>
      <w:r>
        <w:t>Count the flow: how many ADR&lt;-&gt;HK conversions did the desk or the depositary see per month in 2025-26, and who did them.</w:t>
      </w:r>
    </w:p>
    <w:p>
      <w:pPr>
        <w:pStyle w:val="ListBullet"/>
        <w:spacing w:after="40"/>
      </w:pPr>
      <w:r>
        <w:t>Run v33 in backtest mode with the entry rule replaced by "a ticket every day at the close" to get the distribution of the overnight residual per US$1m, which is the number the fee must clear.</w:t>
      </w:r>
    </w:p>
    <w:tbl>
      <w:tblPr>
        <w:tblStyle w:val="TableGrid"/>
        <w:tblW w:type="auto" w:w="0"/>
        <w:tblLook w:firstColumn="1" w:firstRow="1" w:lastColumn="0" w:lastRow="0" w:noHBand="0" w:noVBand="1" w:val="04A0"/>
      </w:tblPr>
      <w:tblGrid>
        <w:gridCol w:w="9972"/>
      </w:tblGrid>
      <w:tr>
        <w:tc>
          <w:tcPr>
            <w:tcW w:type="dxa" w:w="9638"/>
            <w:shd w:val="clear" w:color="auto" w:fill="E3F1E5"/>
          </w:tcPr>
          <w:p>
            <w:r/>
            <w:r>
              <w:rPr>
                <w:b/>
                <w:color w:val="1E7B34"/>
                <w:sz w:val="19"/>
              </w:rPr>
              <w:t xml:space="preserve">VERDICT.  </w:t>
            </w:r>
            <w:r>
              <w:rPr>
                <w:sz w:val="19"/>
              </w:rPr>
              <w:t>DO, if the desk has or can get the flow. This is what the v32 machinery is actually good for: pricing and hedging a known gap for a fee. The desk earns the spread on every ticket and the idiosyncratic residual averages out across tickets.</w:t>
            </w:r>
          </w:p>
        </w:tc>
      </w:tr>
    </w:tbl>
    <w:p>
      <w:pPr>
        <w:spacing w:after="40"/>
      </w:pPr>
    </w:p>
    <w:p>
      <w:pPr>
        <w:pStyle w:val="Heading2"/>
      </w:pPr>
      <w:r>
        <w:t>6.3  Flow-driven premium episodes: Southbound and dual-primary events</w:t>
      </w:r>
    </w:p>
    <w:p>
      <w:pPr>
        <w:spacing w:after="80"/>
      </w:pPr>
      <w:r>
        <w:rPr>
          <w:i w:val="0"/>
        </w:rPr>
        <w:t>Logic:</w:t>
      </w:r>
    </w:p>
    <w:p>
      <w:pPr>
        <w:tabs>
          <w:tab w:pos="425" w:val="left"/>
        </w:tabs>
        <w:spacing w:after="60"/>
        <w:ind w:left="425" w:hanging="425"/>
      </w:pPr>
      <w:r>
        <w:rPr>
          <w:b/>
        </w:rPr>
        <w:t>1.</w:t>
        <w:tab/>
      </w:r>
      <w:r>
        <w:rPr>
          <w:b/>
        </w:rPr>
        <w:t xml:space="preserve">Southbound investors can only buy the HK line; US holders can only sell the ADR. </w:t>
      </w:r>
      <w:r>
        <w:t>When both happen at once the HK line goes to a premium that conversion arbitrageurs close over days, not minutes. Mar 2025: 9988's monthly average premium over the ADR was 1.1% against a 0.19% average since Nov 2019; it touched 3.6% on 6 Mar 2025; JD's HK line averaged +1.4%; Li Auto went to ~1%. The BABA ADR traded 2.1% cheap that week, the widest since ~8% in 2022. Shares held through Connect sit in ChinaClear's account and cannot be converted into ADRs, so the HK-premium side has fewer arbitrageurs than the ADR-premium side.</w:t>
      </w:r>
    </w:p>
    <w:p>
      <w:pPr>
        <w:tabs>
          <w:tab w:pos="425" w:val="left"/>
        </w:tabs>
        <w:spacing w:after="60"/>
        <w:ind w:left="425" w:hanging="425"/>
      </w:pPr>
      <w:r>
        <w:rPr>
          <w:b/>
        </w:rPr>
        <w:t>2.</w:t>
        <w:tab/>
      </w:r>
      <w:r>
        <w:rPr>
          <w:b/>
        </w:rPr>
        <w:t xml:space="preserve">The calendar of such events is known in advance. </w:t>
      </w:r>
      <w:r>
        <w:t>Connect inclusion follows dual-primary conversion by a week (Baidu: dual-primary 1 Sep, Connect 7 Sep 2026; NetEase 30 Jun 2026). NIO said in Jun 2026 it is seeking a primary listing; JD, Trip.com and Tencent Music are not in Connect yet. Alibaba's inclusion (10 Sep 2024) put mainland investors at 15% of its volume within three months.</w:t>
      </w:r>
    </w:p>
    <w:p>
      <w:pPr>
        <w:tabs>
          <w:tab w:pos="425" w:val="left"/>
        </w:tabs>
        <w:spacing w:after="60"/>
        <w:ind w:left="425" w:hanging="425"/>
      </w:pPr>
      <w:r>
        <w:rPr>
          <w:b/>
        </w:rPr>
        <w:t>3.</w:t>
        <w:tab/>
      </w:r>
      <w:r>
        <w:rPr>
          <w:b/>
        </w:rPr>
        <w:t xml:space="preserve">The trade is the parity band with a named trigger. </w:t>
      </w:r>
      <w:r>
        <w:t>When the HK premium exceeds the conversion band AND Southbound net buying in the name is in its top decile (HKEX publishes it daily), short the HK line / buy the ADR and convert ADR to HK to deliver. The mirror in a US selloff (Apr 2025) is long the HK line / short the ADR, delivering HK shares into ADS issuance.</w:t>
      </w:r>
    </w:p>
    <w:p>
      <w:pPr>
        <w:spacing w:after="80"/>
      </w:pPr>
      <w:r>
        <w:rPr>
          <w:i w:val="0"/>
        </w:rPr>
        <w:t>Execution:</w:t>
      </w:r>
    </w:p>
    <w:p>
      <w:pPr>
        <w:pStyle w:val="ListBullet"/>
        <w:spacing w:after="40"/>
      </w:pPr>
      <w:r>
        <w:t>Data: daily HK close, ADR close, HTI 08:00/19:00 UTC snaps (already captured), HKEX Southbound daily net buy per stock, depositary book-closure dates.</w:t>
      </w:r>
    </w:p>
    <w:p>
      <w:pPr>
        <w:pStyle w:val="ListBullet"/>
        <w:spacing w:after="40"/>
      </w:pPr>
      <w:r>
        <w:t>Entry: premium &gt; 40 bps (conversion-exit break-even) with Southbound net buy in the top decile, or the mirror; exit by conversion in ~2 days or when the premium is back inside the band.</w:t>
      </w:r>
    </w:p>
    <w:p>
      <w:pPr>
        <w:pStyle w:val="ListBullet"/>
        <w:spacing w:after="40"/>
      </w:pPr>
      <w:r>
        <w:t>Hedge: none once both legs are on; the overnight bridge is HTI, as in v33.</w:t>
      </w:r>
    </w:p>
    <w:p>
      <w:pPr>
        <w:pStyle w:val="ListBullet"/>
        <w:spacing w:after="40"/>
      </w:pPr>
      <w:r>
        <w:t>Risk: conversion suspended around corporate actions (book closures), and the rare true wedge, a US divestment rule, where the discount does not close.</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041"/>
            <w:shd w:val="clear" w:color="auto" w:fill="1F3A5F"/>
          </w:tcPr>
          <w:p>
            <w:r/>
            <w:r>
              <w:rPr>
                <w:b/>
                <w:color w:val="FFFFFF"/>
                <w:sz w:val="17"/>
              </w:rPr>
              <w:t>Item</w:t>
            </w:r>
          </w:p>
        </w:tc>
        <w:tc>
          <w:tcPr>
            <w:tcW w:type="dxa" w:w="2494"/>
            <w:shd w:val="clear" w:color="auto" w:fill="1F3A5F"/>
          </w:tcPr>
          <w:p>
            <w:r/>
            <w:r>
              <w:rPr>
                <w:b/>
                <w:color w:val="FFFFFF"/>
                <w:sz w:val="17"/>
              </w:rPr>
              <w:t>Number</w:t>
            </w:r>
          </w:p>
        </w:tc>
        <w:tc>
          <w:tcPr>
            <w:tcW w:type="dxa" w:w="5102"/>
            <w:shd w:val="clear" w:color="auto" w:fill="1F3A5F"/>
          </w:tcPr>
          <w:p>
            <w:r/>
            <w:r>
              <w:rPr>
                <w:b/>
                <w:color w:val="FFFFFF"/>
                <w:sz w:val="17"/>
              </w:rPr>
              <w:t>Why it matters</w:t>
            </w:r>
          </w:p>
        </w:tc>
      </w:tr>
      <w:tr>
        <w:tc>
          <w:tcPr>
            <w:tcW w:type="dxa" w:w="2041"/>
          </w:tcPr>
          <w:p>
            <w:r/>
            <w:r>
              <w:rPr>
                <w:b/>
                <w:sz w:val="17"/>
              </w:rPr>
              <w:t>9988 premium over ADR, monthly avg Mar 2025</w:t>
            </w:r>
          </w:p>
        </w:tc>
        <w:tc>
          <w:tcPr>
            <w:tcW w:type="dxa" w:w="2494"/>
          </w:tcPr>
          <w:p>
            <w:r/>
            <w:r>
              <w:rPr>
                <w:sz w:val="17"/>
              </w:rPr>
              <w:t>+1.1% (110 bps); peak +3.6% on 6 Mar 2025</w:t>
            </w:r>
          </w:p>
        </w:tc>
        <w:tc>
          <w:tcPr>
            <w:tcW w:type="dxa" w:w="5102"/>
          </w:tcPr>
          <w:p>
            <w:r/>
            <w:r>
              <w:rPr>
                <w:sz w:val="17"/>
              </w:rPr>
              <w:t>Ten times the conversion band</w:t>
            </w:r>
          </w:p>
        </w:tc>
      </w:tr>
      <w:tr>
        <w:tc>
          <w:tcPr>
            <w:tcW w:type="dxa" w:w="2041"/>
            <w:shd w:val="clear" w:color="auto" w:fill="F2F5F9"/>
          </w:tcPr>
          <w:p>
            <w:r/>
            <w:r>
              <w:rPr>
                <w:b/>
                <w:sz w:val="17"/>
              </w:rPr>
              <w:t>Long-run average since Nov 2019</w:t>
            </w:r>
          </w:p>
        </w:tc>
        <w:tc>
          <w:tcPr>
            <w:tcW w:type="dxa" w:w="2494"/>
            <w:shd w:val="clear" w:color="auto" w:fill="F2F5F9"/>
          </w:tcPr>
          <w:p>
            <w:r/>
            <w:r>
              <w:rPr>
                <w:sz w:val="17"/>
              </w:rPr>
              <w:t>+0.19% (19 bps)</w:t>
            </w:r>
          </w:p>
        </w:tc>
        <w:tc>
          <w:tcPr>
            <w:tcW w:type="dxa" w:w="5102"/>
            <w:shd w:val="clear" w:color="auto" w:fill="F2F5F9"/>
          </w:tcPr>
          <w:p>
            <w:r/>
            <w:r>
              <w:rPr>
                <w:sz w:val="17"/>
              </w:rPr>
              <w:t>Inside the band; nothing to do on normal days</w:t>
            </w:r>
          </w:p>
        </w:tc>
      </w:tr>
      <w:tr>
        <w:tc>
          <w:tcPr>
            <w:tcW w:type="dxa" w:w="2041"/>
          </w:tcPr>
          <w:p>
            <w:r/>
            <w:r>
              <w:rPr>
                <w:b/>
                <w:sz w:val="17"/>
              </w:rPr>
              <w:t>BABA 5-year average</w:t>
            </w:r>
          </w:p>
        </w:tc>
        <w:tc>
          <w:tcPr>
            <w:tcW w:type="dxa" w:w="2494"/>
          </w:tcPr>
          <w:p>
            <w:r/>
            <w:r>
              <w:rPr>
                <w:sz w:val="17"/>
              </w:rPr>
              <w:t>0.1% ADR discount</w:t>
            </w:r>
          </w:p>
        </w:tc>
        <w:tc>
          <w:tcPr>
            <w:tcW w:type="dxa" w:w="5102"/>
          </w:tcPr>
          <w:p>
            <w:r/>
            <w:r>
              <w:rPr>
                <w:sz w:val="17"/>
              </w:rPr>
              <w:t>Same message</w:t>
            </w:r>
          </w:p>
        </w:tc>
      </w:tr>
      <w:tr>
        <w:tc>
          <w:tcPr>
            <w:tcW w:type="dxa" w:w="2041"/>
            <w:shd w:val="clear" w:color="auto" w:fill="F2F5F9"/>
          </w:tcPr>
          <w:p>
            <w:r/>
            <w:r>
              <w:rPr>
                <w:b/>
                <w:sz w:val="17"/>
              </w:rPr>
              <w:t>Southbound share of HK turnover</w:t>
            </w:r>
          </w:p>
        </w:tc>
        <w:tc>
          <w:tcPr>
            <w:tcW w:type="dxa" w:w="2494"/>
            <w:shd w:val="clear" w:color="auto" w:fill="F2F5F9"/>
          </w:tcPr>
          <w:p>
            <w:r/>
            <w:r>
              <w:rPr>
                <w:sz w:val="17"/>
              </w:rPr>
              <w:t>22% (1H 2026)</w:t>
            </w:r>
          </w:p>
        </w:tc>
        <w:tc>
          <w:tcPr>
            <w:tcW w:type="dxa" w:w="5102"/>
            <w:shd w:val="clear" w:color="auto" w:fill="F2F5F9"/>
          </w:tcPr>
          <w:p>
            <w:r/>
            <w:r>
              <w:rPr>
                <w:sz w:val="17"/>
              </w:rPr>
              <w:t>The buyer that cannot touch the ADR</w:t>
            </w:r>
          </w:p>
        </w:tc>
      </w:tr>
    </w:tbl>
    <w:p>
      <w:pPr>
        <w:spacing w:after="40"/>
      </w:pPr>
    </w:p>
    <w:p>
      <w:pPr>
        <w:spacing w:after="80"/>
      </w:pPr>
      <w:r>
        <w:rPr>
          <w:i w:val="0"/>
        </w:rPr>
        <w:t>Two-week test:</w:t>
      </w:r>
    </w:p>
    <w:p>
      <w:pPr>
        <w:pStyle w:val="ListBullet"/>
        <w:spacing w:after="40"/>
      </w:pPr>
      <w:r>
        <w:t>Build the daily premium series for the 10 listed pairs back to 2022 and mark the episodes (Mar 2022 delisting scare, Aug-Sep 2024 BABA inclusion, Mar and Apr 2025, Jun 2026 NTES, Sep 2026 BIDU).</w:t>
      </w:r>
    </w:p>
    <w:p>
      <w:pPr>
        <w:pStyle w:val="ListBullet"/>
        <w:spacing w:after="40"/>
      </w:pPr>
      <w:r>
        <w:t>For each: size, days above 40 bps, what closed it, and whether Southbound net buying led it by a day. That is the whole go/no-go.</w:t>
      </w:r>
    </w:p>
    <w:tbl>
      <w:tblPr>
        <w:tblStyle w:val="TableGrid"/>
        <w:tblW w:type="auto" w:w="0"/>
        <w:tblLook w:firstColumn="1" w:firstRow="1" w:lastColumn="0" w:lastRow="0" w:noHBand="0" w:noVBand="1" w:val="04A0"/>
      </w:tblPr>
      <w:tblGrid>
        <w:gridCol w:w="9972"/>
      </w:tblGrid>
      <w:tr>
        <w:tc>
          <w:tcPr>
            <w:tcW w:type="dxa" w:w="9638"/>
            <w:shd w:val="clear" w:color="auto" w:fill="FFF4D6"/>
          </w:tcPr>
          <w:p>
            <w:r/>
            <w:r>
              <w:rPr>
                <w:b/>
                <w:color w:val="9A6A00"/>
                <w:sz w:val="19"/>
              </w:rPr>
              <w:t xml:space="preserve">VERDICT.  </w:t>
            </w:r>
            <w:r>
              <w:rPr>
                <w:sz w:val="19"/>
              </w:rPr>
              <w:t>TEST with the daily series first; then trade with conversion capacity. The Mar 2025 episode was 100-360 bps for weeks, ten times the band, and the mechanism (one line has buyers the other cannot reach) is repeatable.</w:t>
            </w:r>
          </w:p>
        </w:tc>
      </w:tr>
    </w:tbl>
    <w:p>
      <w:pPr>
        <w:spacing w:after="40"/>
      </w:pPr>
    </w:p>
    <w:p>
      <w:pPr>
        <w:pStyle w:val="Heading2"/>
      </w:pPr>
      <w:r>
        <w:t>6.4  Index-rebalance close reversal through the ADR</w:t>
      </w:r>
    </w:p>
    <w:p>
      <w:pPr>
        <w:spacing w:after="80"/>
      </w:pPr>
      <w:r>
        <w:rPr>
          <w:i w:val="0"/>
        </w:rPr>
        <w:t>Logic:</w:t>
      </w:r>
    </w:p>
    <w:p>
      <w:pPr>
        <w:tabs>
          <w:tab w:pos="425" w:val="left"/>
        </w:tabs>
        <w:spacing w:after="60"/>
        <w:ind w:left="425" w:hanging="425"/>
      </w:pPr>
      <w:r>
        <w:rPr>
          <w:b/>
        </w:rPr>
        <w:t>1.</w:t>
        <w:tab/>
      </w:r>
      <w:r>
        <w:rPr>
          <w:b/>
        </w:rPr>
        <w:t xml:space="preserve">On rebalance days the HK closing auction carries the passive flow. </w:t>
      </w:r>
      <w:r>
        <w:t>HSI and HSTECH reviews take effect on a Monday in Mar/Jun/Sep/Dec; MSCI and FTSE quarterlies likewise; the CAS (16:00-16:10 HKT, random close, +/-5% of reference) is where index funds print. Southbound ETF flow is now HK$7bn a day.</w:t>
      </w:r>
    </w:p>
    <w:p>
      <w:pPr>
        <w:tabs>
          <w:tab w:pos="425" w:val="left"/>
        </w:tabs>
        <w:spacing w:after="60"/>
        <w:ind w:left="425" w:hanging="425"/>
      </w:pPr>
      <w:r>
        <w:rPr>
          <w:b/>
        </w:rPr>
        <w:t>2.</w:t>
        <w:tab/>
      </w:r>
      <w:r>
        <w:rPr>
          <w:b/>
        </w:rPr>
        <w:t xml:space="preserve">The ADR then trades for six hours on the undistorted price. </w:t>
      </w:r>
      <w:r>
        <w:t>If the CAS print was pushed up, the ADR that night sits below the CAS-implied fair, and 9988 reverts at the next open. The v32 premium at the US close measures exactly that, and on these days it is a real gap.</w:t>
      </w:r>
    </w:p>
    <w:p>
      <w:pPr>
        <w:tabs>
          <w:tab w:pos="425" w:val="left"/>
        </w:tabs>
        <w:spacing w:after="60"/>
        <w:ind w:left="425" w:hanging="425"/>
      </w:pPr>
      <w:r>
        <w:rPr>
          <w:b/>
        </w:rPr>
        <w:t>3.</w:t>
        <w:tab/>
      </w:r>
      <w:r>
        <w:rPr>
          <w:b/>
        </w:rPr>
        <w:t xml:space="preserve">The pair is the trade, the reversal is the profit. </w:t>
      </w:r>
      <w:r>
        <w:t>Sell 9988 into the CAS (you are the liquidity the passive buyer needs), buy the ADR at the US close, let the HK open converge, or convert. Costs are the conversion band; the edge is the CAS price pressure, typically tens of bps on the affected names.</w:t>
      </w:r>
    </w:p>
    <w:p>
      <w:pPr>
        <w:spacing w:after="80"/>
      </w:pPr>
      <w:r>
        <w:rPr>
          <w:i w:val="0"/>
        </w:rPr>
        <w:t>Execution:</w:t>
      </w:r>
    </w:p>
    <w:p>
      <w:pPr>
        <w:pStyle w:val="ListBullet"/>
        <w:spacing w:after="40"/>
      </w:pPr>
      <w:r>
        <w:t>Calendar: HSI/HSTECH effective dates, MSCI/FTSE effective dates, weight changes per name (from the index provider notices).</w:t>
      </w:r>
    </w:p>
    <w:p>
      <w:pPr>
        <w:pStyle w:val="ListBullet"/>
        <w:spacing w:after="40"/>
      </w:pPr>
      <w:r>
        <w:t>Signal: on those dates only, the v32/v33 premium at the US close; enter when it clears the band in the direction of the announced flow.</w:t>
      </w:r>
    </w:p>
    <w:p>
      <w:pPr>
        <w:pStyle w:val="ListBullet"/>
        <w:spacing w:after="40"/>
      </w:pPr>
      <w:r>
        <w:t>Legs: HK line in the CAS (at-auction limit orders), ADR at the US close (MOC), unwind at the next HK open or convert.</w:t>
      </w:r>
    </w:p>
    <w:p>
      <w:pPr>
        <w:spacing w:after="80"/>
      </w:pPr>
      <w:r>
        <w:rPr>
          <w:i w:val="0"/>
        </w:rPr>
        <w:t>Two-week test:</w:t>
      </w:r>
    </w:p>
    <w:p>
      <w:pPr>
        <w:pStyle w:val="ListBullet"/>
        <w:spacing w:after="40"/>
      </w:pPr>
      <w:r>
        <w:t>Pull the last 12 rebalance dates; for each affected pair compute CAS print vs the ADR-implied price that night and the next HK open. If the reversal is not at least 40 bps on average on the names with weight changes, drop it.</w:t>
      </w:r>
    </w:p>
    <w:tbl>
      <w:tblPr>
        <w:tblStyle w:val="TableGrid"/>
        <w:tblW w:type="auto" w:w="0"/>
        <w:tblLook w:firstColumn="1" w:firstRow="1" w:lastColumn="0" w:lastRow="0" w:noHBand="0" w:noVBand="1" w:val="04A0"/>
      </w:tblPr>
      <w:tblGrid>
        <w:gridCol w:w="9972"/>
      </w:tblGrid>
      <w:tr>
        <w:tc>
          <w:tcPr>
            <w:tcW w:type="dxa" w:w="9638"/>
            <w:shd w:val="clear" w:color="auto" w:fill="FFF4D6"/>
          </w:tcPr>
          <w:p>
            <w:r/>
            <w:r>
              <w:rPr>
                <w:b/>
                <w:color w:val="9A6A00"/>
                <w:sz w:val="19"/>
              </w:rPr>
              <w:t xml:space="preserve">VERDICT.  </w:t>
            </w:r>
            <w:r>
              <w:rPr>
                <w:sz w:val="19"/>
              </w:rPr>
              <w:t>TEST. This is the v32 signal restricted to the days when the HK close is distorted by a known flow, which is the only time the US-close deviation is a mispricing rather than news.</w:t>
            </w:r>
          </w:p>
        </w:tc>
      </w:tr>
    </w:tbl>
    <w:p>
      <w:pPr>
        <w:spacing w:after="40"/>
      </w:pPr>
    </w:p>
    <w:p>
      <w:pPr>
        <w:pStyle w:val="Heading2"/>
      </w:pPr>
      <w:r>
        <w:t>6.5  Earnings-day opening auction fade on the HK line</w:t>
      </w:r>
    </w:p>
    <w:p>
      <w:pPr>
        <w:spacing w:after="80"/>
      </w:pPr>
      <w:r>
        <w:rPr>
          <w:i w:val="0"/>
        </w:rPr>
        <w:t>Logic:</w:t>
      </w:r>
    </w:p>
    <w:p>
      <w:pPr>
        <w:tabs>
          <w:tab w:pos="425" w:val="left"/>
        </w:tabs>
        <w:spacing w:after="60"/>
        <w:ind w:left="425" w:hanging="425"/>
      </w:pPr>
      <w:r>
        <w:rPr>
          <w:b/>
        </w:rPr>
        <w:t>1.</w:t>
        <w:tab/>
      </w:r>
      <w:r>
        <w:rPr>
          <w:b/>
        </w:rPr>
        <w:t xml:space="preserve">China ADRs report before the US open (19:00-20:00 HKT) while HK is closed; Tencent and Meituan report after the HK close. </w:t>
      </w:r>
      <w:r>
        <w:t>Either way the ADR (or the OTC line) prices the print for hours before 9988 or 700 can trade.</w:t>
      </w:r>
    </w:p>
    <w:p>
      <w:pPr>
        <w:tabs>
          <w:tab w:pos="425" w:val="left"/>
        </w:tabs>
        <w:spacing w:after="60"/>
        <w:ind w:left="425" w:hanging="425"/>
      </w:pPr>
      <w:r>
        <w:rPr>
          <w:b/>
        </w:rPr>
        <w:t>2.</w:t>
        <w:tab/>
      </w:r>
      <w:r>
        <w:rPr>
          <w:b/>
        </w:rPr>
        <w:t xml:space="preserve">The HK pre-opening auction is a 15-minute order-input window with a +/-15% band and a random match at 09:20-09:22. </w:t>
      </w:r>
      <w:r>
        <w:t>Retail and Southbound orders set the IEP; the indicative price and imbalance are public from 09:00. At index level, HSI futures reverse intraday after large opening moves and the reversal grows with the size of the open (Fung &amp; Lam, 2004); HK overnight reversal is stronger on derivative-expiry days and after large orders just before the close (J. Financial Markets, 2022).</w:t>
      </w:r>
    </w:p>
    <w:p>
      <w:pPr>
        <w:tabs>
          <w:tab w:pos="425" w:val="left"/>
        </w:tabs>
        <w:spacing w:after="60"/>
        <w:ind w:left="425" w:hanging="425"/>
      </w:pPr>
      <w:r>
        <w:rPr>
          <w:b/>
        </w:rPr>
        <w:t>3.</w:t>
        <w:tab/>
      </w:r>
      <w:r>
        <w:rPr>
          <w:b/>
        </w:rPr>
        <w:t xml:space="preserve">Fair is known: ADR close x USDHKD / ratio, moved by beta x the HTI move from 19:00 UTC to the 09:15 HKT futures open. </w:t>
      </w:r>
      <w:r>
        <w:t>A deviation of the IEP from that fair by more than the stock-leg cost (stamp 10 + levies 1 + spread 5 = 16 bps one way) is a fade, hedged with HTI from 09:15 and unwound by 10:00 or held as a pair against the next US session.</w:t>
      </w:r>
    </w:p>
    <w:p>
      <w:pPr>
        <w:spacing w:after="80"/>
      </w:pPr>
      <w:r>
        <w:rPr>
          <w:i w:val="0"/>
        </w:rPr>
        <w:t>Execution:</w:t>
      </w:r>
    </w:p>
    <w:p>
      <w:pPr>
        <w:pStyle w:val="ListBullet"/>
        <w:spacing w:after="40"/>
      </w:pPr>
      <w:r>
        <w:t>Data: HK pre-opening IEP/IEV by the second (Bloomberg intraday keeps ~140 days for the HK lines; longer history needs the HKEX full-book file), HTI 09:15 prints, ADR closes.</w:t>
      </w:r>
    </w:p>
    <w:p>
      <w:pPr>
        <w:pStyle w:val="ListBullet"/>
        <w:spacing w:after="40"/>
      </w:pPr>
      <w:r>
        <w:t>Orders: at-auction limit orders in the last 30 seconds of the no-cancellation period, sized to the visible imbalance.</w:t>
      </w:r>
    </w:p>
    <w:p>
      <w:pPr>
        <w:pStyle w:val="ListBullet"/>
        <w:spacing w:after="40"/>
      </w:pPr>
      <w:r>
        <w:t>Exit: by 10:00 HKT if the print reverts, else carry as a pair into the US session.</w:t>
      </w:r>
    </w:p>
    <w:p>
      <w:pPr>
        <w:spacing w:after="80"/>
      </w:pPr>
      <w:r>
        <w:rPr>
          <w:i w:val="0"/>
        </w:rPr>
        <w:t>Two-week test:</w:t>
      </w:r>
    </w:p>
    <w:p>
      <w:pPr>
        <w:pStyle w:val="ListBullet"/>
        <w:spacing w:after="40"/>
      </w:pPr>
      <w:r>
        <w:t>Take the last 8 quarters of prints for the 10 pairs; measure IEP minus ADR-implied fair at 09:20 and the 09:30-10:00 return. Two hours of work with the terminal.</w:t>
      </w:r>
    </w:p>
    <w:tbl>
      <w:tblPr>
        <w:tblStyle w:val="TableGrid"/>
        <w:tblW w:type="auto" w:w="0"/>
        <w:tblLook w:firstColumn="1" w:firstRow="1" w:lastColumn="0" w:lastRow="0" w:noHBand="0" w:noVBand="1" w:val="04A0"/>
      </w:tblPr>
      <w:tblGrid>
        <w:gridCol w:w="9972"/>
      </w:tblGrid>
      <w:tr>
        <w:tc>
          <w:tcPr>
            <w:tcW w:type="dxa" w:w="9638"/>
            <w:shd w:val="clear" w:color="auto" w:fill="FFF4D6"/>
          </w:tcPr>
          <w:p>
            <w:r/>
            <w:r>
              <w:rPr>
                <w:b/>
                <w:color w:val="9A6A00"/>
                <w:sz w:val="19"/>
              </w:rPr>
              <w:t xml:space="preserve">VERDICT.  </w:t>
            </w:r>
            <w:r>
              <w:rPr>
                <w:sz w:val="19"/>
              </w:rPr>
              <w:t>TEST after measuring the auction. The ADR has already traded the print for a full session; the HK pre-opening auction is thin and retail-heavy. If the IEP deviates from the ADR-implied price, that is a mispricing you can name.</w:t>
            </w:r>
          </w:p>
        </w:tc>
      </w:tr>
    </w:tbl>
    <w:p>
      <w:pPr>
        <w:spacing w:after="40"/>
      </w:pPr>
    </w:p>
    <w:p>
      <w:pPr>
        <w:pStyle w:val="Heading2"/>
      </w:pPr>
      <w:r>
        <w:t>6.6  Cross-line borrow arbitrage with the SBL desk</w:t>
      </w:r>
    </w:p>
    <w:p>
      <w:pPr>
        <w:spacing w:after="80"/>
      </w:pPr>
      <w:r>
        <w:rPr>
          <w:i w:val="0"/>
        </w:rPr>
        <w:t>Logic:</w:t>
      </w:r>
    </w:p>
    <w:p>
      <w:pPr>
        <w:tabs>
          <w:tab w:pos="425" w:val="left"/>
        </w:tabs>
        <w:spacing w:after="60"/>
        <w:ind w:left="425" w:hanging="425"/>
      </w:pPr>
      <w:r>
        <w:rPr>
          <w:b/>
        </w:rPr>
        <w:t>1.</w:t>
        <w:tab/>
      </w:r>
      <w:r>
        <w:rPr>
          <w:b/>
        </w:rPr>
        <w:t xml:space="preserve">The ADR and the HK line have separate lending pools with different rates. </w:t>
      </w:r>
      <w:r>
        <w:t>Hard-to-borrow ADRs (NIO, XPEV, BILI on a squeeze) coexist with a cheap HK borrow, and the reverse when Southbound demand is heavy.</w:t>
      </w:r>
    </w:p>
    <w:p>
      <w:pPr>
        <w:tabs>
          <w:tab w:pos="425" w:val="left"/>
        </w:tabs>
        <w:spacing w:after="60"/>
        <w:ind w:left="425" w:hanging="425"/>
      </w:pPr>
      <w:r>
        <w:rPr>
          <w:b/>
        </w:rPr>
        <w:t>2.</w:t>
        <w:tab/>
      </w:r>
      <w:r>
        <w:rPr>
          <w:b/>
        </w:rPr>
        <w:t xml:space="preserve">Conversion moves supply from the cheap pool to the expensive one. </w:t>
      </w:r>
      <w:r>
        <w:t>Borrow the cheap line, convert (US$0.05/ADS, ~2 days), lend or cover in the expensive line. A 5-point annualised rate gap pays the ~26 bps one-way conversion in three weeks.</w:t>
      </w:r>
    </w:p>
    <w:p>
      <w:pPr>
        <w:spacing w:after="80"/>
      </w:pPr>
      <w:r>
        <w:rPr>
          <w:i w:val="0"/>
        </w:rPr>
        <w:t>Execution:</w:t>
      </w:r>
    </w:p>
    <w:p>
      <w:pPr>
        <w:pStyle w:val="ListBullet"/>
        <w:spacing w:after="40"/>
      </w:pPr>
      <w:r>
        <w:t>Monitor: daily SL rates both lines (Bloomberg SL fields, S3/Markit); alert when the gap exceeds 3 points annualised.</w:t>
      </w:r>
    </w:p>
    <w:p>
      <w:pPr>
        <w:pStyle w:val="ListBullet"/>
        <w:spacing w:after="40"/>
      </w:pPr>
      <w:r>
        <w:t>Execute through the SBL desk; the conversion is the same Citi process as idea 1.</w:t>
      </w:r>
    </w:p>
    <w:p>
      <w:pPr>
        <w:pStyle w:val="ListBullet"/>
        <w:spacing w:after="40"/>
      </w:pPr>
      <w:r>
        <w:t>Do it with real conversions. The 2018 SEC pre-release cases (US$427m of settlements across 13 firms, Citi, JPMorgan and BNY among them) were ADR lending without the underlying shares.</w:t>
      </w:r>
    </w:p>
    <w:p>
      <w:pPr>
        <w:spacing w:after="80"/>
      </w:pPr>
      <w:r>
        <w:rPr>
          <w:i w:val="0"/>
        </w:rPr>
        <w:t>Two-week test:</w:t>
      </w:r>
    </w:p>
    <w:p>
      <w:pPr>
        <w:pStyle w:val="ListBullet"/>
        <w:spacing w:after="40"/>
      </w:pPr>
      <w:r>
        <w:t>Pull 12 months of borrow rates for both lines of the 10 pairs; count days with a &gt;3-point gap and the average length of those windows.</w:t>
      </w:r>
    </w:p>
    <w:tbl>
      <w:tblPr>
        <w:tblStyle w:val="TableGrid"/>
        <w:tblW w:type="auto" w:w="0"/>
        <w:tblLook w:firstColumn="1" w:firstRow="1" w:lastColumn="0" w:lastRow="0" w:noHBand="0" w:noVBand="1" w:val="04A0"/>
      </w:tblPr>
      <w:tblGrid>
        <w:gridCol w:w="9972"/>
      </w:tblGrid>
      <w:tr>
        <w:tc>
          <w:tcPr>
            <w:tcW w:type="dxa" w:w="9638"/>
            <w:shd w:val="clear" w:color="auto" w:fill="E3F1E5"/>
          </w:tcPr>
          <w:p>
            <w:r/>
            <w:r>
              <w:rPr>
                <w:b/>
                <w:color w:val="1E7B34"/>
                <w:sz w:val="19"/>
              </w:rPr>
              <w:t xml:space="preserve">VERDICT.  </w:t>
            </w:r>
            <w:r>
              <w:rPr>
                <w:sz w:val="19"/>
              </w:rPr>
              <w:t>DO with the stock-loan desk. It is a flow product, not a signal; the conversion cost is the whole price.</w:t>
            </w:r>
          </w:p>
        </w:tc>
      </w:tr>
    </w:tbl>
    <w:p>
      <w:pPr>
        <w:spacing w:after="40"/>
      </w:pPr>
    </w:p>
    <w:p>
      <w:pPr>
        <w:pStyle w:val="Heading2"/>
      </w:pPr>
      <w:r>
        <w:t>6.7  Things that look like ideas and are not</w:t>
      </w:r>
    </w:p>
    <w:p>
      <w:pPr>
        <w:pStyle w:val="ListBullet"/>
        <w:spacing w:after="40"/>
      </w:pPr>
      <w:r>
        <w:rPr>
          <w:b/>
        </w:rPr>
        <w:t xml:space="preserve">US-hours ADR vs HTI intraday residual (the market-making version of v32). </w:t>
      </w:r>
      <w:r>
        <w:t>Both trade at once from the US open to 03:00 HKT, so it is executable, but the object is a single stock minus an index, which is news. HFT firms quote it already; a desk without co-location has no edge. SKIP.</w:t>
      </w:r>
    </w:p>
    <w:p>
      <w:pPr>
        <w:pStyle w:val="ListBullet"/>
        <w:spacing w:after="40"/>
      </w:pPr>
      <w:r>
        <w:rPr>
          <w:b/>
        </w:rPr>
        <w:t xml:space="preserve">HK pre-market vs the US close on ordinary days. </w:t>
      </w:r>
      <w:r>
        <w:t>Section 2: 31-38% pass-through, cost band 60 bps. SKIP.</w:t>
      </w:r>
    </w:p>
    <w:p>
      <w:pPr>
        <w:pStyle w:val="ListBullet"/>
        <w:spacing w:after="40"/>
      </w:pPr>
      <w:r>
        <w:rPr>
          <w:b/>
        </w:rPr>
        <w:t xml:space="preserve">US pre-market at the HK close. </w:t>
      </w:r>
      <w:r>
        <w:t>Ten minutes of overlap in summer, none in winter, under 1% of the day's volume. SKIP as a strategy; use it as a price check.</w:t>
      </w:r>
    </w:p>
    <w:p>
      <w:pPr>
        <w:pStyle w:val="ListBullet"/>
        <w:spacing w:after="40"/>
      </w:pPr>
      <w:r>
        <w:rPr>
          <w:b/>
        </w:rPr>
        <w:t xml:space="preserve">Single-stock futures as the overnight hedge. </w:t>
      </w:r>
      <w:r>
        <w:t>ALB/TCH/MET/JDC/BIU/NTE trade 09:30-16:00 HKT only, cash-settled, board-lot size, no after-hours session and no market-maker obligation on every contract. They are useful for a stamp-free intraday hedge in ideas 4 and 5 if the book is there; check ALB/TCH depth on the terminal first.</w:t>
      </w:r>
    </w:p>
    <w:p>
      <w:pPr>
        <w:pStyle w:val="ListBullet"/>
        <w:spacing w:after="40"/>
      </w:pPr>
      <w:r>
        <w:rPr>
          <w:b/>
        </w:rPr>
        <w:t xml:space="preserve">Dividend or withholding-tax arbitrage. </w:t>
      </w:r>
      <w:r>
        <w:t>Cayman/BVI issuers pay no HK withholding on either line; the ADS pays through the depositary in USD with a fee. No wedge.</w:t>
      </w:r>
    </w:p>
    <w:p>
      <w:pPr>
        <w:pStyle w:val="Heading2"/>
      </w:pPr>
      <w:r>
        <w:t>6.8  Calendar traps that affect every idea</w:t>
      </w:r>
    </w:p>
    <w:p>
      <w:pPr>
        <w:pStyle w:val="ListBullet"/>
        <w:spacing w:after="40"/>
      </w:pPr>
      <w:r>
        <w:rPr>
          <w:b/>
        </w:rPr>
        <w:t xml:space="preserve">HK holidays with the US open </w:t>
      </w:r>
      <w:r>
        <w:t>(1 Oct, Chung Yeung, Christmas, Lunar New Year): the ADR trades two or three sessions with no HK print and no HTI after-hours session. The HK reopen auction then digests several days of ADR moves. Idea 5 applies with more juice; ideas 1-4 have no bridge on those nights.</w:t>
      </w:r>
    </w:p>
    <w:p>
      <w:pPr>
        <w:pStyle w:val="ListBullet"/>
        <w:spacing w:after="40"/>
      </w:pPr>
      <w:r>
        <w:rPr>
          <w:b/>
        </w:rPr>
        <w:t xml:space="preserve">US holidays with HK open </w:t>
      </w:r>
      <w:r>
        <w:t>(Thanksgiving 26 Nov 2026, Good Friday): the HK line moves with no ADR. The overnight venues do open at 21:00 ET on the holiday evening (Arca FAQ), so from December the ADR will print during HK hours on US holidays.</w:t>
      </w:r>
    </w:p>
    <w:p>
      <w:pPr>
        <w:pStyle w:val="ListBullet"/>
        <w:spacing w:after="40"/>
      </w:pPr>
      <w:r>
        <w:rPr>
          <w:b/>
        </w:rPr>
        <w:t xml:space="preserve">Depositary book closures </w:t>
      </w:r>
      <w:r>
        <w:t>around dividends, AGMs and placements (Alibaba's HK$80bn placement, Aug 2026) suspend conversion for days. That is when premia can sit outside the band and cannot be arbitraged; know the dates before entering idea 1 or 3.</w:t>
      </w:r>
    </w:p>
    <w:p>
      <w:pPr>
        <w:pStyle w:val="ListBullet"/>
        <w:spacing w:after="40"/>
      </w:pPr>
      <w:r>
        <w:rPr>
          <w:b/>
        </w:rPr>
        <w:t xml:space="preserve">US DST ends 1 Nov 2026. </w:t>
      </w:r>
      <w:r>
        <w:t>Every window in section 3 shifts by an hour on the HK side; the HTI naked window at the US close goes from 60 to 120 minutes.</w:t>
      </w:r>
    </w:p>
    <w:p>
      <w:pPr>
        <w:pStyle w:val="ListBullet"/>
        <w:spacing w:after="40"/>
      </w:pPr>
      <w:r>
        <w:rPr>
          <w:b/>
        </w:rPr>
        <w:t xml:space="preserve">HKEX may open at 09:00 and drop the lunch break </w:t>
      </w:r>
      <w:r>
        <w:t>(SFC confirmed a consultation is coming, Sep 2026). That shortens the naked window for idea 2 and 5 by 30 minutes.</w:t>
      </w:r>
    </w:p>
    <w:p>
      <w:pPr>
        <w:pStyle w:val="Heading1"/>
      </w:pPr>
      <w:r>
        <w:t>7. If you keep the v32/v33 backtest: the changes that matter</w:t>
      </w:r>
    </w:p>
    <w:p>
      <w:pPr>
        <w:tabs>
          <w:tab w:pos="425" w:val="left"/>
        </w:tabs>
        <w:spacing w:after="60"/>
        <w:ind w:left="425" w:hanging="425"/>
      </w:pPr>
      <w:r>
        <w:rPr>
          <w:b/>
        </w:rPr>
        <w:t>1.</w:t>
        <w:tab/>
      </w:r>
      <w:r>
        <w:rPr>
          <w:b/>
        </w:rPr>
        <w:t xml:space="preserve">Replace the z-score entry with a cost-band entry. </w:t>
      </w:r>
      <w:r>
        <w:t>Enter only when the premium clears the conversion band (+/-30 bps) or the two-leg band (+/-60 bps) in level terms, not when a 30-day z hits 1.5. The band is the economics; the z is a scaling artefact that fires on regime moves.</w:t>
      </w:r>
    </w:p>
    <w:p>
      <w:pPr>
        <w:tabs>
          <w:tab w:pos="425" w:val="left"/>
        </w:tabs>
        <w:spacing w:after="60"/>
        <w:ind w:left="425" w:hanging="425"/>
      </w:pPr>
      <w:r>
        <w:rPr>
          <w:b/>
        </w:rPr>
        <w:t>2.</w:t>
        <w:tab/>
      </w:r>
      <w:r>
        <w:rPr>
          <w:b/>
        </w:rPr>
        <w:t xml:space="preserve">Trade only on named days. </w:t>
      </w:r>
      <w:r>
        <w:t>Restrict entries to rebalance dates, Connect/dual-primary windows, top-decile Southbound days, post-earnings opens and the mirror of those. The [HK-1A] regression should be run on those subsets; a 31% pass-through on all days can be 80% on the days that matter.</w:t>
      </w:r>
    </w:p>
    <w:p>
      <w:pPr>
        <w:tabs>
          <w:tab w:pos="425" w:val="left"/>
        </w:tabs>
        <w:spacing w:after="60"/>
        <w:ind w:left="425" w:hanging="425"/>
      </w:pPr>
      <w:r>
        <w:rPr>
          <w:b/>
        </w:rPr>
        <w:t>3.</w:t>
        <w:tab/>
      </w:r>
      <w:r>
        <w:rPr>
          <w:b/>
        </w:rPr>
        <w:t xml:space="preserve">Signal at 19:00 UTC, never at the US close. </w:t>
      </w:r>
      <w:r>
        <w:t>hti_close is already implemented and measured better. The us_close clock compares the ADR with a futures print that is 1-2 h old.</w:t>
      </w:r>
    </w:p>
    <w:p>
      <w:pPr>
        <w:tabs>
          <w:tab w:pos="425" w:val="left"/>
        </w:tabs>
        <w:spacing w:after="60"/>
        <w:ind w:left="425" w:hanging="425"/>
      </w:pPr>
      <w:r>
        <w:rPr>
          <w:b/>
        </w:rPr>
        <w:t>4.</w:t>
        <w:tab/>
      </w:r>
      <w:r>
        <w:rPr>
          <w:b/>
        </w:rPr>
        <w:t xml:space="preserve">Add the 01:30 UTC HTI capture (09:30 HKT) and the 01:15 UTC open. </w:t>
      </w:r>
      <w:r>
        <w:t>It cuts the unhedged window from 24 h to ~6 h and lets the bridge come off at the actual fill.</w:t>
      </w:r>
    </w:p>
    <w:p>
      <w:pPr>
        <w:tabs>
          <w:tab w:pos="425" w:val="left"/>
        </w:tabs>
        <w:spacing w:after="60"/>
        <w:ind w:left="425" w:hanging="425"/>
      </w:pPr>
      <w:r>
        <w:rPr>
          <w:b/>
        </w:rPr>
        <w:t>5.</w:t>
        <w:tab/>
      </w:r>
      <w:r>
        <w:rPr>
          <w:b/>
        </w:rPr>
        <w:t xml:space="preserve">Make conversion an exit. </w:t>
      </w:r>
      <w:r>
        <w:t>When a premium persists more than two sessions, the exit is a depositary conversion at ~33 bps, not a second two-leg unwind at ~60. Model the 2-day settlement carry explicitly.</w:t>
      </w:r>
    </w:p>
    <w:p>
      <w:pPr>
        <w:tabs>
          <w:tab w:pos="425" w:val="left"/>
        </w:tabs>
        <w:spacing w:after="60"/>
        <w:ind w:left="425" w:hanging="425"/>
      </w:pPr>
      <w:r>
        <w:rPr>
          <w:b/>
        </w:rPr>
        <w:t>6.</w:t>
        <w:tab/>
      </w:r>
      <w:r>
        <w:rPr>
          <w:b/>
        </w:rPr>
        <w:t xml:space="preserve">Never hold the index as the pair leg. </w:t>
      </w:r>
      <w:r>
        <w:t>v33 fixed this; do not resurrect index_fut mode in v32. The bridge is hours, the pair is the ordinary at the ADS ratio.</w:t>
      </w:r>
    </w:p>
    <w:p>
      <w:pPr>
        <w:tabs>
          <w:tab w:pos="425" w:val="left"/>
        </w:tabs>
        <w:spacing w:after="60"/>
        <w:ind w:left="425" w:hanging="425"/>
      </w:pPr>
      <w:r>
        <w:rPr>
          <w:b/>
        </w:rPr>
        <w:t>7.</w:t>
        <w:tab/>
      </w:r>
      <w:r>
        <w:rPr>
          <w:b/>
        </w:rPr>
        <w:t xml:space="preserve">Keep the cost stack exactly as it is, plus three lines: </w:t>
      </w:r>
      <w:r>
        <w:t>depositary fee (US$0.05/ADS), settlement-mismatch carry (T+1 vs T+2), and per-name HK borrow from the SBL screen. The 13/2/2 bps fees, SOFR+120, SOFR-50 rebate and 13.5% x 120 bps margin stay.</w:t>
      </w:r>
    </w:p>
    <w:p>
      <w:pPr>
        <w:tabs>
          <w:tab w:pos="425" w:val="left"/>
        </w:tabs>
        <w:spacing w:after="60"/>
        <w:ind w:left="425" w:hanging="425"/>
      </w:pPr>
      <w:r>
        <w:rPr>
          <w:b/>
        </w:rPr>
        <w:t>8.</w:t>
        <w:tab/>
      </w:r>
      <w:r>
        <w:rPr>
          <w:b/>
        </w:rPr>
        <w:t xml:space="preserve">Report the right numbers. </w:t>
      </w:r>
      <w:r>
        <w:t>Per trade: gross bps, cost bps, net bps, hold days; per strategy: net US$ and bps, t-stat on trade P&amp;L, pass-through slope on the entry subset, cost-multiplier breakeven. Drop the composite grid selection; with named-day entries there is nothing to grid.</w:t>
      </w:r>
    </w:p>
    <w:p>
      <w:pPr>
        <w:tabs>
          <w:tab w:pos="425" w:val="left"/>
        </w:tabs>
        <w:spacing w:after="60"/>
        <w:ind w:left="425" w:hanging="425"/>
      </w:pPr>
      <w:r>
        <w:rPr>
          <w:b/>
        </w:rPr>
        <w:t>9.</w:t>
        <w:tab/>
      </w:r>
      <w:r>
        <w:rPr>
          <w:b/>
        </w:rPr>
        <w:t xml:space="preserve">Measure the overnight-venue premium before anything else. </w:t>
      </w:r>
      <w:r>
        <w:t>It is the one series that turns the projected premium into an observed one.</w:t>
      </w:r>
    </w:p>
    <w:p>
      <w:pPr>
        <w:pStyle w:val="Heading1"/>
      </w:pPr>
      <w:r>
        <w:t>8. Other Asian ADR markets (Taiwan excluded): where the same logic points</w:t>
      </w:r>
    </w:p>
    <w:p>
      <w:pPr>
        <w:spacing w:after="80"/>
      </w:pPr>
      <w:r>
        <w:rPr>
          <w:i w:val="0"/>
        </w:rPr>
        <w:t>Same test as for HK: is the gap made by a clock or by a rule, can both legs be done at size, and is the round trip the conversion band? ADV figures are 2026 year-to-date means from daily bars (own calculation from Yahoo, Sep 2026) unless stated.</w:t>
      </w:r>
    </w:p>
    <w:tbl>
      <w:tblPr>
        <w:tblStyle w:val="TableGrid"/>
        <w:tblW w:type="auto" w:w="0"/>
        <w:jc w:val="center"/>
        <w:tblLayout w:type="fixed"/>
        <w:tblLook w:firstColumn="1" w:firstRow="1" w:lastColumn="0" w:lastRow="0" w:noHBand="0" w:noVBand="1" w:val="04A0"/>
      </w:tblPr>
      <w:tblGrid>
        <w:gridCol w:w="1246"/>
        <w:gridCol w:w="1246"/>
        <w:gridCol w:w="1246"/>
        <w:gridCol w:w="1246"/>
        <w:gridCol w:w="1246"/>
        <w:gridCol w:w="1246"/>
        <w:gridCol w:w="1246"/>
        <w:gridCol w:w="1246"/>
      </w:tblGrid>
      <w:tr>
        <w:tc>
          <w:tcPr>
            <w:tcW w:type="dxa" w:w="907"/>
            <w:shd w:val="clear" w:color="auto" w:fill="1F3A5F"/>
          </w:tcPr>
          <w:p>
            <w:r/>
            <w:r>
              <w:rPr>
                <w:b/>
                <w:color w:val="FFFFFF"/>
                <w:sz w:val="14"/>
              </w:rPr>
              <w:t>Market</w:t>
            </w:r>
          </w:p>
        </w:tc>
        <w:tc>
          <w:tcPr>
            <w:tcW w:type="dxa" w:w="1474"/>
            <w:shd w:val="clear" w:color="auto" w:fill="1F3A5F"/>
          </w:tcPr>
          <w:p>
            <w:r/>
            <w:r>
              <w:rPr>
                <w:b/>
                <w:color w:val="FFFFFF"/>
                <w:sz w:val="14"/>
              </w:rPr>
              <w:t>Liquid ADRs (US$m/day)</w:t>
            </w:r>
          </w:p>
        </w:tc>
        <w:tc>
          <w:tcPr>
            <w:tcW w:type="dxa" w:w="1361"/>
            <w:shd w:val="clear" w:color="auto" w:fill="1F3A5F"/>
          </w:tcPr>
          <w:p>
            <w:r/>
            <w:r>
              <w:rPr>
                <w:b/>
                <w:color w:val="FFFFFF"/>
                <w:sz w:val="14"/>
              </w:rPr>
              <w:t>Local close vs ET</w:t>
            </w:r>
          </w:p>
        </w:tc>
        <w:tc>
          <w:tcPr>
            <w:tcW w:type="dxa" w:w="1247"/>
            <w:shd w:val="clear" w:color="auto" w:fill="1F3A5F"/>
          </w:tcPr>
          <w:p>
            <w:r/>
            <w:r>
              <w:rPr>
                <w:b/>
                <w:color w:val="FFFFFF"/>
                <w:sz w:val="14"/>
              </w:rPr>
              <w:t>Night hedge</w:t>
            </w:r>
          </w:p>
        </w:tc>
        <w:tc>
          <w:tcPr>
            <w:tcW w:type="dxa" w:w="1361"/>
            <w:shd w:val="clear" w:color="auto" w:fill="1F3A5F"/>
          </w:tcPr>
          <w:p>
            <w:r/>
            <w:r>
              <w:rPr>
                <w:b/>
                <w:color w:val="FFFFFF"/>
                <w:sz w:val="14"/>
              </w:rPr>
              <w:t>Local venue during US hours</w:t>
            </w:r>
          </w:p>
        </w:tc>
        <w:tc>
          <w:tcPr>
            <w:tcW w:type="dxa" w:w="1247"/>
            <w:shd w:val="clear" w:color="auto" w:fill="1F3A5F"/>
          </w:tcPr>
          <w:p>
            <w:r/>
            <w:r>
              <w:rPr>
                <w:b/>
                <w:color w:val="FFFFFF"/>
                <w:sz w:val="14"/>
              </w:rPr>
              <w:t>Tax / FX</w:t>
            </w:r>
          </w:p>
        </w:tc>
        <w:tc>
          <w:tcPr>
            <w:tcW w:type="dxa" w:w="1701"/>
            <w:shd w:val="clear" w:color="auto" w:fill="1F3A5F"/>
          </w:tcPr>
          <w:p>
            <w:r/>
            <w:r>
              <w:rPr>
                <w:b/>
                <w:color w:val="FFFFFF"/>
                <w:sz w:val="14"/>
              </w:rPr>
              <w:t>Best idea</w:t>
            </w:r>
          </w:p>
        </w:tc>
        <w:tc>
          <w:tcPr>
            <w:tcW w:type="dxa" w:w="680"/>
            <w:shd w:val="clear" w:color="auto" w:fill="1F3A5F"/>
          </w:tcPr>
          <w:p>
            <w:r/>
            <w:r>
              <w:rPr>
                <w:b/>
                <w:color w:val="FFFFFF"/>
                <w:sz w:val="14"/>
              </w:rPr>
              <w:t>Verdict</w:t>
            </w:r>
          </w:p>
        </w:tc>
      </w:tr>
      <w:tr>
        <w:tc>
          <w:tcPr>
            <w:tcW w:type="dxa" w:w="907"/>
          </w:tcPr>
          <w:p>
            <w:r/>
            <w:r>
              <w:rPr>
                <w:b/>
                <w:sz w:val="14"/>
              </w:rPr>
              <w:t>Japan</w:t>
            </w:r>
          </w:p>
        </w:tc>
        <w:tc>
          <w:tcPr>
            <w:tcW w:type="dxa" w:w="1474"/>
          </w:tcPr>
          <w:p>
            <w:r/>
            <w:r>
              <w:rPr>
                <w:sz w:val="14"/>
              </w:rPr>
              <w:t>SONY 126, TM 78, MUFG 66, TAK 52, SMFG 45, HMC 41, MFG 38; OTC SFTBY 55, NTDOY 41</w:t>
            </w:r>
          </w:p>
        </w:tc>
        <w:tc>
          <w:tcPr>
            <w:tcW w:type="dxa" w:w="1361"/>
          </w:tcPr>
          <w:p>
            <w:r/>
            <w:r>
              <w:rPr>
                <w:sz w:val="14"/>
              </w:rPr>
              <w:t>TSE 09:00-15:30 JST = 02:30 ET summer / 01:30 winter</w:t>
            </w:r>
          </w:p>
        </w:tc>
        <w:tc>
          <w:tcPr>
            <w:tcW w:type="dxa" w:w="1247"/>
          </w:tcPr>
          <w:p>
            <w:r/>
            <w:r>
              <w:rPr>
                <w:sz w:val="14"/>
              </w:rPr>
              <w:t>OSE Nikkei/TOPIX night 17:00-06:00 JST; CME Nikkei ~23h. Covers the WHOLE US session</w:t>
            </w:r>
          </w:p>
        </w:tc>
        <w:tc>
          <w:tcPr>
            <w:tcW w:type="dxa" w:w="1361"/>
          </w:tcPr>
          <w:p>
            <w:r/>
            <w:r>
              <w:rPr>
                <w:sz w:val="14"/>
              </w:rPr>
              <w:t>Japannext night 17:00-06:00 JST, continuous, no auction; ¥27.6bn (~US$174m) a night across ~1,000 names, mostly Kioxia/SoftBank/Advantest</w:t>
            </w:r>
          </w:p>
        </w:tc>
        <w:tc>
          <w:tcPr>
            <w:tcW w:type="dxa" w:w="1247"/>
          </w:tcPr>
          <w:p>
            <w:r/>
            <w:r>
              <w:rPr>
                <w:sz w:val="14"/>
              </w:rPr>
              <w:t>No transaction tax; T+2; JPY deliverable; ADR fee up to US$0.05/ADS</w:t>
            </w:r>
          </w:p>
        </w:tc>
        <w:tc>
          <w:tcPr>
            <w:tcW w:type="dxa" w:w="1701"/>
          </w:tcPr>
          <w:p>
            <w:r/>
            <w:r>
              <w:rPr>
                <w:sz w:val="14"/>
              </w:rPr>
              <w:t>Flow business (idea 6.2) with a complete futures bridge; same-time arb on Japannext is capacity-limited (MUFG ~¥0.3bn a night)</w:t>
            </w:r>
          </w:p>
        </w:tc>
        <w:tc>
          <w:tcPr>
            <w:tcW w:type="dxa" w:w="680"/>
          </w:tcPr>
          <w:p>
            <w:r/>
            <w:r>
              <w:rPr>
                <w:sz w:val="14"/>
              </w:rPr>
              <w:t>DO for flow; TEST the PTS overlap</w:t>
            </w:r>
          </w:p>
        </w:tc>
      </w:tr>
      <w:tr>
        <w:tc>
          <w:tcPr>
            <w:tcW w:type="dxa" w:w="907"/>
            <w:shd w:val="clear" w:color="auto" w:fill="F2F5F9"/>
          </w:tcPr>
          <w:p>
            <w:r/>
            <w:r>
              <w:rPr>
                <w:b/>
                <w:sz w:val="14"/>
              </w:rPr>
              <w:t>Korea</w:t>
            </w:r>
          </w:p>
        </w:tc>
        <w:tc>
          <w:tcPr>
            <w:tcW w:type="dxa" w:w="1474"/>
            <w:shd w:val="clear" w:color="auto" w:fill="F2F5F9"/>
          </w:tcPr>
          <w:p>
            <w:r/>
            <w:r>
              <w:rPr>
                <w:sz w:val="14"/>
              </w:rPr>
              <w:t>SKHY 3,900-5,000 (since 10 Jul 2026), SKM 72, KT 33, KB 26, SHG 17, PKX 17, KEP 13; LSE GDR SMSN 102</w:t>
            </w:r>
          </w:p>
        </w:tc>
        <w:tc>
          <w:tcPr>
            <w:tcW w:type="dxa" w:w="1361"/>
            <w:shd w:val="clear" w:color="auto" w:fill="F2F5F9"/>
          </w:tcPr>
          <w:p>
            <w:r/>
            <w:r>
              <w:rPr>
                <w:sz w:val="14"/>
              </w:rPr>
              <w:t>KRX 09:00-15:30 KST = 02:30 ET summer; KRX after-market 16:00-20:00 KST (since 14 Sep 2026) = 03:00-07:00 ET; NXT 15:30-20:00</w:t>
            </w:r>
          </w:p>
        </w:tc>
        <w:tc>
          <w:tcPr>
            <w:tcW w:type="dxa" w:w="1247"/>
            <w:shd w:val="clear" w:color="auto" w:fill="F2F5F9"/>
          </w:tcPr>
          <w:p>
            <w:r/>
            <w:r>
              <w:rPr>
                <w:sz w:val="14"/>
              </w:rPr>
              <w:t>KRX night session 18:00-06:00 KST since 9 Jun 2025 (KOSPI 200 futures/options, USD futures)</w:t>
            </w:r>
          </w:p>
        </w:tc>
        <w:tc>
          <w:tcPr>
            <w:tcW w:type="dxa" w:w="1361"/>
            <w:shd w:val="clear" w:color="auto" w:fill="F2F5F9"/>
          </w:tcPr>
          <w:p>
            <w:r/>
            <w:r>
              <w:rPr>
                <w:sz w:val="14"/>
              </w:rPr>
              <w:t>KRX/NXT after-market overlaps US pre-market 04:00-07:00 ET summer</w:t>
            </w:r>
          </w:p>
        </w:tc>
        <w:tc>
          <w:tcPr>
            <w:tcW w:type="dxa" w:w="1247"/>
            <w:shd w:val="clear" w:color="auto" w:fill="F2F5F9"/>
          </w:tcPr>
          <w:p>
            <w:r/>
            <w:r>
              <w:rPr>
                <w:sz w:val="14"/>
              </w:rPr>
              <w:t>No stamp; securities transaction tax 0.15% on sells (2025 rate); KRW onshore trading extended to 24h from Jul 2026 (reported, verify), RFI access for offshore institutions; foreign-ownership caps</w:t>
            </w:r>
          </w:p>
        </w:tc>
        <w:tc>
          <w:tcPr>
            <w:tcW w:type="dxa" w:w="1701"/>
            <w:shd w:val="clear" w:color="auto" w:fill="F2F5F9"/>
          </w:tcPr>
          <w:p>
            <w:r/>
            <w:r>
              <w:rPr>
                <w:sz w:val="14"/>
              </w:rPr>
              <w:t>One-way conversion premia: KT (limit full at 49%) ADR +5.4% median 2025, +2.9% 2026; SK hynix ADR still +37-46% in late Sep 2026 because share deposits need issuer consent. Trade the catalyst that reopens conversion, not the level.</w:t>
            </w:r>
          </w:p>
        </w:tc>
        <w:tc>
          <w:tcPr>
            <w:tcW w:type="dxa" w:w="680"/>
            <w:shd w:val="clear" w:color="auto" w:fill="F2F5F9"/>
          </w:tcPr>
          <w:p>
            <w:r/>
            <w:r>
              <w:rPr>
                <w:sz w:val="14"/>
              </w:rPr>
              <w:t>TEST the catalysts; SKIP the level</w:t>
            </w:r>
          </w:p>
        </w:tc>
      </w:tr>
      <w:tr>
        <w:tc>
          <w:tcPr>
            <w:tcW w:type="dxa" w:w="907"/>
          </w:tcPr>
          <w:p>
            <w:r/>
            <w:r>
              <w:rPr>
                <w:b/>
                <w:sz w:val="14"/>
              </w:rPr>
              <w:t>India</w:t>
            </w:r>
          </w:p>
        </w:tc>
        <w:tc>
          <w:tcPr>
            <w:tcW w:type="dxa" w:w="1474"/>
          </w:tcPr>
          <w:p>
            <w:r/>
            <w:r>
              <w:rPr>
                <w:sz w:val="14"/>
              </w:rPr>
              <w:t>HDB 213, INFY 165, IBN 115, RDY 34, WIT 16</w:t>
            </w:r>
          </w:p>
        </w:tc>
        <w:tc>
          <w:tcPr>
            <w:tcW w:type="dxa" w:w="1361"/>
          </w:tcPr>
          <w:p>
            <w:r/>
            <w:r>
              <w:rPr>
                <w:sz w:val="14"/>
              </w:rPr>
              <w:t>NSE 09:15-15:30 IST (F&amp;O 15:40 since 3 Aug 2026) = 06:00 ET summer / 05:00 winter: inside US pre-market</w:t>
            </w:r>
          </w:p>
        </w:tc>
        <w:tc>
          <w:tcPr>
            <w:tcW w:type="dxa" w:w="1247"/>
          </w:tcPr>
          <w:p>
            <w:r/>
            <w:r>
              <w:rPr>
                <w:sz w:val="14"/>
              </w:rPr>
              <w:t>GIFT Nifty 16:35-02:45 IST covers the US session</w:t>
            </w:r>
          </w:p>
        </w:tc>
        <w:tc>
          <w:tcPr>
            <w:tcW w:type="dxa" w:w="1361"/>
          </w:tcPr>
          <w:p>
            <w:r/>
            <w:r>
              <w:rPr>
                <w:sz w:val="14"/>
              </w:rPr>
              <w:t>None; pre-market overlap 04:00-06:00 ET summer only, thin</w:t>
            </w:r>
          </w:p>
        </w:tc>
        <w:tc>
          <w:tcPr>
            <w:tcW w:type="dxa" w:w="1247"/>
          </w:tcPr>
          <w:p>
            <w:r/>
            <w:r>
              <w:rPr>
                <w:sz w:val="14"/>
              </w:rPr>
              <w:t>STT 0.1% each side on delivery; stamp 0.015%; T+1; INR is NDF offshore and the RBI barred onshore banks from client NDFs (Mar 2026)</w:t>
            </w:r>
          </w:p>
        </w:tc>
        <w:tc>
          <w:tcPr>
            <w:tcW w:type="dxa" w:w="1701"/>
          </w:tcPr>
          <w:p>
            <w:r/>
            <w:r>
              <w:rPr>
                <w:sz w:val="14"/>
              </w:rPr>
              <w:t>Headroom premia: HDB was +12% in 2023 and +10% in Jun 2025, ~+1.5% now; WIT a persistent -3.4%. At zero headroom conversion is one-way (ADR to shares only). Trade the NSDL red-flag list, i.e. the headroom reopening.</w:t>
            </w:r>
          </w:p>
        </w:tc>
        <w:tc>
          <w:tcPr>
            <w:tcW w:type="dxa" w:w="680"/>
          </w:tcPr>
          <w:p>
            <w:r/>
            <w:r>
              <w:rPr>
                <w:sz w:val="14"/>
              </w:rPr>
              <w:t>TEST HDB/IBN on headroom events; else SKIP</w:t>
            </w:r>
          </w:p>
        </w:tc>
      </w:tr>
      <w:tr>
        <w:tc>
          <w:tcPr>
            <w:tcW w:type="dxa" w:w="907"/>
            <w:shd w:val="clear" w:color="auto" w:fill="F2F5F9"/>
          </w:tcPr>
          <w:p>
            <w:r/>
            <w:r>
              <w:rPr>
                <w:b/>
                <w:sz w:val="14"/>
              </w:rPr>
              <w:t>Indonesia / Philippines</w:t>
            </w:r>
          </w:p>
        </w:tc>
        <w:tc>
          <w:tcPr>
            <w:tcW w:type="dxa" w:w="1474"/>
            <w:shd w:val="clear" w:color="auto" w:fill="F2F5F9"/>
          </w:tcPr>
          <w:p>
            <w:r/>
            <w:r>
              <w:rPr>
                <w:sz w:val="14"/>
              </w:rPr>
              <w:t>TLK 10, PHI 3</w:t>
            </w:r>
          </w:p>
        </w:tc>
        <w:tc>
          <w:tcPr>
            <w:tcW w:type="dxa" w:w="1361"/>
            <w:shd w:val="clear" w:color="auto" w:fill="F2F5F9"/>
          </w:tcPr>
          <w:p>
            <w:r/>
            <w:r>
              <w:rPr>
                <w:sz w:val="14"/>
              </w:rPr>
              <w:t>IDX 09:00-15:49 WIB; PSE to 14:45</w:t>
            </w:r>
          </w:p>
        </w:tc>
        <w:tc>
          <w:tcPr>
            <w:tcW w:type="dxa" w:w="1247"/>
            <w:shd w:val="clear" w:color="auto" w:fill="F2F5F9"/>
          </w:tcPr>
          <w:p>
            <w:r/>
            <w:r>
              <w:rPr>
                <w:sz w:val="14"/>
              </w:rPr>
              <w:t>None liquid</w:t>
            </w:r>
          </w:p>
        </w:tc>
        <w:tc>
          <w:tcPr>
            <w:tcW w:type="dxa" w:w="1361"/>
            <w:shd w:val="clear" w:color="auto" w:fill="F2F5F9"/>
          </w:tcPr>
          <w:p>
            <w:r/>
            <w:r>
              <w:rPr>
                <w:sz w:val="14"/>
              </w:rPr>
              <w:t>None</w:t>
            </w:r>
          </w:p>
        </w:tc>
        <w:tc>
          <w:tcPr>
            <w:tcW w:type="dxa" w:w="1247"/>
            <w:shd w:val="clear" w:color="auto" w:fill="F2F5F9"/>
          </w:tcPr>
          <w:p>
            <w:r/>
            <w:r>
              <w:rPr>
                <w:sz w:val="14"/>
              </w:rPr>
              <w:t>ID 0.1% sale tax; PH 0.1% since Jul 2025; IDR/PHP</w:t>
            </w:r>
          </w:p>
        </w:tc>
        <w:tc>
          <w:tcPr>
            <w:tcW w:type="dxa" w:w="1701"/>
            <w:shd w:val="clear" w:color="auto" w:fill="F2F5F9"/>
          </w:tcPr>
          <w:p>
            <w:r/>
            <w:r>
              <w:rPr>
                <w:sz w:val="14"/>
              </w:rPr>
              <w:t>Nothing at desk size</w:t>
            </w:r>
          </w:p>
        </w:tc>
        <w:tc>
          <w:tcPr>
            <w:tcW w:type="dxa" w:w="680"/>
            <w:shd w:val="clear" w:color="auto" w:fill="F2F5F9"/>
          </w:tcPr>
          <w:p>
            <w:r/>
            <w:r>
              <w:rPr>
                <w:sz w:val="14"/>
              </w:rPr>
              <w:t>SKIP</w:t>
            </w:r>
          </w:p>
        </w:tc>
      </w:tr>
      <w:tr>
        <w:tc>
          <w:tcPr>
            <w:tcW w:type="dxa" w:w="907"/>
          </w:tcPr>
          <w:p>
            <w:r/>
            <w:r>
              <w:rPr>
                <w:b/>
                <w:sz w:val="14"/>
              </w:rPr>
              <w:t>Singapore / Thailand / Malaysia / Vietnam</w:t>
            </w:r>
          </w:p>
        </w:tc>
        <w:tc>
          <w:tcPr>
            <w:tcW w:type="dxa" w:w="1474"/>
          </w:tcPr>
          <w:p>
            <w:r/>
            <w:r>
              <w:rPr>
                <w:sz w:val="14"/>
              </w:rPr>
              <w:t>No ADR of a local listing (SE and GRAB are US-primary)</w:t>
            </w:r>
          </w:p>
        </w:tc>
        <w:tc>
          <w:tcPr>
            <w:tcW w:type="dxa" w:w="1361"/>
          </w:tcPr>
          <w:p>
            <w:r/>
            <w:r>
              <w:rPr>
                <w:sz w:val="14"/>
              </w:rPr>
              <w:t>-</w:t>
            </w:r>
          </w:p>
        </w:tc>
        <w:tc>
          <w:tcPr>
            <w:tcW w:type="dxa" w:w="1247"/>
          </w:tcPr>
          <w:p>
            <w:r/>
            <w:r>
              <w:rPr>
                <w:sz w:val="14"/>
              </w:rPr>
              <w:t>-</w:t>
            </w:r>
          </w:p>
        </w:tc>
        <w:tc>
          <w:tcPr>
            <w:tcW w:type="dxa" w:w="1361"/>
          </w:tcPr>
          <w:p>
            <w:r/>
            <w:r>
              <w:rPr>
                <w:sz w:val="14"/>
              </w:rPr>
              <w:t>-</w:t>
            </w:r>
          </w:p>
        </w:tc>
        <w:tc>
          <w:tcPr>
            <w:tcW w:type="dxa" w:w="1247"/>
          </w:tcPr>
          <w:p>
            <w:r/>
            <w:r>
              <w:rPr>
                <w:sz w:val="14"/>
              </w:rPr>
              <w:t>-</w:t>
            </w:r>
          </w:p>
        </w:tc>
        <w:tc>
          <w:tcPr>
            <w:tcW w:type="dxa" w:w="1701"/>
          </w:tcPr>
          <w:p>
            <w:r/>
            <w:r>
              <w:rPr>
                <w:sz w:val="14"/>
              </w:rPr>
              <w:t>-</w:t>
            </w:r>
          </w:p>
        </w:tc>
        <w:tc>
          <w:tcPr>
            <w:tcW w:type="dxa" w:w="680"/>
          </w:tcPr>
          <w:p>
            <w:r/>
            <w:r>
              <w:rPr>
                <w:sz w:val="14"/>
              </w:rPr>
              <w:t>SKIP</w:t>
            </w:r>
          </w:p>
        </w:tc>
      </w:tr>
      <w:tr>
        <w:tc>
          <w:tcPr>
            <w:tcW w:type="dxa" w:w="907"/>
            <w:shd w:val="clear" w:color="auto" w:fill="F2F5F9"/>
          </w:tcPr>
          <w:p>
            <w:r/>
            <w:r>
              <w:rPr>
                <w:b/>
                <w:sz w:val="14"/>
              </w:rPr>
              <w:t>Australia (bonus, not Asia)</w:t>
            </w:r>
          </w:p>
        </w:tc>
        <w:tc>
          <w:tcPr>
            <w:tcW w:type="dxa" w:w="1474"/>
            <w:shd w:val="clear" w:color="auto" w:fill="F2F5F9"/>
          </w:tcPr>
          <w:p>
            <w:r/>
            <w:r>
              <w:rPr>
                <w:sz w:val="14"/>
              </w:rPr>
              <w:t>BHP 212 (ASX 338), RIO 171 (LSE line), WDS 15, JHX now NYSE-primary</w:t>
            </w:r>
          </w:p>
        </w:tc>
        <w:tc>
          <w:tcPr>
            <w:tcW w:type="dxa" w:w="1361"/>
            <w:shd w:val="clear" w:color="auto" w:fill="F2F5F9"/>
          </w:tcPr>
          <w:p>
            <w:r/>
            <w:r>
              <w:rPr>
                <w:sz w:val="14"/>
              </w:rPr>
              <w:t>ASX 10:00-16:00 AEST = 02:00 ET summer / 00:00 winter</w:t>
            </w:r>
          </w:p>
        </w:tc>
        <w:tc>
          <w:tcPr>
            <w:tcW w:type="dxa" w:w="1247"/>
            <w:shd w:val="clear" w:color="auto" w:fill="F2F5F9"/>
          </w:tcPr>
          <w:p>
            <w:r/>
            <w:r>
              <w:rPr>
                <w:sz w:val="14"/>
              </w:rPr>
              <w:t>SPI 200 night 17:10-07:00/08:00 Sydney covers the US session</w:t>
            </w:r>
          </w:p>
        </w:tc>
        <w:tc>
          <w:tcPr>
            <w:tcW w:type="dxa" w:w="1361"/>
            <w:shd w:val="clear" w:color="auto" w:fill="F2F5F9"/>
          </w:tcPr>
          <w:p>
            <w:r/>
            <w:r>
              <w:rPr>
                <w:sz w:val="14"/>
              </w:rPr>
              <w:t>None</w:t>
            </w:r>
          </w:p>
        </w:tc>
        <w:tc>
          <w:tcPr>
            <w:tcW w:type="dxa" w:w="1247"/>
            <w:shd w:val="clear" w:color="auto" w:fill="F2F5F9"/>
          </w:tcPr>
          <w:p>
            <w:r/>
            <w:r>
              <w:rPr>
                <w:sz w:val="14"/>
              </w:rPr>
              <w:t>No stamp duty; AUD deliverable; T+2</w:t>
            </w:r>
          </w:p>
        </w:tc>
        <w:tc>
          <w:tcPr>
            <w:tcW w:type="dxa" w:w="1701"/>
            <w:shd w:val="clear" w:color="auto" w:fill="F2F5F9"/>
          </w:tcPr>
          <w:p>
            <w:r/>
            <w:r>
              <w:rPr>
                <w:sz w:val="14"/>
              </w:rPr>
              <w:t>The cleanest fully-fungible pair for the v32-type flow trade: two liquid legs, a complete futures bridge, no stamp. BHP close-to-close gap ranged -4.2% to +1.9% in Sep 2026 (non-synchronous).</w:t>
            </w:r>
          </w:p>
        </w:tc>
        <w:tc>
          <w:tcPr>
            <w:tcW w:type="dxa" w:w="680"/>
            <w:shd w:val="clear" w:color="auto" w:fill="F2F5F9"/>
          </w:tcPr>
          <w:p>
            <w:r/>
            <w:r>
              <w:rPr>
                <w:sz w:val="14"/>
              </w:rPr>
              <w:t>DO for flow</w:t>
            </w:r>
          </w:p>
        </w:tc>
      </w:tr>
    </w:tbl>
    <w:p>
      <w:pPr>
        <w:spacing w:after="40"/>
      </w:pPr>
    </w:p>
    <w:p>
      <w:pPr>
        <w:pStyle w:val="Heading2"/>
      </w:pPr>
      <w:r>
        <w:t>8.1  Japan</w:t>
      </w:r>
    </w:p>
    <w:p>
      <w:pPr>
        <w:tabs>
          <w:tab w:pos="425" w:val="left"/>
        </w:tabs>
        <w:spacing w:after="60"/>
        <w:ind w:left="425" w:hanging="425"/>
      </w:pPr>
      <w:r>
        <w:rPr>
          <w:b/>
        </w:rPr>
        <w:t>1.</w:t>
        <w:tab/>
      </w:r>
      <w:r>
        <w:rPr>
          <w:b/>
        </w:rPr>
        <w:t xml:space="preserve">The bridge is complete. </w:t>
      </w:r>
      <w:r>
        <w:t>Nikkei 225 and TOPIX futures trade on OSE from 17:00 to 06:00 JST and on CME for 23 hours, so a Japanese ADR can be hedged at the US close and the hedge lifted at the TSE open with no naked window. That is the single biggest structural improvement over HK, where HTI stops at 03:00 HKT.</w:t>
      </w:r>
    </w:p>
    <w:p>
      <w:pPr>
        <w:tabs>
          <w:tab w:pos="425" w:val="left"/>
        </w:tabs>
        <w:spacing w:after="60"/>
        <w:ind w:left="425" w:hanging="425"/>
      </w:pPr>
      <w:r>
        <w:rPr>
          <w:b/>
        </w:rPr>
        <w:t>2.</w:t>
        <w:tab/>
      </w:r>
      <w:r>
        <w:rPr>
          <w:b/>
        </w:rPr>
        <w:t xml:space="preserve">The local line itself trades during US hours. </w:t>
      </w:r>
      <w:r>
        <w:t>Japannext's night session (17:00-06:00 JST) covers the whole US cash session, continuous matching, no auction. But the liquidity is in Kioxia, the 1570 leveraged ETF, SoftBank and Advantest; MUFG did ¥6.9bn in the whole of August. A same-time ADR-vs-PTS arbitrage in the ADR names is a one-to-two-million-dollar-a-night business per name until the volume broadens.</w:t>
      </w:r>
    </w:p>
    <w:p>
      <w:pPr>
        <w:tabs>
          <w:tab w:pos="425" w:val="left"/>
        </w:tabs>
        <w:spacing w:after="60"/>
        <w:ind w:left="425" w:hanging="425"/>
      </w:pPr>
      <w:r>
        <w:rPr>
          <w:b/>
        </w:rPr>
        <w:t>3.</w:t>
        <w:tab/>
      </w:r>
      <w:r>
        <w:rPr>
          <w:b/>
        </w:rPr>
        <w:t xml:space="preserve">No tax, cheap conversion, but a stale-FX signal. </w:t>
      </w:r>
      <w:r>
        <w:t>No securities transaction tax since 1999, T+2 settlement, BNY fee up to US$0.05/ADS on Toyota. The parity band is therefore ~10-15 bps, tighter than HK. The signal, though, needs live USDJPY (deliverable, 24h), which is easy.</w:t>
      </w:r>
    </w:p>
    <w:p>
      <w:pPr>
        <w:tabs>
          <w:tab w:pos="425" w:val="left"/>
        </w:tabs>
        <w:spacing w:after="60"/>
        <w:ind w:left="425" w:hanging="425"/>
      </w:pPr>
      <w:r>
        <w:rPr>
          <w:b/>
        </w:rPr>
        <w:t>4.</w:t>
        <w:tab/>
      </w:r>
      <w:r>
        <w:rPr>
          <w:b/>
        </w:rPr>
        <w:t xml:space="preserve">The retail practice is to publish, not to trade, the ADR-implied open. </w:t>
      </w:r>
      <w:r>
        <w:t>FISCO and nikkei225jp publish ADR-vs-TSE-close tables nightly; Otsubo (2014) finds the NYSE more efficient in price discovery for Japanese cross-listings. No evidence of a systematic open reversal at single-name level was found; measure it before betting on it.</w:t>
      </w:r>
    </w:p>
    <w:tbl>
      <w:tblPr>
        <w:tblStyle w:val="TableGrid"/>
        <w:tblW w:type="auto" w:w="0"/>
        <w:tblLook w:firstColumn="1" w:firstRow="1" w:lastColumn="0" w:lastRow="0" w:noHBand="0" w:noVBand="1" w:val="04A0"/>
      </w:tblPr>
      <w:tblGrid>
        <w:gridCol w:w="9972"/>
      </w:tblGrid>
      <w:tr>
        <w:tc>
          <w:tcPr>
            <w:tcW w:type="dxa" w:w="9638"/>
            <w:shd w:val="clear" w:color="auto" w:fill="E3F1E5"/>
          </w:tcPr>
          <w:p>
            <w:r/>
            <w:r>
              <w:rPr>
                <w:b/>
                <w:color w:val="1E7B34"/>
                <w:sz w:val="19"/>
              </w:rPr>
              <w:t xml:space="preserve">JAPAN.  </w:t>
            </w:r>
            <w:r>
              <w:rPr>
                <w:sz w:val="19"/>
              </w:rPr>
              <w:t>Run the guaranteed-conversion / overnight-carry service here first: complete futures bridge, no stamp, liquid ADRs. Treat the Japannext overlap as a measurement project (capture its night prints for TM, SONY, MUFG, SFTBY against the ADR).</w:t>
            </w:r>
          </w:p>
        </w:tc>
      </w:tr>
    </w:tbl>
    <w:p>
      <w:pPr>
        <w:spacing w:after="40"/>
      </w:pPr>
    </w:p>
    <w:p>
      <w:pPr>
        <w:pStyle w:val="Heading2"/>
      </w:pPr>
      <w:r>
        <w:t>8.2  Korea</w:t>
      </w:r>
    </w:p>
    <w:p>
      <w:pPr>
        <w:tabs>
          <w:tab w:pos="425" w:val="left"/>
        </w:tabs>
        <w:spacing w:after="60"/>
        <w:ind w:left="425" w:hanging="425"/>
      </w:pPr>
      <w:r>
        <w:rPr>
          <w:b/>
        </w:rPr>
        <w:t>1.</w:t>
        <w:tab/>
      </w:r>
      <w:r>
        <w:rPr>
          <w:b/>
        </w:rPr>
        <w:t xml:space="preserve">Korean premia are made by rules, not clocks. </w:t>
      </w:r>
      <w:r>
        <w:t>KT's foreign-ownership limit (49%) is full, so foreigners who want KT buy the ADR: median premium +5.4% in 2025 and +2.9% in 2026, range +0.2% to +10.4%. Holders can always cancel ADSs for shares, but depositing shares to create new ADSs beyond the original pool needs issuer consent, and foreigners may not margin-borrow limit-bound shares. The premium cannot be sold down; it moves with the headroom.</w:t>
      </w:r>
    </w:p>
    <w:p>
      <w:pPr>
        <w:tabs>
          <w:tab w:pos="425" w:val="left"/>
        </w:tabs>
        <w:spacing w:after="60"/>
        <w:ind w:left="425" w:hanging="425"/>
      </w:pPr>
      <w:r>
        <w:rPr>
          <w:b/>
        </w:rPr>
        <w:t>2.</w:t>
        <w:tab/>
      </w:r>
      <w:r>
        <w:rPr>
          <w:b/>
        </w:rPr>
        <w:t xml:space="preserve">SK hynix is the live case. </w:t>
      </w:r>
      <w:r>
        <w:t>ADSs listed on Nasdaq on 10 Jul 2026 (US$26.5bn raised, 1 ADS = 1/10 share), premium 3% at pricing, 51% within three sessions; conversion "opened" on 29 Jul 2026 yet the ADR was still 37-46% rich on 17-23 Sep 2026, trading US$4-5bn a day with two 2x leveraged ETFs behind it. The arbitrage is one-way: cancelling ADSs is allowed, creating them is not. The trade is the catalyst (issuer consent to deposits, a follow-on ADS issue, MSCI/index treatment), with borrow in the ADS and a KRW hedge that onshore banks reportedly quote around the clock since Jul 2026 (verify).</w:t>
      </w:r>
    </w:p>
    <w:p>
      <w:pPr>
        <w:tabs>
          <w:tab w:pos="425" w:val="left"/>
        </w:tabs>
        <w:spacing w:after="60"/>
        <w:ind w:left="425" w:hanging="425"/>
      </w:pPr>
      <w:r>
        <w:rPr>
          <w:b/>
        </w:rPr>
        <w:t>3.</w:t>
        <w:tab/>
      </w:r>
      <w:r>
        <w:rPr>
          <w:b/>
        </w:rPr>
        <w:t xml:space="preserve">Korea now has a real after-market. </w:t>
      </w:r>
      <w:r>
        <w:t>KRX 16:00-20:00 KST since 14 Sep 2026 and Nextrade 15:30-20:00 KST, plus a KRX derivatives night session 18:00-06:00 KST. The Korean line therefore trades during US pre-market (04:00-07:00 ET summer). For SK hynix that is a same-time observed premium with size on both sides; for KB/SHG/PKX the ADR pre-market is too thin.</w:t>
      </w:r>
    </w:p>
    <w:tbl>
      <w:tblPr>
        <w:tblStyle w:val="TableGrid"/>
        <w:tblW w:type="auto" w:w="0"/>
        <w:tblLook w:firstColumn="1" w:firstRow="1" w:lastColumn="0" w:lastRow="0" w:noHBand="0" w:noVBand="1" w:val="04A0"/>
      </w:tblPr>
      <w:tblGrid>
        <w:gridCol w:w="9972"/>
      </w:tblGrid>
      <w:tr>
        <w:tc>
          <w:tcPr>
            <w:tcW w:type="dxa" w:w="9638"/>
            <w:shd w:val="clear" w:color="auto" w:fill="FFF4D6"/>
          </w:tcPr>
          <w:p>
            <w:r/>
            <w:r>
              <w:rPr>
                <w:b/>
                <w:color w:val="9A6A00"/>
                <w:sz w:val="19"/>
              </w:rPr>
              <w:t xml:space="preserve">KOREA.  </w:t>
            </w:r>
            <w:r>
              <w:rPr>
                <w:sz w:val="19"/>
              </w:rPr>
              <w:t>Watch the SK hynix conversion mechanics and KT headroom as catalyst trades. Do not fade the levels: the premium is structural until the rule changes.</w:t>
            </w:r>
          </w:p>
        </w:tc>
      </w:tr>
    </w:tbl>
    <w:p>
      <w:pPr>
        <w:spacing w:after="40"/>
      </w:pPr>
    </w:p>
    <w:p>
      <w:pPr>
        <w:pStyle w:val="Heading2"/>
      </w:pPr>
      <w:r>
        <w:t>8.3  India</w:t>
      </w:r>
    </w:p>
    <w:p>
      <w:pPr>
        <w:tabs>
          <w:tab w:pos="425" w:val="left"/>
        </w:tabs>
        <w:spacing w:after="60"/>
        <w:ind w:left="425" w:hanging="425"/>
      </w:pPr>
      <w:r>
        <w:rPr>
          <w:b/>
        </w:rPr>
        <w:t>1.</w:t>
        <w:tab/>
      </w:r>
      <w:r>
        <w:rPr>
          <w:b/>
        </w:rPr>
        <w:t xml:space="preserve">Same rule-made premia, now mostly closed. </w:t>
      </w:r>
      <w:r>
        <w:t>HDFC Bank's ADR premium was 30% in 2021, 12% in 2023, near zero in Jan 2024, back above 10% in Jun 2025 and ~1.5% in Sep 2026. The driver is FPI headroom under the 74% bank cap: at zero headroom the ADR cannot be recreated (two-way fungibility only allows re-issuance up to the number previously cancelled), so a premium persists until foreigners sell the local line. NSDL publishes a red-flag list when foreign holding is within 3% of the limit.</w:t>
      </w:r>
    </w:p>
    <w:p>
      <w:pPr>
        <w:tabs>
          <w:tab w:pos="425" w:val="left"/>
        </w:tabs>
        <w:spacing w:after="60"/>
        <w:ind w:left="425" w:hanging="425"/>
      </w:pPr>
      <w:r>
        <w:rPr>
          <w:b/>
        </w:rPr>
        <w:t>2.</w:t>
        <w:tab/>
      </w:r>
      <w:r>
        <w:rPr>
          <w:b/>
        </w:rPr>
        <w:t xml:space="preserve">Costs and FX are worse than HK. </w:t>
      </w:r>
      <w:r>
        <w:t>STT of 0.1% each side on delivery is the HK stamp again; INR is NDF offshore and the RBI has since Mar 2026 barred onshore banks from offering INR NDFs to clients, widening the basis. A conversion band of ~40 bps plus expensive hedging.</w:t>
      </w:r>
    </w:p>
    <w:p>
      <w:pPr>
        <w:tabs>
          <w:tab w:pos="425" w:val="left"/>
        </w:tabs>
        <w:spacing w:after="60"/>
        <w:ind w:left="425" w:hanging="425"/>
      </w:pPr>
      <w:r>
        <w:rPr>
          <w:b/>
        </w:rPr>
        <w:t>3.</w:t>
        <w:tab/>
      </w:r>
      <w:r>
        <w:rPr>
          <w:b/>
        </w:rPr>
        <w:t xml:space="preserve">The clock is friendlier than it looks. </w:t>
      </w:r>
      <w:r>
        <w:t>NSE closes at 15:30 IST = 06:00 ET in summer, inside US pre-market, and GIFT Nifty trades until 02:45 IST, so the index hedge covers the US session. But the ADRs' pre-market books are thin, and the 19 Dec 2025 episode (INFY ADR +56% at the open, halted twice, no news) shows what a thin US book does.</w:t>
      </w:r>
    </w:p>
    <w:tbl>
      <w:tblPr>
        <w:tblStyle w:val="TableGrid"/>
        <w:tblW w:type="auto" w:w="0"/>
        <w:tblLook w:firstColumn="1" w:firstRow="1" w:lastColumn="0" w:lastRow="0" w:noHBand="0" w:noVBand="1" w:val="04A0"/>
      </w:tblPr>
      <w:tblGrid>
        <w:gridCol w:w="9972"/>
      </w:tblGrid>
      <w:tr>
        <w:tc>
          <w:tcPr>
            <w:tcW w:type="dxa" w:w="9638"/>
            <w:shd w:val="clear" w:color="auto" w:fill="FFF4D6"/>
          </w:tcPr>
          <w:p>
            <w:r/>
            <w:r>
              <w:rPr>
                <w:b/>
                <w:color w:val="9A6A00"/>
                <w:sz w:val="19"/>
              </w:rPr>
              <w:t xml:space="preserve">INDIA.  </w:t>
            </w:r>
            <w:r>
              <w:rPr>
                <w:sz w:val="19"/>
              </w:rPr>
              <w:t>Only the headroom-event trade on HDB/IBN/INFY is worth a screen: enter when the red-flag list shows headroom reopening and the premium is still up. Everything else fails the FX-cost test.</w:t>
            </w:r>
          </w:p>
        </w:tc>
      </w:tr>
    </w:tbl>
    <w:p>
      <w:pPr>
        <w:spacing w:after="40"/>
      </w:pPr>
    </w:p>
    <w:p>
      <w:pPr>
        <w:pStyle w:val="Heading2"/>
      </w:pPr>
      <w:r>
        <w:t>8.4  South-East Asia and Australia</w:t>
      </w:r>
    </w:p>
    <w:p>
      <w:pPr>
        <w:pStyle w:val="ListBullet"/>
        <w:spacing w:after="40"/>
      </w:pPr>
      <w:r>
        <w:rPr>
          <w:b/>
        </w:rPr>
        <w:t xml:space="preserve">Indonesia and the Philippines: </w:t>
      </w:r>
      <w:r>
        <w:t>TLK does US$10m a day in the ADR, PHI US$3m; premia sit within +/-1% on average with 3-4% close-to-close noise. Nothing at desk size. SKIP.</w:t>
      </w:r>
    </w:p>
    <w:p>
      <w:pPr>
        <w:pStyle w:val="ListBullet"/>
        <w:spacing w:after="40"/>
      </w:pPr>
      <w:r>
        <w:rPr>
          <w:b/>
        </w:rPr>
        <w:t xml:space="preserve">Singapore, Thailand, Malaysia, Vietnam: </w:t>
      </w:r>
      <w:r>
        <w:t>no liquid ADR of a local listing exists (Sea and Grab are US-primary shares). SKIP.</w:t>
      </w:r>
    </w:p>
    <w:p>
      <w:pPr>
        <w:pStyle w:val="ListBullet"/>
        <w:spacing w:after="40"/>
      </w:pPr>
      <w:r>
        <w:rPr>
          <w:b/>
        </w:rPr>
        <w:t xml:space="preserve">Australia is the cleanest pair market in the region and not Asia: </w:t>
      </w:r>
      <w:r>
        <w:t>BHP US$212m a day in New York against US$338m on the ASX, fully fungible since the Jan 2022 unification, no stamp duty, AUD deliverable, and the SPI 200 night session (17:10-07:00/08:00 Sydney) covers the whole US session. The v32 flow trade would work here better than in HK. Rio Tinto is different: the ASX line trades ~23% above the plc/ADR line, a dual-listed-company spread, not an ADR arbitrage.</w:t>
      </w:r>
    </w:p>
    <w:p>
      <w:pPr>
        <w:pStyle w:val="Heading1"/>
      </w:pPr>
      <w:r>
        <w:t>9. The next 30 days</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567"/>
            <w:shd w:val="clear" w:color="auto" w:fill="1F3A5F"/>
          </w:tcPr>
          <w:p>
            <w:r/>
            <w:r>
              <w:rPr>
                <w:b/>
                <w:color w:val="FFFFFF"/>
                <w:sz w:val="17"/>
              </w:rPr>
              <w:t>Week</w:t>
            </w:r>
          </w:p>
        </w:tc>
        <w:tc>
          <w:tcPr>
            <w:tcW w:type="dxa" w:w="5102"/>
            <w:shd w:val="clear" w:color="auto" w:fill="1F3A5F"/>
          </w:tcPr>
          <w:p>
            <w:r/>
            <w:r>
              <w:rPr>
                <w:b/>
                <w:color w:val="FFFFFF"/>
                <w:sz w:val="17"/>
              </w:rPr>
              <w:t>Do</w:t>
            </w:r>
          </w:p>
        </w:tc>
        <w:tc>
          <w:tcPr>
            <w:tcW w:type="dxa" w:w="3969"/>
            <w:shd w:val="clear" w:color="auto" w:fill="1F3A5F"/>
          </w:tcPr>
          <w:p>
            <w:r/>
            <w:r>
              <w:rPr>
                <w:b/>
                <w:color w:val="FFFFFF"/>
                <w:sz w:val="17"/>
              </w:rPr>
              <w:t>Output that decides</w:t>
            </w:r>
          </w:p>
        </w:tc>
      </w:tr>
      <w:tr>
        <w:tc>
          <w:tcPr>
            <w:tcW w:type="dxa" w:w="567"/>
          </w:tcPr>
          <w:p>
            <w:r/>
            <w:r>
              <w:rPr>
                <w:b/>
                <w:sz w:val="17"/>
              </w:rPr>
              <w:t>1</w:t>
            </w:r>
          </w:p>
        </w:tc>
        <w:tc>
          <w:tcPr>
            <w:tcW w:type="dxa" w:w="5102"/>
          </w:tcPr>
          <w:p>
            <w:r/>
            <w:r>
              <w:rPr>
                <w:sz w:val="17"/>
              </w:rPr>
              <w:t>Capture Blue Ocean/MOON quotes and prints for the 8 listed pairs during HK hours (Tiingo overnight feed or the broker); capture HKEX top of book at the same timestamps.</w:t>
            </w:r>
          </w:p>
        </w:tc>
        <w:tc>
          <w:tcPr>
            <w:tcW w:type="dxa" w:w="3969"/>
          </w:tcPr>
          <w:p>
            <w:r/>
            <w:r>
              <w:rPr>
                <w:sz w:val="17"/>
              </w:rPr>
              <w:t>Minutes per night with |premium| &gt; 30 / &gt; 60 bps; depth at those minutes. If it is under 5 minutes a night at under 2,000 ADSs, idea 1 waits for December.</w:t>
            </w:r>
          </w:p>
        </w:tc>
      </w:tr>
      <w:tr>
        <w:tc>
          <w:tcPr>
            <w:tcW w:type="dxa" w:w="567"/>
            <w:shd w:val="clear" w:color="auto" w:fill="F2F5F9"/>
          </w:tcPr>
          <w:p>
            <w:r/>
            <w:r>
              <w:rPr>
                <w:b/>
                <w:sz w:val="17"/>
              </w:rPr>
              <w:t>1</w:t>
            </w:r>
          </w:p>
        </w:tc>
        <w:tc>
          <w:tcPr>
            <w:tcW w:type="dxa" w:w="5102"/>
            <w:shd w:val="clear" w:color="auto" w:fill="F2F5F9"/>
          </w:tcPr>
          <w:p>
            <w:r/>
            <w:r>
              <w:rPr>
                <w:sz w:val="17"/>
              </w:rPr>
              <w:t>Build the daily premium series for the 10 pairs back to 2022 with the Southbound net-buy column; mark the episodes.</w:t>
            </w:r>
          </w:p>
        </w:tc>
        <w:tc>
          <w:tcPr>
            <w:tcW w:type="dxa" w:w="3969"/>
            <w:shd w:val="clear" w:color="auto" w:fill="F2F5F9"/>
          </w:tcPr>
          <w:p>
            <w:r/>
            <w:r>
              <w:rPr>
                <w:sz w:val="17"/>
              </w:rPr>
              <w:t>Size and duration of every episode above 40 bps; whether Southbound led by a day. Decides idea 3.</w:t>
            </w:r>
          </w:p>
        </w:tc>
      </w:tr>
      <w:tr>
        <w:tc>
          <w:tcPr>
            <w:tcW w:type="dxa" w:w="567"/>
          </w:tcPr>
          <w:p>
            <w:r/>
            <w:r>
              <w:rPr>
                <w:b/>
                <w:sz w:val="17"/>
              </w:rPr>
              <w:t>2</w:t>
            </w:r>
          </w:p>
        </w:tc>
        <w:tc>
          <w:tcPr>
            <w:tcW w:type="dxa" w:w="5102"/>
          </w:tcPr>
          <w:p>
            <w:r/>
            <w:r>
              <w:rPr>
                <w:sz w:val="17"/>
              </w:rPr>
              <w:t>Pull 12 rebalance dates and 8 quarters of earnings dates; compute CAS-vs-ADR-implied and IEP-vs-ADR-implied gaps and the next-session reversal.</w:t>
            </w:r>
          </w:p>
        </w:tc>
        <w:tc>
          <w:tcPr>
            <w:tcW w:type="dxa" w:w="3969"/>
          </w:tcPr>
          <w:p>
            <w:r/>
            <w:r>
              <w:rPr>
                <w:sz w:val="17"/>
              </w:rPr>
              <w:t>Average reversal in bps vs the 16 bps one-way stock cost. Decides ideas 4 and 5.</w:t>
            </w:r>
          </w:p>
        </w:tc>
      </w:tr>
      <w:tr>
        <w:tc>
          <w:tcPr>
            <w:tcW w:type="dxa" w:w="567"/>
            <w:shd w:val="clear" w:color="auto" w:fill="F2F5F9"/>
          </w:tcPr>
          <w:p>
            <w:r/>
            <w:r>
              <w:rPr>
                <w:b/>
                <w:sz w:val="17"/>
              </w:rPr>
              <w:t>2</w:t>
            </w:r>
          </w:p>
        </w:tc>
        <w:tc>
          <w:tcPr>
            <w:tcW w:type="dxa" w:w="5102"/>
            <w:shd w:val="clear" w:color="auto" w:fill="F2F5F9"/>
          </w:tcPr>
          <w:p>
            <w:r/>
            <w:r>
              <w:rPr>
                <w:sz w:val="17"/>
              </w:rPr>
              <w:t>Confirm with Citi: deposit/cancellation cut-offs, fee, stamp treatment of the conversion leg, book-closure calendar. Ask the SBL desk for 12 months of both-line rates.</w:t>
            </w:r>
          </w:p>
        </w:tc>
        <w:tc>
          <w:tcPr>
            <w:tcW w:type="dxa" w:w="3969"/>
            <w:shd w:val="clear" w:color="auto" w:fill="F2F5F9"/>
          </w:tcPr>
          <w:p>
            <w:r/>
            <w:r>
              <w:rPr>
                <w:sz w:val="17"/>
              </w:rPr>
              <w:t>The conversion band in bps and days, per name. Decides the exit rule for everything.</w:t>
            </w:r>
          </w:p>
        </w:tc>
      </w:tr>
      <w:tr>
        <w:tc>
          <w:tcPr>
            <w:tcW w:type="dxa" w:w="567"/>
          </w:tcPr>
          <w:p>
            <w:r/>
            <w:r>
              <w:rPr>
                <w:b/>
                <w:sz w:val="17"/>
              </w:rPr>
              <w:t>3</w:t>
            </w:r>
          </w:p>
        </w:tc>
        <w:tc>
          <w:tcPr>
            <w:tcW w:type="dxa" w:w="5102"/>
          </w:tcPr>
          <w:p>
            <w:r/>
            <w:r>
              <w:rPr>
                <w:sz w:val="17"/>
              </w:rPr>
              <w:t>Ask the US broker for Overnight Session access and the December test dates; run v33 in "ticket every day" mode to price the guaranteed-conversion service.</w:t>
            </w:r>
          </w:p>
        </w:tc>
        <w:tc>
          <w:tcPr>
            <w:tcW w:type="dxa" w:w="3969"/>
          </w:tcPr>
          <w:p>
            <w:r/>
            <w:r>
              <w:rPr>
                <w:sz w:val="17"/>
              </w:rPr>
              <w:t>Fee per ticket vs residual sigma. Decides idea 2.</w:t>
            </w:r>
          </w:p>
        </w:tc>
      </w:tr>
      <w:tr>
        <w:tc>
          <w:tcPr>
            <w:tcW w:type="dxa" w:w="567"/>
            <w:shd w:val="clear" w:color="auto" w:fill="F2F5F9"/>
          </w:tcPr>
          <w:p>
            <w:r/>
            <w:r>
              <w:rPr>
                <w:b/>
                <w:sz w:val="17"/>
              </w:rPr>
              <w:t>4</w:t>
            </w:r>
          </w:p>
        </w:tc>
        <w:tc>
          <w:tcPr>
            <w:tcW w:type="dxa" w:w="5102"/>
            <w:shd w:val="clear" w:color="auto" w:fill="F2F5F9"/>
          </w:tcPr>
          <w:p>
            <w:r/>
            <w:r>
              <w:rPr>
                <w:sz w:val="17"/>
              </w:rPr>
              <w:t>Re-run v33 with the section 7 changes on named days only.</w:t>
            </w:r>
          </w:p>
        </w:tc>
        <w:tc>
          <w:tcPr>
            <w:tcW w:type="dxa" w:w="3969"/>
            <w:shd w:val="clear" w:color="auto" w:fill="F2F5F9"/>
          </w:tcPr>
          <w:p>
            <w:r/>
            <w:r>
              <w:rPr>
                <w:sz w:val="17"/>
              </w:rPr>
              <w:t>Net bps, t-stat and pass-through on the named-day subset. Go/no-go for a systematic book.</w:t>
            </w:r>
          </w:p>
        </w:tc>
      </w:tr>
    </w:tbl>
    <w:p>
      <w:pPr>
        <w:spacing w:after="40"/>
      </w:pPr>
    </w:p>
    <w:p>
      <w:pPr>
        <w:pStyle w:val="Heading1"/>
      </w:pPr>
      <w:r>
        <w:t>Sources</w:t>
      </w:r>
    </w:p>
    <w:p>
      <w:pPr>
        <w:spacing w:after="80"/>
      </w:pPr>
      <w:r>
        <w:rPr>
          <w:i w:val="0"/>
          <w:sz w:val="18"/>
        </w:rPr>
        <w:t>Primary sources used for the numbers above. Own calculations (ADV, premia) are marked as such in the text; they come from daily bars and are non-synchronous.</w:t>
      </w:r>
    </w:p>
    <w:p>
      <w:pPr>
        <w:pStyle w:val="ListBullet"/>
        <w:spacing w:after="0"/>
      </w:pPr>
      <w:r>
        <w:rPr>
          <w:color w:val="595959"/>
          <w:sz w:val="16"/>
        </w:rPr>
        <w:t>HKEX, After-Hours Trading (T+1 session) and Derivatives trading hours (updated 20 Jul 2026); Hang Seng Derivatives Factsheet 2026; Stock Futures product page (list updated 15 Jan 2026); Pre-opening Session and CAS FAQs; Transaction costs page (trading fee 0.00565%, SFC levy 0.0027%, AFRC 0.00015%); 1H 2026 interim results (19 Aug 2026); Q1 2026 Market Update.</w:t>
      </w:r>
    </w:p>
    <w:p>
      <w:pPr>
        <w:pStyle w:val="ListBullet"/>
        <w:spacing w:after="0"/>
      </w:pPr>
      <w:r>
        <w:rPr>
          <w:color w:val="595959"/>
          <w:sz w:val="16"/>
        </w:rPr>
        <w:t>Citibank DR notice for Alibaba (18 Nov 2019): fee up to US$5 per 100 ADSs, ~2 business days, cut-offs; Alibaba 424B5 (Nov 2019) on stamp duty on conversion; Alibaba 20-F FY2026.</w:t>
      </w:r>
    </w:p>
    <w:p>
      <w:pPr>
        <w:pStyle w:val="ListBullet"/>
        <w:spacing w:after="0"/>
      </w:pPr>
      <w:r>
        <w:rPr>
          <w:color w:val="595959"/>
          <w:sz w:val="16"/>
        </w:rPr>
        <w:t>Bloomberg via Yahoo Finance, "Alibaba's Sudden ADR Discount Shows Fear of US-China Decoupling" (7 Mar 2025); SCMP, "China's stock rerating spurs widening premiums" (13 Mar 2025); Endowus, "ADRs in Hong Kong explained" (24 Jul 2026).</w:t>
      </w:r>
    </w:p>
    <w:p>
      <w:pPr>
        <w:pStyle w:val="ListBullet"/>
        <w:spacing w:after="0"/>
      </w:pPr>
      <w:r>
        <w:rPr>
          <w:color w:val="595959"/>
          <w:sz w:val="16"/>
        </w:rPr>
        <w:t>NYSE Extended-Hours Trading FAQ v4.0 (Aug 2026); Jones Day, "NYSE and Nasdaq move to 23-hour trading day" (Sep 2026); Arnold &amp; Porter on the SEC's 10 Apr 2026 Nasdaq approval; 24X Overnight Trading FAQs; Cboe EDGX 24x5 filing (16 Mar 2026); DTCC NSCC 24x5 clearing (29 Jun 2026).</w:t>
      </w:r>
    </w:p>
    <w:p>
      <w:pPr>
        <w:pStyle w:val="ListBullet"/>
        <w:spacing w:after="0"/>
      </w:pPr>
      <w:r>
        <w:rPr>
          <w:color w:val="595959"/>
          <w:sz w:val="16"/>
        </w:rPr>
        <w:t>Blue Ocean Technologies FAQ and CEO interview (20 Mar 2026); Tiingo overnight data note (23 Jul 2026); OTC Markets MOON / OTC Overnight product sheet (Mar 2026); NYSE research "The early bird gets the worm" (10 Feb 2025); Cboe 2025 US equities year in review (26 Jan 2026).</w:t>
      </w:r>
    </w:p>
    <w:p>
      <w:pPr>
        <w:pStyle w:val="ListBullet"/>
        <w:spacing w:after="0"/>
      </w:pPr>
      <w:r>
        <w:rPr>
          <w:color w:val="595959"/>
          <w:sz w:val="16"/>
        </w:rPr>
        <w:t>Gagnon &amp; Karolyi, "Multi-market trading and arbitrage", JFE 2010; Hong &amp; Susmel, "Pairs-trading in the Asian ADR market" (2013); Mitra et al., UK ADR arbitrage (Liverpool); Petajisto, "Inefficiencies in the pricing of ETFs" (FAJ 2017); Fung &amp; Lam, "Overreaction of index futures in Hong Kong", J. Empirical Finance 2004; Otsubo, J. Empirical Finance 2014; Hoang &amp; Vo, Australian Journal of Management 2026; JIFMIM 2023 and IRF 2025 on Southbound flow.</w:t>
      </w:r>
    </w:p>
    <w:p>
      <w:pPr>
        <w:pStyle w:val="ListBullet"/>
        <w:spacing w:after="0"/>
      </w:pPr>
      <w:r>
        <w:rPr>
          <w:color w:val="595959"/>
          <w:sz w:val="16"/>
        </w:rPr>
        <w:t>Baidu press releases (26 Aug and 6 Sep 2026); NetEase conversion notice (25 Jun 2026); CnEVPost on NIO (24 Jun 2026); HKEX Guidance Letter GL112-22 (Jul 2026) on the 55% migration test; hstong (16 May 2022) on Connect-held shares and conversion.</w:t>
      </w:r>
    </w:p>
    <w:p>
      <w:pPr>
        <w:pStyle w:val="ListBullet"/>
        <w:spacing w:after="0"/>
      </w:pPr>
      <w:r>
        <w:rPr>
          <w:color w:val="595959"/>
          <w:sz w:val="16"/>
        </w:rPr>
        <w:t>JPX trading hours (13 Apr 2026) and the 5 Nov 2024 close extension; Japannext PTS page and monthly statistics (Aug 2026); CME Nikkei fact card; Toyota 20-F (10 Jun 2026); Kyocera ADR termination (25 Feb 2026).</w:t>
      </w:r>
    </w:p>
    <w:p>
      <w:pPr>
        <w:pStyle w:val="ListBullet"/>
        <w:spacing w:after="0"/>
      </w:pPr>
      <w:r>
        <w:rPr>
          <w:color w:val="595959"/>
          <w:sz w:val="16"/>
        </w:rPr>
        <w:t>KT 20-F FY2025; SK Telecom 20-F (29 Apr 2026); SK hynix F-1/A and 6-K (2026); Korea Daily (15 Jul 2026); Nextrade market overview; KRX night-session guide (Apr 2025) and Korea Times (9 Jun 2025); Seoul Economic Daily on the KRX after-market (14 Sep 2026); MSCI 2026 market classification review (23 Jun 2026).</w:t>
      </w:r>
    </w:p>
    <w:p>
      <w:pPr>
        <w:pStyle w:val="ListBullet"/>
        <w:spacing w:after="0"/>
      </w:pPr>
      <w:r>
        <w:rPr>
          <w:color w:val="595959"/>
          <w:sz w:val="16"/>
        </w:rPr>
        <w:t>Business Standard on HDFC Bank ADR premium (3 Oct 2023, 18 Jan 2024, 4 Oct 2024, 10 Jun 2025); ICICI Bank deposit agreement (20-F FY2025); NSDL FPI limit monitoring; Anand Rathi on NSE hours (2 Jun 2026); RBI measures on INR hedging (Apr 2026); Business Today on the Infosys ADR spike (19-20 Dec 2025).</w:t>
      </w:r>
    </w:p>
    <w:p>
      <w:pPr>
        <w:pStyle w:val="ListBullet"/>
        <w:spacing w:after="0"/>
      </w:pPr>
      <w:r>
        <w:rPr>
          <w:color w:val="595959"/>
          <w:sz w:val="16"/>
        </w:rPr>
        <w:t>ASX cash-market and index-derivatives trading hours; BHP unification (31 Jan 2022); NYSE notice on JHX (14 Jul 2025); BusinessWorld on the Philippine stock transaction tax cut (13 Jun 2025); PwC Indonesia tax summary.</w:t>
      </w:r>
    </w:p>
    <w:p>
      <w:pPr>
        <w:pStyle w:val="ListBullet"/>
        <w:spacing w:after="0"/>
      </w:pPr>
      <w:r>
        <w:rPr>
          <w:color w:val="595959"/>
          <w:sz w:val="16"/>
        </w:rPr>
        <w:t>Desk files: v32_hk_full.py (v31.11/v32, reference only), v33_hk_basket_full.py real-data runs ([TZ1]/[TZ2] pass-through, cost breakeven), the QR order-book reads of 29 Jul 2026, and the desk cost parameters of 31 Jul 2026.</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