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ESWIN Computing IPO analysis</w:t>
      </w:r>
    </w:p>
    <w:p>
      <w:pPr>
        <w:pStyle w:val="Subtitle"/>
      </w:pPr>
      <w:r>
        <w:t>1256 HK  |  Updated 30 September 2026  |  Peer prices at the 29 September close</w:t>
      </w:r>
    </w:p>
    <w:p>
      <w:pPr>
        <w:pStyle w:val="Heading1"/>
      </w:pPr>
      <w:r>
        <w:t>Investment assessment</w:t>
      </w:r>
    </w:p>
    <w:p>
      <w:r>
        <w:t>The IPO price places substantial value on the expansion of interconnectivity and computing chips. The established smart device business supplies most annual revenue and gross profit, but its recent sales and margins have weakened. The newer business has commercial products and a sizeable order backlog; its recurring revenue and profitability still need to be demonstrated.</w:t>
      </w:r>
    </w:p>
    <w:p>
      <w:r>
        <w:t>The positive case is a broader RISC-V product platform gaining customers in industrial, automotive and AI applications. The cautious case is continued display pricing pressure, dependence on a few customers and further funding needs before the newer products reach scale. The evidence supports a growth case with meaningful execution risk; it does not establish that the offer is cheap. [1]</w:t>
      </w:r>
    </w:p>
    <w:p>
      <w:r>
        <w:t>At HK$1.48 to HK$1.59, the company is valued at about 11.2 to 12.0 times trailing revenue and 57 to 61 times trailing gross profit. Selected profitable display peers trade near 3 to 4 times sales. Selected computing peers span a wider range, but generally have materially higher gross margins. The relevant question is how much of that computing premium ESWIN can earn. [1-4]</w:t>
      </w:r>
    </w:p>
    <w:p>
      <w:pPr>
        <w:pStyle w:val="Heading2"/>
      </w:pPr>
      <w:r>
        <w:t>IPO terms at a glance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5" w:type="dxa"/>
          <w:right w:w="95" w:type="dxa"/>
        </w:tblCellMar>
      </w:tblPr>
      <w:tblGrid>
        <w:gridCol w:w="2131"/>
        <w:gridCol w:w="8093"/>
      </w:tblGrid>
      <w:tr>
        <w:trPr>
          <w:tblHeader/>
          <w:cantSplit/>
        </w:trPr>
        <w:tc>
          <w:tcPr>
            <w:tcW w:type="dxa" w:w="2131"/>
            <w:vAlign w:val="center"/>
            <w:shd w:fill="26384A"/>
          </w:tcPr>
          <w:p>
            <w:pPr>
              <w:spacing w:after="0" w:before="0" w:line="250" w:lineRule="auto"/>
              <w:jc w:val="left"/>
            </w:pPr>
            <w:r>
              <w:rPr>
                <w:b/>
                <w:color w:val="FFFFFF"/>
                <w:sz w:val="20"/>
              </w:rPr>
              <w:t>Item</w:t>
            </w:r>
          </w:p>
        </w:tc>
        <w:tc>
          <w:tcPr>
            <w:tcW w:type="dxa" w:w="8093"/>
            <w:vAlign w:val="center"/>
            <w:shd w:fill="26384A"/>
          </w:tcPr>
          <w:p>
            <w:pPr>
              <w:spacing w:after="0" w:before="0" w:line="250" w:lineRule="auto"/>
              <w:jc w:val="left"/>
            </w:pPr>
            <w:r>
              <w:rPr>
                <w:b/>
                <w:color w:val="FFFFFF"/>
                <w:sz w:val="20"/>
              </w:rPr>
              <w:t>Terms</w:t>
            </w:r>
          </w:p>
        </w:tc>
      </w:tr>
      <w:tr>
        <w:trPr>
          <w:cantSplit/>
        </w:trPr>
        <w:tc>
          <w:tcPr>
            <w:tcW w:type="dxa" w:w="2131"/>
            <w:vAlign w:val="center"/>
            <w:shd w:fill="F1F4F6"/>
          </w:tcPr>
          <w:p>
            <w:pPr>
              <w:spacing w:after="0" w:before="0" w:line="250" w:lineRule="auto"/>
              <w:jc w:val="left"/>
            </w:pPr>
            <w:r>
              <w:rPr>
                <w:b w:val="0"/>
                <w:color w:val="000000"/>
                <w:sz w:val="20"/>
              </w:rPr>
              <w:t>Offer price and lot</w:t>
            </w:r>
          </w:p>
        </w:tc>
        <w:tc>
          <w:tcPr>
            <w:tcW w:type="dxa" w:w="8093"/>
            <w:vAlign w:val="center"/>
            <w:shd w:fill="F1F4F6"/>
          </w:tcPr>
          <w:p>
            <w:pPr>
              <w:spacing w:after="0" w:before="0" w:line="250" w:lineRule="auto"/>
              <w:jc w:val="left"/>
            </w:pPr>
            <w:r>
              <w:rPr>
                <w:b w:val="0"/>
                <w:color w:val="000000"/>
                <w:sz w:val="20"/>
              </w:rPr>
              <w:t>HK$1.48-1.59; 2,000 shares; maximum application cost HK$3,212.07 per lot</w:t>
            </w:r>
          </w:p>
        </w:tc>
      </w:tr>
      <w:tr>
        <w:trPr>
          <w:cantSplit/>
        </w:trPr>
        <w:tc>
          <w:tcPr>
            <w:tcW w:type="dxa" w:w="2131"/>
            <w:vAlign w:val="center"/>
            <w:shd w:fill="FFFFFF"/>
          </w:tcPr>
          <w:p>
            <w:pPr>
              <w:spacing w:after="0" w:before="0" w:line="250" w:lineRule="auto"/>
              <w:jc w:val="left"/>
            </w:pPr>
            <w:r>
              <w:rPr>
                <w:b w:val="0"/>
                <w:color w:val="000000"/>
                <w:sz w:val="20"/>
              </w:rPr>
              <w:t>Company equity value</w:t>
            </w:r>
          </w:p>
        </w:tc>
        <w:tc>
          <w:tcPr>
            <w:tcW w:type="dxa" w:w="8093"/>
            <w:vAlign w:val="center"/>
            <w:shd w:fill="FFFFFF"/>
          </w:tcPr>
          <w:p>
            <w:pPr>
              <w:spacing w:after="0" w:before="0" w:line="250" w:lineRule="auto"/>
              <w:jc w:val="left"/>
            </w:pPr>
            <w:r>
              <w:rPr>
                <w:b w:val="0"/>
                <w:color w:val="000000"/>
                <w:sz w:val="20"/>
              </w:rPr>
              <w:t>HK$32.55-34.97bn on 21.9916bn total shares; H-share class value is HK$15.03-16.15bn</w:t>
            </w:r>
          </w:p>
        </w:tc>
      </w:tr>
      <w:tr>
        <w:trPr>
          <w:cantSplit/>
        </w:trPr>
        <w:tc>
          <w:tcPr>
            <w:tcW w:type="dxa" w:w="2131"/>
            <w:vAlign w:val="center"/>
            <w:shd w:fill="F1F4F6"/>
          </w:tcPr>
          <w:p>
            <w:pPr>
              <w:spacing w:after="0" w:before="0" w:line="250" w:lineRule="auto"/>
              <w:jc w:val="left"/>
            </w:pPr>
            <w:r>
              <w:rPr>
                <w:b w:val="0"/>
                <w:color w:val="000000"/>
                <w:sz w:val="20"/>
              </w:rPr>
              <w:t>Offer and proceeds</w:t>
            </w:r>
          </w:p>
        </w:tc>
        <w:tc>
          <w:tcPr>
            <w:tcW w:type="dxa" w:w="8093"/>
            <w:vAlign w:val="center"/>
            <w:shd w:fill="F1F4F6"/>
          </w:tcPr>
          <w:p>
            <w:pPr>
              <w:spacing w:after="0" w:before="0" w:line="250" w:lineRule="auto"/>
              <w:jc w:val="left"/>
            </w:pPr>
            <w:r>
              <w:rPr>
                <w:b w:val="0"/>
                <w:color w:val="000000"/>
                <w:sz w:val="20"/>
              </w:rPr>
              <w:t>1.5702bn new H shares; HK$2.32-2.50bn gross; HK$2.267bn estimated net at HK$1.54</w:t>
            </w:r>
          </w:p>
        </w:tc>
      </w:tr>
      <w:tr>
        <w:trPr>
          <w:cantSplit/>
        </w:trPr>
        <w:tc>
          <w:tcPr>
            <w:tcW w:type="dxa" w:w="2131"/>
            <w:vAlign w:val="center"/>
            <w:shd w:fill="FFFFFF"/>
          </w:tcPr>
          <w:p>
            <w:pPr>
              <w:spacing w:after="0" w:before="0" w:line="250" w:lineRule="auto"/>
              <w:jc w:val="left"/>
            </w:pPr>
            <w:r>
              <w:rPr>
                <w:b w:val="0"/>
                <w:color w:val="000000"/>
                <w:sz w:val="20"/>
              </w:rPr>
              <w:t>Cornerstones</w:t>
            </w:r>
          </w:p>
        </w:tc>
        <w:tc>
          <w:tcPr>
            <w:tcW w:type="dxa" w:w="8093"/>
            <w:vAlign w:val="center"/>
            <w:shd w:fill="FFFFFF"/>
          </w:tcPr>
          <w:p>
            <w:pPr>
              <w:spacing w:after="0" w:before="0" w:line="250" w:lineRule="auto"/>
              <w:jc w:val="left"/>
            </w:pPr>
            <w:r>
              <w:rPr>
                <w:b w:val="0"/>
                <w:color w:val="000000"/>
                <w:sz w:val="20"/>
              </w:rPr>
              <w:t>Nine investors; HK$1.161bn; approximately 46.5-50.0% of the base offer</w:t>
            </w:r>
          </w:p>
        </w:tc>
      </w:tr>
      <w:tr>
        <w:trPr>
          <w:cantSplit/>
        </w:trPr>
        <w:tc>
          <w:tcPr>
            <w:tcW w:type="dxa" w:w="2131"/>
            <w:vAlign w:val="center"/>
            <w:shd w:fill="F1F4F6"/>
          </w:tcPr>
          <w:p>
            <w:pPr>
              <w:spacing w:after="0" w:before="0" w:line="250" w:lineRule="auto"/>
              <w:jc w:val="left"/>
            </w:pPr>
            <w:r>
              <w:rPr>
                <w:b w:val="0"/>
                <w:color w:val="000000"/>
                <w:sz w:val="20"/>
              </w:rPr>
              <w:t>Offer mechanics</w:t>
            </w:r>
          </w:p>
        </w:tc>
        <w:tc>
          <w:tcPr>
            <w:tcW w:type="dxa" w:w="8093"/>
            <w:vAlign w:val="center"/>
            <w:shd w:fill="F1F4F6"/>
          </w:tcPr>
          <w:p>
            <w:pPr>
              <w:spacing w:after="0" w:before="0" w:line="250" w:lineRule="auto"/>
              <w:jc w:val="left"/>
            </w:pPr>
            <w:r>
              <w:rPr>
                <w:b w:val="0"/>
                <w:color w:val="000000"/>
                <w:sz w:val="20"/>
              </w:rPr>
              <w:t>15% offer size adjustment option; no greenshoe or stabilising manager; Mechanism B allocation</w:t>
            </w:r>
          </w:p>
        </w:tc>
      </w:tr>
      <w:tr>
        <w:trPr>
          <w:cantSplit/>
        </w:trPr>
        <w:tc>
          <w:tcPr>
            <w:tcW w:type="dxa" w:w="2131"/>
            <w:vAlign w:val="center"/>
            <w:shd w:fill="FFFFFF"/>
          </w:tcPr>
          <w:p>
            <w:pPr>
              <w:spacing w:after="0" w:before="0" w:line="250" w:lineRule="auto"/>
              <w:jc w:val="left"/>
            </w:pPr>
            <w:r>
              <w:rPr>
                <w:b w:val="0"/>
                <w:color w:val="000000"/>
                <w:sz w:val="20"/>
              </w:rPr>
              <w:t>Timetable</w:t>
            </w:r>
          </w:p>
        </w:tc>
        <w:tc>
          <w:tcPr>
            <w:tcW w:type="dxa" w:w="8093"/>
            <w:vAlign w:val="center"/>
            <w:shd w:fill="FFFFFF"/>
          </w:tcPr>
          <w:p>
            <w:pPr>
              <w:spacing w:after="0" w:before="0" w:line="250" w:lineRule="auto"/>
              <w:jc w:val="left"/>
            </w:pPr>
            <w:r>
              <w:rPr>
                <w:b w:val="0"/>
                <w:color w:val="000000"/>
                <w:sz w:val="20"/>
              </w:rPr>
              <w:t>Public offer closes 6 October at noon; expected pricing 7 October, results 8 October, listing 9 October</w:t>
            </w:r>
          </w:p>
        </w:tc>
      </w:tr>
    </w:tbl>
    <w:p>
      <w:pPr>
        <w:spacing w:after="40" w:line="20" w:lineRule="exact"/>
      </w:pPr>
      <w:r>
        <w:rPr>
          <w:sz w:val="2"/>
        </w:rPr>
      </w:r>
    </w:p>
    <w:p>
      <w:pPr>
        <w:spacing w:line="245" w:lineRule="auto" w:after="140"/>
      </w:pPr>
      <w:r>
        <w:rPr>
          <w:sz w:val="18"/>
        </w:rPr>
        <w:t>Source [1]. Terms assume no offer size adjustment. Valuation uses every share class. A smaller H-share class market value understates the value of the whole company.</w:t>
      </w:r>
    </w:p>
    <w:p>
      <w:pPr>
        <w:pStyle w:val="Heading2"/>
      </w:pPr>
      <w:r>
        <w:t>The decisions to make</w:t>
      </w:r>
    </w:p>
    <w:p>
      <w:r>
        <w:t>For a longer holding period, assess repeat computing orders, recovery in smart device margins and cash generation. For an IPO trade, assess final demand, allocation and the tradable supply. These are separate investment questions; a successful debut would not by itself validate the operating valuation.</w:t>
      </w:r>
    </w:p>
    <w:p>
      <w:pPr>
        <w:pStyle w:val="Heading1"/>
        <w:pageBreakBefore/>
      </w:pPr>
      <w:r>
        <w:t>The two business lines</w:t>
      </w:r>
    </w:p>
    <w:p>
      <w:r>
        <w:t>ESWIN is a fabless chip designer founded in 2019 by BOE founder Wang Dongsheng. It outsources manufacturing, packaging and testing. Its product offering has two main business lines, plus a small licence and services stream. [1]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5" w:type="dxa"/>
          <w:right w:w="95" w:type="dxa"/>
        </w:tblCellMar>
      </w:tblPr>
      <w:tblGrid>
        <w:gridCol w:w="3816"/>
        <w:gridCol w:w="1685"/>
        <w:gridCol w:w="1166"/>
        <w:gridCol w:w="1627"/>
        <w:gridCol w:w="1930"/>
      </w:tblGrid>
      <w:tr>
        <w:trPr>
          <w:tblHeader/>
          <w:cantSplit/>
        </w:trPr>
        <w:tc>
          <w:tcPr>
            <w:tcW w:type="dxa" w:w="3816"/>
            <w:vAlign w:val="center"/>
            <w:shd w:fill="26384A"/>
          </w:tcPr>
          <w:p>
            <w:pPr>
              <w:spacing w:after="0" w:before="0" w:line="250" w:lineRule="auto"/>
              <w:jc w:val="left"/>
            </w:pPr>
            <w:r>
              <w:rPr>
                <w:b/>
                <w:color w:val="FFFFFF"/>
                <w:sz w:val="20"/>
              </w:rPr>
              <w:t>Business line</w:t>
            </w:r>
          </w:p>
        </w:tc>
        <w:tc>
          <w:tcPr>
            <w:tcW w:type="dxa" w:w="1685"/>
            <w:vAlign w:val="center"/>
            <w:shd w:fill="26384A"/>
          </w:tcPr>
          <w:p>
            <w:pPr>
              <w:spacing w:after="0" w:before="0" w:line="250" w:lineRule="auto"/>
              <w:jc w:val="center"/>
            </w:pPr>
            <w:r>
              <w:rPr>
                <w:b/>
                <w:color w:val="FFFFFF"/>
                <w:sz w:val="20"/>
              </w:rPr>
              <w:t>FY2025 revenue</w:t>
              <w:br/>
              <w:t>RMBm</w:t>
            </w:r>
          </w:p>
        </w:tc>
        <w:tc>
          <w:tcPr>
            <w:tcW w:type="dxa" w:w="1166"/>
            <w:vAlign w:val="center"/>
            <w:shd w:fill="26384A"/>
          </w:tcPr>
          <w:p>
            <w:pPr>
              <w:spacing w:after="0" w:before="0" w:line="250" w:lineRule="auto"/>
              <w:jc w:val="center"/>
            </w:pPr>
            <w:r>
              <w:rPr>
                <w:b/>
                <w:color w:val="FFFFFF"/>
                <w:sz w:val="20"/>
              </w:rPr>
              <w:t>Share of</w:t>
              <w:br/>
              <w:t>revenue</w:t>
            </w:r>
          </w:p>
        </w:tc>
        <w:tc>
          <w:tcPr>
            <w:tcW w:type="dxa" w:w="1627"/>
            <w:vAlign w:val="center"/>
            <w:shd w:fill="26384A"/>
          </w:tcPr>
          <w:p>
            <w:pPr>
              <w:spacing w:after="0" w:before="0" w:line="250" w:lineRule="auto"/>
              <w:jc w:val="center"/>
            </w:pPr>
            <w:r>
              <w:rPr>
                <w:b/>
                <w:color w:val="FFFFFF"/>
                <w:sz w:val="20"/>
              </w:rPr>
              <w:t>FY2025</w:t>
              <w:br/>
              <w:t>gross margin</w:t>
            </w:r>
          </w:p>
        </w:tc>
        <w:tc>
          <w:tcPr>
            <w:tcW w:type="dxa" w:w="1930"/>
            <w:vAlign w:val="center"/>
            <w:shd w:fill="26384A"/>
          </w:tcPr>
          <w:p>
            <w:pPr>
              <w:spacing w:after="0" w:before="0" w:line="250" w:lineRule="auto"/>
              <w:jc w:val="center"/>
            </w:pPr>
            <w:r>
              <w:rPr>
                <w:b/>
                <w:color w:val="FFFFFF"/>
                <w:sz w:val="20"/>
              </w:rPr>
              <w:t>1Q2026 revenue</w:t>
              <w:br/>
              <w:t>RMBm</w:t>
            </w:r>
          </w:p>
        </w:tc>
      </w:tr>
      <w:tr>
        <w:trPr>
          <w:cantSplit/>
        </w:trPr>
        <w:tc>
          <w:tcPr>
            <w:tcW w:type="dxa" w:w="3816"/>
            <w:vAlign w:val="center"/>
            <w:shd w:fill="F1F4F6"/>
          </w:tcPr>
          <w:p>
            <w:pPr>
              <w:spacing w:after="0" w:before="0" w:line="250" w:lineRule="auto"/>
              <w:jc w:val="left"/>
            </w:pPr>
            <w:r>
              <w:rPr>
                <w:b w:val="0"/>
                <w:color w:val="000000"/>
                <w:sz w:val="20"/>
              </w:rPr>
              <w:t>Smart device chips</w:t>
              <w:br/>
              <w:t>HMI and multimedia processing</w:t>
            </w:r>
          </w:p>
        </w:tc>
        <w:tc>
          <w:tcPr>
            <w:tcW w:type="dxa" w:w="1685"/>
            <w:vAlign w:val="center"/>
            <w:shd w:fill="F1F4F6"/>
          </w:tcPr>
          <w:p>
            <w:pPr>
              <w:spacing w:after="0" w:before="0" w:line="250" w:lineRule="auto"/>
              <w:jc w:val="center"/>
            </w:pPr>
            <w:r>
              <w:rPr>
                <w:b w:val="0"/>
                <w:color w:val="000000"/>
                <w:sz w:val="20"/>
              </w:rPr>
              <w:t>2,006.3</w:t>
            </w:r>
          </w:p>
        </w:tc>
        <w:tc>
          <w:tcPr>
            <w:tcW w:type="dxa" w:w="1166"/>
            <w:vAlign w:val="center"/>
            <w:shd w:fill="F1F4F6"/>
          </w:tcPr>
          <w:p>
            <w:pPr>
              <w:spacing w:after="0" w:before="0" w:line="250" w:lineRule="auto"/>
              <w:jc w:val="center"/>
            </w:pPr>
            <w:r>
              <w:rPr>
                <w:b w:val="0"/>
                <w:color w:val="000000"/>
                <w:sz w:val="20"/>
              </w:rPr>
              <w:t>82.5%</w:t>
            </w:r>
          </w:p>
        </w:tc>
        <w:tc>
          <w:tcPr>
            <w:tcW w:type="dxa" w:w="1627"/>
            <w:vAlign w:val="center"/>
            <w:shd w:fill="F1F4F6"/>
          </w:tcPr>
          <w:p>
            <w:pPr>
              <w:spacing w:after="0" w:before="0" w:line="250" w:lineRule="auto"/>
              <w:jc w:val="center"/>
            </w:pPr>
            <w:r>
              <w:rPr>
                <w:b w:val="0"/>
                <w:color w:val="000000"/>
                <w:sz w:val="20"/>
              </w:rPr>
              <w:t>18.9%</w:t>
            </w:r>
          </w:p>
        </w:tc>
        <w:tc>
          <w:tcPr>
            <w:tcW w:type="dxa" w:w="1930"/>
            <w:vAlign w:val="center"/>
            <w:shd w:fill="F1F4F6"/>
          </w:tcPr>
          <w:p>
            <w:pPr>
              <w:spacing w:after="0" w:before="0" w:line="250" w:lineRule="auto"/>
              <w:jc w:val="center"/>
            </w:pPr>
            <w:r>
              <w:rPr>
                <w:b w:val="0"/>
                <w:color w:val="000000"/>
                <w:sz w:val="20"/>
              </w:rPr>
              <w:t>241.8</w:t>
            </w:r>
          </w:p>
        </w:tc>
      </w:tr>
      <w:tr>
        <w:trPr>
          <w:cantSplit/>
        </w:trPr>
        <w:tc>
          <w:tcPr>
            <w:tcW w:type="dxa" w:w="3816"/>
            <w:vAlign w:val="center"/>
            <w:shd w:fill="FFFFFF"/>
          </w:tcPr>
          <w:p>
            <w:pPr>
              <w:spacing w:after="0" w:before="0" w:line="250" w:lineRule="auto"/>
              <w:jc w:val="left"/>
            </w:pPr>
            <w:r>
              <w:rPr>
                <w:b w:val="0"/>
                <w:color w:val="000000"/>
                <w:sz w:val="20"/>
              </w:rPr>
              <w:t>Interconnectivity and computing chips</w:t>
            </w:r>
          </w:p>
        </w:tc>
        <w:tc>
          <w:tcPr>
            <w:tcW w:type="dxa" w:w="1685"/>
            <w:vAlign w:val="center"/>
            <w:shd w:fill="FFFFFF"/>
          </w:tcPr>
          <w:p>
            <w:pPr>
              <w:spacing w:after="0" w:before="0" w:line="250" w:lineRule="auto"/>
              <w:jc w:val="center"/>
            </w:pPr>
            <w:r>
              <w:rPr>
                <w:b w:val="0"/>
                <w:color w:val="000000"/>
                <w:sz w:val="20"/>
              </w:rPr>
              <w:t>383.2</w:t>
            </w:r>
          </w:p>
        </w:tc>
        <w:tc>
          <w:tcPr>
            <w:tcW w:type="dxa" w:w="1166"/>
            <w:vAlign w:val="center"/>
            <w:shd w:fill="FFFFFF"/>
          </w:tcPr>
          <w:p>
            <w:pPr>
              <w:spacing w:after="0" w:before="0" w:line="250" w:lineRule="auto"/>
              <w:jc w:val="center"/>
            </w:pPr>
            <w:r>
              <w:rPr>
                <w:b w:val="0"/>
                <w:color w:val="000000"/>
                <w:sz w:val="20"/>
              </w:rPr>
              <w:t>15.8%</w:t>
            </w:r>
          </w:p>
        </w:tc>
        <w:tc>
          <w:tcPr>
            <w:tcW w:type="dxa" w:w="1627"/>
            <w:vAlign w:val="center"/>
            <w:shd w:fill="FFFFFF"/>
          </w:tcPr>
          <w:p>
            <w:pPr>
              <w:spacing w:after="0" w:before="0" w:line="250" w:lineRule="auto"/>
              <w:jc w:val="center"/>
            </w:pPr>
            <w:r>
              <w:rPr>
                <w:b w:val="0"/>
                <w:color w:val="000000"/>
                <w:sz w:val="20"/>
              </w:rPr>
              <w:t>12.6%</w:t>
            </w:r>
          </w:p>
        </w:tc>
        <w:tc>
          <w:tcPr>
            <w:tcW w:type="dxa" w:w="1930"/>
            <w:vAlign w:val="center"/>
            <w:shd w:fill="FFFFFF"/>
          </w:tcPr>
          <w:p>
            <w:pPr>
              <w:spacing w:after="0" w:before="0" w:line="250" w:lineRule="auto"/>
              <w:jc w:val="center"/>
            </w:pPr>
            <w:r>
              <w:rPr>
                <w:b w:val="0"/>
                <w:color w:val="000000"/>
                <w:sz w:val="20"/>
              </w:rPr>
              <w:t>234.1</w:t>
            </w:r>
          </w:p>
        </w:tc>
      </w:tr>
      <w:tr>
        <w:trPr>
          <w:cantSplit/>
        </w:trPr>
        <w:tc>
          <w:tcPr>
            <w:tcW w:type="dxa" w:w="3816"/>
            <w:vAlign w:val="center"/>
            <w:shd w:fill="F1F4F6"/>
          </w:tcPr>
          <w:p>
            <w:pPr>
              <w:spacing w:after="0" w:before="0" w:line="250" w:lineRule="auto"/>
              <w:jc w:val="left"/>
            </w:pPr>
            <w:r>
              <w:rPr>
                <w:b w:val="0"/>
                <w:color w:val="000000"/>
                <w:sz w:val="20"/>
              </w:rPr>
              <w:t>Licence and services</w:t>
            </w:r>
          </w:p>
        </w:tc>
        <w:tc>
          <w:tcPr>
            <w:tcW w:type="dxa" w:w="1685"/>
            <w:vAlign w:val="center"/>
            <w:shd w:fill="F1F4F6"/>
          </w:tcPr>
          <w:p>
            <w:pPr>
              <w:spacing w:after="0" w:before="0" w:line="250" w:lineRule="auto"/>
              <w:jc w:val="center"/>
            </w:pPr>
            <w:r>
              <w:rPr>
                <w:b w:val="0"/>
                <w:color w:val="000000"/>
                <w:sz w:val="20"/>
              </w:rPr>
              <w:t>41.7</w:t>
            </w:r>
          </w:p>
        </w:tc>
        <w:tc>
          <w:tcPr>
            <w:tcW w:type="dxa" w:w="1166"/>
            <w:vAlign w:val="center"/>
            <w:shd w:fill="F1F4F6"/>
          </w:tcPr>
          <w:p>
            <w:pPr>
              <w:spacing w:after="0" w:before="0" w:line="250" w:lineRule="auto"/>
              <w:jc w:val="center"/>
            </w:pPr>
            <w:r>
              <w:rPr>
                <w:b w:val="0"/>
                <w:color w:val="000000"/>
                <w:sz w:val="20"/>
              </w:rPr>
              <w:t>1.7%</w:t>
            </w:r>
          </w:p>
        </w:tc>
        <w:tc>
          <w:tcPr>
            <w:tcW w:type="dxa" w:w="1627"/>
            <w:vAlign w:val="center"/>
            <w:shd w:fill="F1F4F6"/>
          </w:tcPr>
          <w:p>
            <w:pPr>
              <w:spacing w:after="0" w:before="0" w:line="250" w:lineRule="auto"/>
              <w:jc w:val="center"/>
            </w:pPr>
            <w:r>
              <w:rPr>
                <w:b w:val="0"/>
                <w:color w:val="000000"/>
                <w:sz w:val="20"/>
              </w:rPr>
              <w:t>62.7%</w:t>
            </w:r>
          </w:p>
        </w:tc>
        <w:tc>
          <w:tcPr>
            <w:tcW w:type="dxa" w:w="1930"/>
            <w:vAlign w:val="center"/>
            <w:shd w:fill="F1F4F6"/>
          </w:tcPr>
          <w:p>
            <w:pPr>
              <w:spacing w:after="0" w:before="0" w:line="250" w:lineRule="auto"/>
              <w:jc w:val="center"/>
            </w:pPr>
            <w:r>
              <w:rPr>
                <w:b w:val="0"/>
                <w:color w:val="000000"/>
                <w:sz w:val="20"/>
              </w:rPr>
              <w:t>18.2</w:t>
            </w:r>
          </w:p>
        </w:tc>
      </w:tr>
      <w:tr>
        <w:trPr>
          <w:cantSplit/>
        </w:trPr>
        <w:tc>
          <w:tcPr>
            <w:tcW w:type="dxa" w:w="3816"/>
            <w:vAlign w:val="center"/>
            <w:shd w:fill="FFFFFF"/>
          </w:tcPr>
          <w:p>
            <w:pPr>
              <w:spacing w:after="0" w:before="0" w:line="250" w:lineRule="auto"/>
              <w:jc w:val="left"/>
            </w:pPr>
            <w:r>
              <w:rPr>
                <w:b w:val="0"/>
                <w:color w:val="000000"/>
                <w:sz w:val="20"/>
              </w:rPr>
              <w:t>Total</w:t>
            </w:r>
          </w:p>
        </w:tc>
        <w:tc>
          <w:tcPr>
            <w:tcW w:type="dxa" w:w="1685"/>
            <w:vAlign w:val="center"/>
            <w:shd w:fill="FFFFFF"/>
          </w:tcPr>
          <w:p>
            <w:pPr>
              <w:spacing w:after="0" w:before="0" w:line="250" w:lineRule="auto"/>
              <w:jc w:val="center"/>
            </w:pPr>
            <w:r>
              <w:rPr>
                <w:b w:val="0"/>
                <w:color w:val="000000"/>
                <w:sz w:val="20"/>
              </w:rPr>
              <w:t>2,431.2</w:t>
            </w:r>
          </w:p>
        </w:tc>
        <w:tc>
          <w:tcPr>
            <w:tcW w:type="dxa" w:w="1166"/>
            <w:vAlign w:val="center"/>
            <w:shd w:fill="FFFFFF"/>
          </w:tcPr>
          <w:p>
            <w:pPr>
              <w:spacing w:after="0" w:before="0" w:line="250" w:lineRule="auto"/>
              <w:jc w:val="center"/>
            </w:pPr>
            <w:r>
              <w:rPr>
                <w:b w:val="0"/>
                <w:color w:val="000000"/>
                <w:sz w:val="20"/>
              </w:rPr>
              <w:t>100.0%</w:t>
            </w:r>
          </w:p>
        </w:tc>
        <w:tc>
          <w:tcPr>
            <w:tcW w:type="dxa" w:w="1627"/>
            <w:vAlign w:val="center"/>
            <w:shd w:fill="FFFFFF"/>
          </w:tcPr>
          <w:p>
            <w:pPr>
              <w:spacing w:after="0" w:before="0" w:line="250" w:lineRule="auto"/>
              <w:jc w:val="center"/>
            </w:pPr>
            <w:r>
              <w:rPr>
                <w:b w:val="0"/>
                <w:color w:val="000000"/>
                <w:sz w:val="20"/>
              </w:rPr>
              <w:t>18.6%</w:t>
            </w:r>
          </w:p>
        </w:tc>
        <w:tc>
          <w:tcPr>
            <w:tcW w:type="dxa" w:w="1930"/>
            <w:vAlign w:val="center"/>
            <w:shd w:fill="FFFFFF"/>
          </w:tcPr>
          <w:p>
            <w:pPr>
              <w:spacing w:after="0" w:before="0" w:line="250" w:lineRule="auto"/>
              <w:jc w:val="center"/>
            </w:pPr>
            <w:r>
              <w:rPr>
                <w:b w:val="0"/>
                <w:color w:val="000000"/>
                <w:sz w:val="20"/>
              </w:rPr>
              <w:t>494.2</w:t>
            </w:r>
          </w:p>
        </w:tc>
      </w:tr>
    </w:tbl>
    <w:p>
      <w:pPr>
        <w:spacing w:after="40" w:line="20" w:lineRule="exact"/>
      </w:pPr>
      <w:r>
        <w:rPr>
          <w:sz w:val="2"/>
        </w:rPr>
      </w:r>
    </w:p>
    <w:p>
      <w:pPr>
        <w:spacing w:line="245" w:lineRule="auto" w:after="140"/>
      </w:pPr>
      <w:r>
        <w:rPr>
          <w:sz w:val="18"/>
        </w:rPr>
        <w:t>Source [1], pp 8-10 and I-25. The two lines are analytical business groupings; ESWIN reports one IFRS operating segment. Gross margins are reconstructed from product disclosures. The second line includes miscellaneous products, consistent with the accountants’ revenue grouping.</w:t>
      </w:r>
    </w:p>
    <w:p>
      <w:pPr>
        <w:pStyle w:val="Heading2"/>
      </w:pPr>
      <w:r>
        <w:t>Smart device chips</w:t>
      </w:r>
    </w:p>
    <w:p>
      <w:r>
        <w:t>Human-machine interaction (HMI) products include display drivers, timing and touch controllers; multimedia products include TV SoCs and display control chips. HMI generated RMB1,855.7m in 2025, making display pricing and customer procurement central to the earnings outlook.</w:t>
      </w:r>
    </w:p>
    <w:p>
      <w:r>
        <w:t>The combined line grew 12.0% in 2025, then fell 29.9% year on year in 1Q2026. Its combined gross margin fell to 8.9% in that quarter. Within HMI, average selling price fell from RMB20.9 in 2023 to RMB12.1 in 2025 and RMB11.6 in 1Q2026. This reflects product mix and the company’s price-for-volume strategy; it is not a like-for-like price index. Multimedia had a stronger 52.1% margin in 2025, helped by customised products, but represented only 6.2% of group revenue. [1]</w:t>
      </w:r>
    </w:p>
    <w:p>
      <w:pPr>
        <w:pStyle w:val="Heading2"/>
      </w:pPr>
      <w:r>
        <w:t>Interconnectivity and computing chips</w:t>
      </w:r>
    </w:p>
    <w:p>
      <w:r>
        <w:t>This line supplies Wi-Fi and other connectivity products, microcontrollers (MCUs) and AI system-on-chips (SoCs), mainly for industrial, automotive and robotics applications. Computing chip revenue rose from RMB72.3m in 2024 to RMB319.8m in 2025. A smart retail MCU product contributed RMB257m, about 80% of that 2025 computing revenue. The existing computing business therefore has a substantial MCU component. [1]</w:t>
      </w:r>
    </w:p>
    <w:p>
      <w:r>
        <w:t>The growth opportunity has concrete support: industrial backlog was RMB362.9m at March 2026, including over RMB320m for the smart retail product. These amounts overlap and should not be added together. Certain AI SoCs passed customer validation, and management reports indicative orders at about twice 2025 AI SoC revenue. Orders, customer validation and expected margins are forward indicators, not recognised sales or realised profit. [1]</w:t>
      </w:r>
    </w:p>
    <w:p>
      <w:pPr>
        <w:pStyle w:val="Heading2"/>
      </w:pPr>
      <w:r>
        <w:t>RISC-V exposure needs a separate definition</w:t>
      </w:r>
    </w:p>
    <w:p>
      <w:r>
        <w:t>RISC-V is an instruction set used across the product platform, rather than a synonym for AI computing. Frost &amp; Sullivan estimates ESWIN’s 2025 revenue from products using RISC-V as the host processor at RMB454m, excluding IP licensing. That figure spans smart devices and embodied intelligence and does not equal the second business line. Its 1.2% China market share ranks fifth overall and third among domestic providers. These are prospectus industry estimates. [1]</w:t>
      </w:r>
    </w:p>
    <w:p>
      <w:pPr>
        <w:pStyle w:val="Heading1"/>
        <w:pageBreakBefore/>
      </w:pPr>
      <w:r>
        <w:t>Earnings quality and funding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5" w:type="dxa"/>
          <w:right w:w="95" w:type="dxa"/>
        </w:tblCellMar>
      </w:tblPr>
      <w:tblGrid>
        <w:gridCol w:w="3456"/>
        <w:gridCol w:w="1692"/>
        <w:gridCol w:w="1692"/>
        <w:gridCol w:w="1692"/>
        <w:gridCol w:w="1692"/>
      </w:tblGrid>
      <w:tr>
        <w:trPr>
          <w:tblHeader/>
          <w:cantSplit/>
        </w:trPr>
        <w:tc>
          <w:tcPr>
            <w:tcW w:type="dxa" w:w="3456"/>
            <w:vAlign w:val="center"/>
            <w:shd w:fill="26384A"/>
          </w:tcPr>
          <w:p>
            <w:pPr>
              <w:spacing w:after="0" w:before="0" w:line="250" w:lineRule="auto"/>
              <w:jc w:val="left"/>
            </w:pPr>
            <w:r>
              <w:rPr>
                <w:b/>
                <w:color w:val="FFFFFF"/>
                <w:sz w:val="20"/>
              </w:rPr>
              <w:t>RMBm unless stated</w:t>
            </w:r>
          </w:p>
        </w:tc>
        <w:tc>
          <w:tcPr>
            <w:tcW w:type="dxa" w:w="1692"/>
            <w:vAlign w:val="center"/>
            <w:shd w:fill="26384A"/>
          </w:tcPr>
          <w:p>
            <w:pPr>
              <w:spacing w:after="0" w:before="0" w:line="250" w:lineRule="auto"/>
              <w:jc w:val="center"/>
            </w:pPr>
            <w:r>
              <w:rPr>
                <w:b/>
                <w:color w:val="FFFFFF"/>
                <w:sz w:val="20"/>
              </w:rPr>
              <w:t>2023</w:t>
            </w:r>
          </w:p>
        </w:tc>
        <w:tc>
          <w:tcPr>
            <w:tcW w:type="dxa" w:w="1692"/>
            <w:vAlign w:val="center"/>
            <w:shd w:fill="26384A"/>
          </w:tcPr>
          <w:p>
            <w:pPr>
              <w:spacing w:after="0" w:before="0" w:line="250" w:lineRule="auto"/>
              <w:jc w:val="center"/>
            </w:pPr>
            <w:r>
              <w:rPr>
                <w:b/>
                <w:color w:val="FFFFFF"/>
                <w:sz w:val="20"/>
              </w:rPr>
              <w:t>2024</w:t>
            </w:r>
          </w:p>
        </w:tc>
        <w:tc>
          <w:tcPr>
            <w:tcW w:type="dxa" w:w="1692"/>
            <w:vAlign w:val="center"/>
            <w:shd w:fill="26384A"/>
          </w:tcPr>
          <w:p>
            <w:pPr>
              <w:spacing w:after="0" w:before="0" w:line="250" w:lineRule="auto"/>
              <w:jc w:val="center"/>
            </w:pPr>
            <w:r>
              <w:rPr>
                <w:b/>
                <w:color w:val="FFFFFF"/>
                <w:sz w:val="20"/>
              </w:rPr>
              <w:t>2025</w:t>
            </w:r>
          </w:p>
        </w:tc>
        <w:tc>
          <w:tcPr>
            <w:tcW w:type="dxa" w:w="1692"/>
            <w:vAlign w:val="center"/>
            <w:shd w:fill="26384A"/>
          </w:tcPr>
          <w:p>
            <w:pPr>
              <w:spacing w:after="0" w:before="0" w:line="250" w:lineRule="auto"/>
              <w:jc w:val="center"/>
            </w:pPr>
            <w:r>
              <w:rPr>
                <w:b/>
                <w:color w:val="FFFFFF"/>
                <w:sz w:val="20"/>
              </w:rPr>
              <w:t>1Q2026</w:t>
            </w:r>
          </w:p>
        </w:tc>
      </w:tr>
      <w:tr>
        <w:trPr>
          <w:cantSplit/>
        </w:trPr>
        <w:tc>
          <w:tcPr>
            <w:tcW w:type="dxa" w:w="3456"/>
            <w:vAlign w:val="center"/>
            <w:shd w:fill="F1F4F6"/>
          </w:tcPr>
          <w:p>
            <w:pPr>
              <w:spacing w:after="0" w:before="0" w:line="250" w:lineRule="auto"/>
              <w:jc w:val="left"/>
            </w:pPr>
            <w:r>
              <w:rPr>
                <w:b w:val="0"/>
                <w:color w:val="000000"/>
                <w:sz w:val="20"/>
              </w:rPr>
              <w:t>Revenue</w:t>
            </w:r>
          </w:p>
        </w:tc>
        <w:tc>
          <w:tcPr>
            <w:tcW w:type="dxa" w:w="1692"/>
            <w:vAlign w:val="center"/>
            <w:shd w:fill="F1F4F6"/>
          </w:tcPr>
          <w:p>
            <w:pPr>
              <w:spacing w:after="0" w:before="0" w:line="250" w:lineRule="auto"/>
              <w:jc w:val="center"/>
            </w:pPr>
            <w:r>
              <w:rPr>
                <w:b w:val="0"/>
                <w:color w:val="000000"/>
                <w:sz w:val="20"/>
              </w:rPr>
              <w:t>1,752.2</w:t>
            </w:r>
          </w:p>
        </w:tc>
        <w:tc>
          <w:tcPr>
            <w:tcW w:type="dxa" w:w="1692"/>
            <w:vAlign w:val="center"/>
            <w:shd w:fill="F1F4F6"/>
          </w:tcPr>
          <w:p>
            <w:pPr>
              <w:spacing w:after="0" w:before="0" w:line="250" w:lineRule="auto"/>
              <w:jc w:val="center"/>
            </w:pPr>
            <w:r>
              <w:rPr>
                <w:b w:val="0"/>
                <w:color w:val="000000"/>
                <w:sz w:val="20"/>
              </w:rPr>
              <w:t>2,025.4</w:t>
            </w:r>
          </w:p>
        </w:tc>
        <w:tc>
          <w:tcPr>
            <w:tcW w:type="dxa" w:w="1692"/>
            <w:vAlign w:val="center"/>
            <w:shd w:fill="F1F4F6"/>
          </w:tcPr>
          <w:p>
            <w:pPr>
              <w:spacing w:after="0" w:before="0" w:line="250" w:lineRule="auto"/>
              <w:jc w:val="center"/>
            </w:pPr>
            <w:r>
              <w:rPr>
                <w:b w:val="0"/>
                <w:color w:val="000000"/>
                <w:sz w:val="20"/>
              </w:rPr>
              <w:t>2,431.2</w:t>
            </w:r>
          </w:p>
        </w:tc>
        <w:tc>
          <w:tcPr>
            <w:tcW w:type="dxa" w:w="1692"/>
            <w:vAlign w:val="center"/>
            <w:shd w:fill="F1F4F6"/>
          </w:tcPr>
          <w:p>
            <w:pPr>
              <w:spacing w:after="0" w:before="0" w:line="250" w:lineRule="auto"/>
              <w:jc w:val="center"/>
            </w:pPr>
            <w:r>
              <w:rPr>
                <w:b w:val="0"/>
                <w:color w:val="000000"/>
                <w:sz w:val="20"/>
              </w:rPr>
              <w:t>494.2</w:t>
            </w:r>
          </w:p>
        </w:tc>
      </w:tr>
      <w:tr>
        <w:trPr>
          <w:cantSplit/>
        </w:trPr>
        <w:tc>
          <w:tcPr>
            <w:tcW w:type="dxa" w:w="3456"/>
            <w:vAlign w:val="center"/>
            <w:shd w:fill="FFFFFF"/>
          </w:tcPr>
          <w:p>
            <w:pPr>
              <w:spacing w:after="0" w:before="0" w:line="250" w:lineRule="auto"/>
              <w:jc w:val="left"/>
            </w:pPr>
            <w:r>
              <w:rPr>
                <w:b w:val="0"/>
                <w:color w:val="000000"/>
                <w:sz w:val="20"/>
              </w:rPr>
              <w:t>Gross margin</w:t>
            </w:r>
          </w:p>
        </w:tc>
        <w:tc>
          <w:tcPr>
            <w:tcW w:type="dxa" w:w="1692"/>
            <w:vAlign w:val="center"/>
            <w:shd w:fill="FFFFFF"/>
          </w:tcPr>
          <w:p>
            <w:pPr>
              <w:spacing w:after="0" w:before="0" w:line="250" w:lineRule="auto"/>
              <w:jc w:val="center"/>
            </w:pPr>
            <w:r>
              <w:rPr>
                <w:b w:val="0"/>
                <w:color w:val="000000"/>
                <w:sz w:val="20"/>
              </w:rPr>
              <w:t>15.4%</w:t>
            </w:r>
          </w:p>
        </w:tc>
        <w:tc>
          <w:tcPr>
            <w:tcW w:type="dxa" w:w="1692"/>
            <w:vAlign w:val="center"/>
            <w:shd w:fill="FFFFFF"/>
          </w:tcPr>
          <w:p>
            <w:pPr>
              <w:spacing w:after="0" w:before="0" w:line="250" w:lineRule="auto"/>
              <w:jc w:val="center"/>
            </w:pPr>
            <w:r>
              <w:rPr>
                <w:b w:val="0"/>
                <w:color w:val="000000"/>
                <w:sz w:val="20"/>
              </w:rPr>
              <w:t>17.7%</w:t>
            </w:r>
          </w:p>
        </w:tc>
        <w:tc>
          <w:tcPr>
            <w:tcW w:type="dxa" w:w="1692"/>
            <w:vAlign w:val="center"/>
            <w:shd w:fill="FFFFFF"/>
          </w:tcPr>
          <w:p>
            <w:pPr>
              <w:spacing w:after="0" w:before="0" w:line="250" w:lineRule="auto"/>
              <w:jc w:val="center"/>
            </w:pPr>
            <w:r>
              <w:rPr>
                <w:b w:val="0"/>
                <w:color w:val="000000"/>
                <w:sz w:val="20"/>
              </w:rPr>
              <w:t>18.6%</w:t>
            </w:r>
          </w:p>
        </w:tc>
        <w:tc>
          <w:tcPr>
            <w:tcW w:type="dxa" w:w="1692"/>
            <w:vAlign w:val="center"/>
            <w:shd w:fill="FFFFFF"/>
          </w:tcPr>
          <w:p>
            <w:pPr>
              <w:spacing w:after="0" w:before="0" w:line="250" w:lineRule="auto"/>
              <w:jc w:val="center"/>
            </w:pPr>
            <w:r>
              <w:rPr>
                <w:b w:val="0"/>
                <w:color w:val="000000"/>
                <w:sz w:val="20"/>
              </w:rPr>
              <w:t>14.8%</w:t>
            </w:r>
          </w:p>
        </w:tc>
      </w:tr>
      <w:tr>
        <w:trPr>
          <w:cantSplit/>
        </w:trPr>
        <w:tc>
          <w:tcPr>
            <w:tcW w:type="dxa" w:w="3456"/>
            <w:vAlign w:val="center"/>
            <w:shd w:fill="F1F4F6"/>
          </w:tcPr>
          <w:p>
            <w:pPr>
              <w:spacing w:after="0" w:before="0" w:line="250" w:lineRule="auto"/>
              <w:jc w:val="left"/>
            </w:pPr>
            <w:r>
              <w:rPr>
                <w:b w:val="0"/>
                <w:color w:val="000000"/>
                <w:sz w:val="20"/>
              </w:rPr>
              <w:t>IFRS net loss</w:t>
            </w:r>
          </w:p>
        </w:tc>
        <w:tc>
          <w:tcPr>
            <w:tcW w:type="dxa" w:w="1692"/>
            <w:vAlign w:val="center"/>
            <w:shd w:fill="F1F4F6"/>
          </w:tcPr>
          <w:p>
            <w:pPr>
              <w:spacing w:after="0" w:before="0" w:line="250" w:lineRule="auto"/>
              <w:jc w:val="center"/>
            </w:pPr>
            <w:r>
              <w:rPr>
                <w:b w:val="0"/>
                <w:color w:val="000000"/>
                <w:sz w:val="20"/>
              </w:rPr>
              <w:t>(1,837.5)</w:t>
            </w:r>
          </w:p>
        </w:tc>
        <w:tc>
          <w:tcPr>
            <w:tcW w:type="dxa" w:w="1692"/>
            <w:vAlign w:val="center"/>
            <w:shd w:fill="F1F4F6"/>
          </w:tcPr>
          <w:p>
            <w:pPr>
              <w:spacing w:after="0" w:before="0" w:line="250" w:lineRule="auto"/>
              <w:jc w:val="center"/>
            </w:pPr>
            <w:r>
              <w:rPr>
                <w:b w:val="0"/>
                <w:color w:val="000000"/>
                <w:sz w:val="20"/>
              </w:rPr>
              <w:t>(1,547.4)</w:t>
            </w:r>
          </w:p>
        </w:tc>
        <w:tc>
          <w:tcPr>
            <w:tcW w:type="dxa" w:w="1692"/>
            <w:vAlign w:val="center"/>
            <w:shd w:fill="F1F4F6"/>
          </w:tcPr>
          <w:p>
            <w:pPr>
              <w:spacing w:after="0" w:before="0" w:line="250" w:lineRule="auto"/>
              <w:jc w:val="center"/>
            </w:pPr>
            <w:r>
              <w:rPr>
                <w:b w:val="0"/>
                <w:color w:val="000000"/>
                <w:sz w:val="20"/>
              </w:rPr>
              <w:t>(1,515.8)</w:t>
            </w:r>
          </w:p>
        </w:tc>
        <w:tc>
          <w:tcPr>
            <w:tcW w:type="dxa" w:w="1692"/>
            <w:vAlign w:val="center"/>
            <w:shd w:fill="F1F4F6"/>
          </w:tcPr>
          <w:p>
            <w:pPr>
              <w:spacing w:after="0" w:before="0" w:line="250" w:lineRule="auto"/>
              <w:jc w:val="center"/>
            </w:pPr>
            <w:r>
              <w:rPr>
                <w:b w:val="0"/>
                <w:color w:val="000000"/>
                <w:sz w:val="20"/>
              </w:rPr>
              <w:t>(374.9)</w:t>
            </w:r>
          </w:p>
        </w:tc>
      </w:tr>
      <w:tr>
        <w:trPr>
          <w:cantSplit/>
        </w:trPr>
        <w:tc>
          <w:tcPr>
            <w:tcW w:type="dxa" w:w="3456"/>
            <w:vAlign w:val="center"/>
            <w:shd w:fill="FFFFFF"/>
          </w:tcPr>
          <w:p>
            <w:pPr>
              <w:spacing w:after="0" w:before="0" w:line="250" w:lineRule="auto"/>
              <w:jc w:val="left"/>
            </w:pPr>
            <w:r>
              <w:rPr>
                <w:b w:val="0"/>
                <w:color w:val="000000"/>
                <w:sz w:val="20"/>
              </w:rPr>
              <w:t>Adjusted net loss</w:t>
            </w:r>
          </w:p>
        </w:tc>
        <w:tc>
          <w:tcPr>
            <w:tcW w:type="dxa" w:w="1692"/>
            <w:vAlign w:val="center"/>
            <w:shd w:fill="FFFFFF"/>
          </w:tcPr>
          <w:p>
            <w:pPr>
              <w:spacing w:after="0" w:before="0" w:line="250" w:lineRule="auto"/>
              <w:jc w:val="center"/>
            </w:pPr>
            <w:r>
              <w:rPr>
                <w:b w:val="0"/>
                <w:color w:val="000000"/>
                <w:sz w:val="20"/>
              </w:rPr>
              <w:t>(1,704.7)</w:t>
            </w:r>
          </w:p>
        </w:tc>
        <w:tc>
          <w:tcPr>
            <w:tcW w:type="dxa" w:w="1692"/>
            <w:vAlign w:val="center"/>
            <w:shd w:fill="FFFFFF"/>
          </w:tcPr>
          <w:p>
            <w:pPr>
              <w:spacing w:after="0" w:before="0" w:line="250" w:lineRule="auto"/>
              <w:jc w:val="center"/>
            </w:pPr>
            <w:r>
              <w:rPr>
                <w:b w:val="0"/>
                <w:color w:val="000000"/>
                <w:sz w:val="20"/>
              </w:rPr>
              <w:t>(1,440.0)</w:t>
            </w:r>
          </w:p>
        </w:tc>
        <w:tc>
          <w:tcPr>
            <w:tcW w:type="dxa" w:w="1692"/>
            <w:vAlign w:val="center"/>
            <w:shd w:fill="FFFFFF"/>
          </w:tcPr>
          <w:p>
            <w:pPr>
              <w:spacing w:after="0" w:before="0" w:line="250" w:lineRule="auto"/>
              <w:jc w:val="center"/>
            </w:pPr>
            <w:r>
              <w:rPr>
                <w:b w:val="0"/>
                <w:color w:val="000000"/>
                <w:sz w:val="20"/>
              </w:rPr>
              <w:t>(1,160.8)</w:t>
            </w:r>
          </w:p>
        </w:tc>
        <w:tc>
          <w:tcPr>
            <w:tcW w:type="dxa" w:w="1692"/>
            <w:vAlign w:val="center"/>
            <w:shd w:fill="FFFFFF"/>
          </w:tcPr>
          <w:p>
            <w:pPr>
              <w:spacing w:after="0" w:before="0" w:line="250" w:lineRule="auto"/>
              <w:jc w:val="center"/>
            </w:pPr>
            <w:r>
              <w:rPr>
                <w:b w:val="0"/>
                <w:color w:val="000000"/>
                <w:sz w:val="20"/>
              </w:rPr>
              <w:t>(287.2)</w:t>
            </w:r>
          </w:p>
        </w:tc>
      </w:tr>
      <w:tr>
        <w:trPr>
          <w:cantSplit/>
        </w:trPr>
        <w:tc>
          <w:tcPr>
            <w:tcW w:type="dxa" w:w="3456"/>
            <w:vAlign w:val="center"/>
            <w:shd w:fill="F1F4F6"/>
          </w:tcPr>
          <w:p>
            <w:pPr>
              <w:spacing w:after="0" w:before="0" w:line="250" w:lineRule="auto"/>
              <w:jc w:val="left"/>
            </w:pPr>
            <w:r>
              <w:rPr>
                <w:b w:val="0"/>
                <w:color w:val="000000"/>
                <w:sz w:val="20"/>
              </w:rPr>
              <w:t>Operating cash flow</w:t>
            </w:r>
          </w:p>
        </w:tc>
        <w:tc>
          <w:tcPr>
            <w:tcW w:type="dxa" w:w="1692"/>
            <w:vAlign w:val="center"/>
            <w:shd w:fill="F1F4F6"/>
          </w:tcPr>
          <w:p>
            <w:pPr>
              <w:spacing w:after="0" w:before="0" w:line="250" w:lineRule="auto"/>
              <w:jc w:val="center"/>
            </w:pPr>
            <w:r>
              <w:rPr>
                <w:b w:val="0"/>
                <w:color w:val="000000"/>
                <w:sz w:val="20"/>
              </w:rPr>
              <w:t>(1,250.8)</w:t>
            </w:r>
          </w:p>
        </w:tc>
        <w:tc>
          <w:tcPr>
            <w:tcW w:type="dxa" w:w="1692"/>
            <w:vAlign w:val="center"/>
            <w:shd w:fill="F1F4F6"/>
          </w:tcPr>
          <w:p>
            <w:pPr>
              <w:spacing w:after="0" w:before="0" w:line="250" w:lineRule="auto"/>
              <w:jc w:val="center"/>
            </w:pPr>
            <w:r>
              <w:rPr>
                <w:b w:val="0"/>
                <w:color w:val="000000"/>
                <w:sz w:val="20"/>
              </w:rPr>
              <w:t>(780.7)</w:t>
            </w:r>
          </w:p>
        </w:tc>
        <w:tc>
          <w:tcPr>
            <w:tcW w:type="dxa" w:w="1692"/>
            <w:vAlign w:val="center"/>
            <w:shd w:fill="F1F4F6"/>
          </w:tcPr>
          <w:p>
            <w:pPr>
              <w:spacing w:after="0" w:before="0" w:line="250" w:lineRule="auto"/>
              <w:jc w:val="center"/>
            </w:pPr>
            <w:r>
              <w:rPr>
                <w:b w:val="0"/>
                <w:color w:val="000000"/>
                <w:sz w:val="20"/>
              </w:rPr>
              <w:t>(1,171.0)</w:t>
            </w:r>
          </w:p>
        </w:tc>
        <w:tc>
          <w:tcPr>
            <w:tcW w:type="dxa" w:w="1692"/>
            <w:vAlign w:val="center"/>
            <w:shd w:fill="F1F4F6"/>
          </w:tcPr>
          <w:p>
            <w:pPr>
              <w:spacing w:after="0" w:before="0" w:line="250" w:lineRule="auto"/>
              <w:jc w:val="center"/>
            </w:pPr>
            <w:r>
              <w:rPr>
                <w:b w:val="0"/>
                <w:color w:val="000000"/>
                <w:sz w:val="20"/>
              </w:rPr>
              <w:t>170.6</w:t>
            </w:r>
          </w:p>
        </w:tc>
      </w:tr>
    </w:tbl>
    <w:p>
      <w:pPr>
        <w:spacing w:after="40" w:line="20" w:lineRule="exact"/>
      </w:pPr>
      <w:r>
        <w:rPr>
          <w:sz w:val="2"/>
        </w:rPr>
      </w:r>
    </w:p>
    <w:p>
      <w:pPr>
        <w:spacing w:line="245" w:lineRule="auto" w:after="140"/>
      </w:pPr>
      <w:r>
        <w:rPr>
          <w:sz w:val="18"/>
        </w:rPr>
        <w:t>Source [1], pp 6-10 and 285-287. Parentheses denote losses or outflows. Adjusted losses exclude share-based payments and listing expenses. 1Q2025 revenue was RMB417.5m, gross margin 8.1% and adjusted loss RMB358.8m; quarter-to-quarter comparisons are seasonal.</w:t>
      </w:r>
    </w:p>
    <w:p>
      <w:pPr>
        <w:pStyle w:val="Heading2"/>
      </w:pPr>
      <w:r>
        <w:t>First quarter growth is concentrated in a project</w:t>
      </w:r>
    </w:p>
    <w:p>
      <w:r>
        <w:t>Customer I bought an integrated computing centre solution for RMB194.2m, accounting for 39.3% of 1Q2026 revenue. The prospectus describes it as an independent subsidiary of a leading domestic big data and AI data centre operator. Its RMB20m registered capital alone is not enough to judge creditworthiness. ESWIN says it is exploring further projects with the customer, so repeatability remains an open question. [1]</w:t>
      </w:r>
    </w:p>
    <w:p>
      <w:r>
        <w:t>Excluding that delivery, group revenue was RMB300.0m, down 28.1% year on year. Computing chip revenue excluding it was RMB28.8m, compared with RMB44.7m a year earlier. The project demonstrates an ability to deliver a larger solution, but annualising the headline growth would assume further deliveries that have not yet been established.</w:t>
      </w:r>
    </w:p>
    <w:p>
      <w:pPr>
        <w:pStyle w:val="Heading2"/>
      </w:pPr>
      <w:r>
        <w:t>Customer concentration has changed shape</w:t>
      </w:r>
    </w:p>
    <w:p>
      <w:r>
        <w:t>Customer A contributed 64.6% of revenue in 2025 and 21.7% in 1Q2026; Customer I became the largest customer. The top five still represented 83.1% of quarterly revenue, versus 89.5% in 2025. Concentration has therefore eased only partly. Customer A’s description is consistent with BOE, but the prospectus does not explicitly name it; the concentration analysis does not depend on that identification. [1]</w:t>
      </w:r>
    </w:p>
    <w:p>
      <w:pPr>
        <w:pStyle w:val="Heading2"/>
      </w:pPr>
      <w:r>
        <w:t>Losses are narrowing but the profit gap remains large</w:t>
      </w:r>
    </w:p>
    <w:p>
      <w:r>
        <w:t>2025 gross profit of RMB452.9m covered only 24% of combined R&amp;D, selling and administrative expenses of RMB1,880.4m. R&amp;D fell 27.9% from 2023 to 2025; headcount fell from 1,939 at end-2023 to 1,518 at March 2026. Cost control supports the narrowing adjusted loss, while the sustainability of product development must be assessed alongside it. Share-based payments rose to RMB321.6m in 2025, which also explains why IFRS losses improved much less than adjusted losses. [1]</w:t>
      </w:r>
    </w:p>
    <w:p>
      <w:pPr>
        <w:pStyle w:val="Heading2"/>
      </w:pPr>
      <w:r>
        <w:t>Positive quarterly cash flow does not establish self funding</w:t>
      </w:r>
    </w:p>
    <w:p>
      <w:r>
        <w:t>1Q2026 operating cash inflow of RMB170.6m benefited from a RMB363.8m reduction in receivables and a RMB258.9m reduction in prepayments and other receivables or assets. These releases can reverse. Receivable and inventory turnover days were 170 and 150. Computing chip gross margin was 13.4%; expected margins above 50% apply to selected future AI products. Licence and services had a 100% gross margin that quarter, helping group margin; product sales alone earned 11.6%. [1]</w:t>
      </w:r>
    </w:p>
    <w:p>
      <w:r>
        <w:t>At July 2026, cash was RMB947.9m, bank loans RMB1,186.9m and undrawn committed facilities RMB2,013m. The stated 46.3-month runway includes facilities, financial assets and restricted cash, at a RMB67.8m monthly burn assumption; management estimates 74 months if all IPO proceeds are included. Cash alone equates to about 14 months at that rate, before debt servicing changes. The IPO expands funding capacity, but 65% of net proceeds is planned for products and the platform; further R&amp;D investment may increase cash outflows. [1]</w:t>
      </w:r>
    </w:p>
    <w:p>
      <w:pPr>
        <w:pStyle w:val="Heading1"/>
        <w:pageBreakBefore/>
      </w:pPr>
      <w:r>
        <w:t>Valuation by business line</w:t>
      </w:r>
    </w:p>
    <w:p>
      <w:r>
        <w:t>Display and multimedia peers inform the smart device comparison; MCU and edge processor peers inform the computing comparison. These are whole-company multiples with different products, margins and listing markets, so relevance does not imply direct equivalence.</w:t>
      </w:r>
    </w:p>
    <w:p>
      <w:pPr>
        <w:pStyle w:val="Heading2"/>
      </w:pPr>
      <w:r>
        <w:t>Group 1  Smart device chips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5" w:type="dxa"/>
          <w:right w:w="95" w:type="dxa"/>
        </w:tblCellMar>
      </w:tblPr>
      <w:tblGrid>
        <w:gridCol w:w="1973"/>
        <w:gridCol w:w="821"/>
        <w:gridCol w:w="907"/>
        <w:gridCol w:w="907"/>
        <w:gridCol w:w="965"/>
        <w:gridCol w:w="4651"/>
      </w:tblGrid>
      <w:tr>
        <w:trPr>
          <w:tblHeader/>
          <w:cantSplit/>
        </w:trPr>
        <w:tc>
          <w:tcPr>
            <w:tcW w:type="dxa" w:w="1973"/>
            <w:vAlign w:val="center"/>
            <w:shd w:fill="26384A"/>
          </w:tcPr>
          <w:p>
            <w:pPr>
              <w:spacing w:after="0" w:before="0" w:line="250" w:lineRule="auto"/>
              <w:jc w:val="left"/>
            </w:pPr>
            <w:r>
              <w:rPr>
                <w:b/>
                <w:color w:val="FFFFFF"/>
                <w:sz w:val="19"/>
              </w:rPr>
              <w:t>Peer</w:t>
            </w:r>
          </w:p>
        </w:tc>
        <w:tc>
          <w:tcPr>
            <w:tcW w:type="dxa" w:w="821"/>
            <w:vAlign w:val="center"/>
            <w:shd w:fill="26384A"/>
          </w:tcPr>
          <w:p>
            <w:pPr>
              <w:spacing w:after="0" w:before="0" w:line="250" w:lineRule="auto"/>
              <w:jc w:val="center"/>
            </w:pPr>
            <w:r>
              <w:rPr>
                <w:b/>
                <w:color w:val="FFFFFF"/>
                <w:sz w:val="19"/>
              </w:rPr>
              <w:t>P/S</w:t>
              <w:br/>
              <w:t>TTM</w:t>
            </w:r>
          </w:p>
        </w:tc>
        <w:tc>
          <w:tcPr>
            <w:tcW w:type="dxa" w:w="907"/>
            <w:vAlign w:val="center"/>
            <w:shd w:fill="26384A"/>
          </w:tcPr>
          <w:p>
            <w:pPr>
              <w:spacing w:after="0" w:before="0" w:line="250" w:lineRule="auto"/>
              <w:jc w:val="center"/>
            </w:pPr>
            <w:r>
              <w:rPr>
                <w:b/>
                <w:color w:val="FFFFFF"/>
                <w:sz w:val="19"/>
              </w:rPr>
              <w:t>P/E</w:t>
              <w:br/>
              <w:t>TTM</w:t>
            </w:r>
          </w:p>
        </w:tc>
        <w:tc>
          <w:tcPr>
            <w:tcW w:type="dxa" w:w="907"/>
            <w:vAlign w:val="center"/>
            <w:shd w:fill="26384A"/>
          </w:tcPr>
          <w:p>
            <w:pPr>
              <w:spacing w:after="0" w:before="0" w:line="250" w:lineRule="auto"/>
              <w:jc w:val="center"/>
            </w:pPr>
            <w:r>
              <w:rPr>
                <w:b/>
                <w:color w:val="FFFFFF"/>
                <w:sz w:val="19"/>
              </w:rPr>
              <w:t>EV/S</w:t>
              <w:br/>
              <w:t>TTM</w:t>
            </w:r>
          </w:p>
        </w:tc>
        <w:tc>
          <w:tcPr>
            <w:tcW w:type="dxa" w:w="965"/>
            <w:vAlign w:val="center"/>
            <w:shd w:fill="26384A"/>
          </w:tcPr>
          <w:p>
            <w:pPr>
              <w:spacing w:after="0" w:before="0" w:line="250" w:lineRule="auto"/>
              <w:jc w:val="center"/>
            </w:pPr>
            <w:r>
              <w:rPr>
                <w:b/>
                <w:color w:val="FFFFFF"/>
                <w:sz w:val="19"/>
              </w:rPr>
              <w:t>Gross</w:t>
              <w:br/>
              <w:t>margin</w:t>
            </w:r>
          </w:p>
        </w:tc>
        <w:tc>
          <w:tcPr>
            <w:tcW w:type="dxa" w:w="4651"/>
            <w:vAlign w:val="center"/>
            <w:shd w:fill="26384A"/>
          </w:tcPr>
          <w:p>
            <w:pPr>
              <w:spacing w:after="0" w:before="0" w:line="250" w:lineRule="auto"/>
              <w:jc w:val="left"/>
            </w:pPr>
            <w:r>
              <w:rPr>
                <w:b/>
                <w:color w:val="FFFFFF"/>
                <w:sz w:val="19"/>
              </w:rPr>
              <w:t>Relevance and limitation</w:t>
            </w:r>
          </w:p>
        </w:tc>
      </w:tr>
      <w:tr>
        <w:trPr>
          <w:cantSplit/>
        </w:trPr>
        <w:tc>
          <w:tcPr>
            <w:tcW w:type="dxa" w:w="1973"/>
            <w:vAlign w:val="center"/>
            <w:shd w:fill="F1F4F6"/>
          </w:tcPr>
          <w:p>
            <w:pPr>
              <w:spacing w:after="0" w:before="0" w:line="250" w:lineRule="auto"/>
              <w:jc w:val="left"/>
            </w:pPr>
            <w:r>
              <w:rPr>
                <w:b w:val="0"/>
                <w:color w:val="000000"/>
                <w:sz w:val="19"/>
              </w:rPr>
              <w:t>Novatek</w:t>
              <w:br/>
              <w:t>3034 TW</w:t>
            </w:r>
          </w:p>
        </w:tc>
        <w:tc>
          <w:tcPr>
            <w:tcW w:type="dxa" w:w="821"/>
            <w:vAlign w:val="center"/>
            <w:shd w:fill="F1F4F6"/>
          </w:tcPr>
          <w:p>
            <w:pPr>
              <w:spacing w:after="0" w:before="0" w:line="250" w:lineRule="auto"/>
              <w:jc w:val="center"/>
            </w:pPr>
            <w:r>
              <w:rPr>
                <w:b w:val="0"/>
                <w:color w:val="000000"/>
                <w:sz w:val="19"/>
              </w:rPr>
              <w:t>3.3x</w:t>
            </w:r>
          </w:p>
        </w:tc>
        <w:tc>
          <w:tcPr>
            <w:tcW w:type="dxa" w:w="907"/>
            <w:vAlign w:val="center"/>
            <w:shd w:fill="F1F4F6"/>
          </w:tcPr>
          <w:p>
            <w:pPr>
              <w:spacing w:after="0" w:before="0" w:line="250" w:lineRule="auto"/>
              <w:jc w:val="center"/>
            </w:pPr>
            <w:r>
              <w:rPr>
                <w:b w:val="0"/>
                <w:color w:val="000000"/>
                <w:sz w:val="19"/>
              </w:rPr>
              <w:t>18.9x</w:t>
            </w:r>
          </w:p>
        </w:tc>
        <w:tc>
          <w:tcPr>
            <w:tcW w:type="dxa" w:w="907"/>
            <w:vAlign w:val="center"/>
            <w:shd w:fill="F1F4F6"/>
          </w:tcPr>
          <w:p>
            <w:pPr>
              <w:spacing w:after="0" w:before="0" w:line="250" w:lineRule="auto"/>
              <w:jc w:val="center"/>
            </w:pPr>
            <w:r>
              <w:rPr>
                <w:b w:val="0"/>
                <w:color w:val="000000"/>
                <w:sz w:val="19"/>
              </w:rPr>
              <w:t>2.8x</w:t>
            </w:r>
          </w:p>
        </w:tc>
        <w:tc>
          <w:tcPr>
            <w:tcW w:type="dxa" w:w="965"/>
            <w:vAlign w:val="center"/>
            <w:shd w:fill="F1F4F6"/>
          </w:tcPr>
          <w:p>
            <w:pPr>
              <w:spacing w:after="0" w:before="0" w:line="250" w:lineRule="auto"/>
              <w:jc w:val="center"/>
            </w:pPr>
            <w:r>
              <w:rPr>
                <w:b w:val="0"/>
                <w:color w:val="000000"/>
                <w:sz w:val="19"/>
              </w:rPr>
              <w:t>39.1%</w:t>
            </w:r>
          </w:p>
        </w:tc>
        <w:tc>
          <w:tcPr>
            <w:tcW w:type="dxa" w:w="4651"/>
            <w:vAlign w:val="center"/>
            <w:shd w:fill="F1F4F6"/>
          </w:tcPr>
          <w:p>
            <w:pPr>
              <w:spacing w:after="0" w:before="0" w:line="250" w:lineRule="auto"/>
              <w:jc w:val="left"/>
            </w:pPr>
            <w:r>
              <w:rPr>
                <w:b w:val="0"/>
                <w:color w:val="000000"/>
                <w:sz w:val="19"/>
              </w:rPr>
              <w:t>Display drivers and TCONs; a profitable scale benchmark</w:t>
            </w:r>
          </w:p>
        </w:tc>
      </w:tr>
      <w:tr>
        <w:trPr>
          <w:cantSplit/>
        </w:trPr>
        <w:tc>
          <w:tcPr>
            <w:tcW w:type="dxa" w:w="1973"/>
            <w:vAlign w:val="center"/>
            <w:shd w:fill="FFFFFF"/>
          </w:tcPr>
          <w:p>
            <w:pPr>
              <w:spacing w:after="0" w:before="0" w:line="250" w:lineRule="auto"/>
              <w:jc w:val="left"/>
            </w:pPr>
            <w:r>
              <w:rPr>
                <w:b w:val="0"/>
                <w:color w:val="000000"/>
                <w:sz w:val="19"/>
              </w:rPr>
              <w:t>Himax</w:t>
              <w:br/>
              <w:t>HIMX US</w:t>
            </w:r>
          </w:p>
        </w:tc>
        <w:tc>
          <w:tcPr>
            <w:tcW w:type="dxa" w:w="821"/>
            <w:vAlign w:val="center"/>
            <w:shd w:fill="FFFFFF"/>
          </w:tcPr>
          <w:p>
            <w:pPr>
              <w:spacing w:after="0" w:before="0" w:line="250" w:lineRule="auto"/>
              <w:jc w:val="center"/>
            </w:pPr>
            <w:r>
              <w:rPr>
                <w:b w:val="0"/>
                <w:color w:val="000000"/>
                <w:sz w:val="19"/>
              </w:rPr>
              <w:t>3.0x</w:t>
            </w:r>
          </w:p>
        </w:tc>
        <w:tc>
          <w:tcPr>
            <w:tcW w:type="dxa" w:w="907"/>
            <w:vAlign w:val="center"/>
            <w:shd w:fill="FFFFFF"/>
          </w:tcPr>
          <w:p>
            <w:pPr>
              <w:spacing w:after="0" w:before="0" w:line="250" w:lineRule="auto"/>
              <w:jc w:val="center"/>
            </w:pPr>
            <w:r>
              <w:rPr>
                <w:b w:val="0"/>
                <w:color w:val="000000"/>
                <w:sz w:val="19"/>
              </w:rPr>
              <w:t>69.7x</w:t>
            </w:r>
          </w:p>
        </w:tc>
        <w:tc>
          <w:tcPr>
            <w:tcW w:type="dxa" w:w="907"/>
            <w:vAlign w:val="center"/>
            <w:shd w:fill="FFFFFF"/>
          </w:tcPr>
          <w:p>
            <w:pPr>
              <w:spacing w:after="0" w:before="0" w:line="250" w:lineRule="auto"/>
              <w:jc w:val="center"/>
            </w:pPr>
            <w:r>
              <w:rPr>
                <w:b w:val="0"/>
                <w:color w:val="000000"/>
                <w:sz w:val="19"/>
              </w:rPr>
              <w:t>3.3x</w:t>
            </w:r>
          </w:p>
        </w:tc>
        <w:tc>
          <w:tcPr>
            <w:tcW w:type="dxa" w:w="965"/>
            <w:vAlign w:val="center"/>
            <w:shd w:fill="FFFFFF"/>
          </w:tcPr>
          <w:p>
            <w:pPr>
              <w:spacing w:after="0" w:before="0" w:line="250" w:lineRule="auto"/>
              <w:jc w:val="center"/>
            </w:pPr>
            <w:r>
              <w:rPr>
                <w:b w:val="0"/>
                <w:color w:val="000000"/>
                <w:sz w:val="19"/>
              </w:rPr>
              <w:t>31.1%</w:t>
            </w:r>
          </w:p>
        </w:tc>
        <w:tc>
          <w:tcPr>
            <w:tcW w:type="dxa" w:w="4651"/>
            <w:vAlign w:val="center"/>
            <w:shd w:fill="FFFFFF"/>
          </w:tcPr>
          <w:p>
            <w:pPr>
              <w:spacing w:after="0" w:before="0" w:line="250" w:lineRule="auto"/>
              <w:jc w:val="left"/>
            </w:pPr>
            <w:r>
              <w:rPr>
                <w:b w:val="0"/>
                <w:color w:val="000000"/>
                <w:sz w:val="19"/>
              </w:rPr>
              <w:t>Display drivers and TDDI; high P/E reflects modest trailing profit</w:t>
            </w:r>
          </w:p>
        </w:tc>
      </w:tr>
      <w:tr>
        <w:trPr>
          <w:cantSplit/>
        </w:trPr>
        <w:tc>
          <w:tcPr>
            <w:tcW w:type="dxa" w:w="1973"/>
            <w:vAlign w:val="center"/>
            <w:shd w:fill="F1F4F6"/>
          </w:tcPr>
          <w:p>
            <w:pPr>
              <w:spacing w:after="0" w:before="0" w:line="250" w:lineRule="auto"/>
              <w:jc w:val="left"/>
            </w:pPr>
            <w:r>
              <w:rPr>
                <w:b w:val="0"/>
                <w:color w:val="000000"/>
                <w:sz w:val="19"/>
              </w:rPr>
              <w:t>Jadard Tiandeyu</w:t>
              <w:br/>
              <w:t>688252 CN</w:t>
            </w:r>
          </w:p>
        </w:tc>
        <w:tc>
          <w:tcPr>
            <w:tcW w:type="dxa" w:w="821"/>
            <w:vAlign w:val="center"/>
            <w:shd w:fill="F1F4F6"/>
          </w:tcPr>
          <w:p>
            <w:pPr>
              <w:spacing w:after="0" w:before="0" w:line="250" w:lineRule="auto"/>
              <w:jc w:val="center"/>
            </w:pPr>
            <w:r>
              <w:rPr>
                <w:b w:val="0"/>
                <w:color w:val="000000"/>
                <w:sz w:val="19"/>
              </w:rPr>
              <w:t>3.9x</w:t>
            </w:r>
          </w:p>
        </w:tc>
        <w:tc>
          <w:tcPr>
            <w:tcW w:type="dxa" w:w="907"/>
            <w:vAlign w:val="center"/>
            <w:shd w:fill="F1F4F6"/>
          </w:tcPr>
          <w:p>
            <w:pPr>
              <w:spacing w:after="0" w:before="0" w:line="250" w:lineRule="auto"/>
              <w:jc w:val="center"/>
            </w:pPr>
            <w:r>
              <w:rPr>
                <w:b w:val="0"/>
                <w:color w:val="000000"/>
                <w:sz w:val="19"/>
              </w:rPr>
              <w:t>39.0x</w:t>
            </w:r>
          </w:p>
        </w:tc>
        <w:tc>
          <w:tcPr>
            <w:tcW w:type="dxa" w:w="907"/>
            <w:vAlign w:val="center"/>
            <w:shd w:fill="F1F4F6"/>
          </w:tcPr>
          <w:p>
            <w:pPr>
              <w:spacing w:after="0" w:before="0" w:line="250" w:lineRule="auto"/>
              <w:jc w:val="center"/>
            </w:pPr>
            <w:r>
              <w:rPr>
                <w:b w:val="0"/>
                <w:color w:val="000000"/>
                <w:sz w:val="19"/>
              </w:rPr>
              <w:t>3.0x</w:t>
            </w:r>
          </w:p>
        </w:tc>
        <w:tc>
          <w:tcPr>
            <w:tcW w:type="dxa" w:w="965"/>
            <w:vAlign w:val="center"/>
            <w:shd w:fill="F1F4F6"/>
          </w:tcPr>
          <w:p>
            <w:pPr>
              <w:spacing w:after="0" w:before="0" w:line="250" w:lineRule="auto"/>
              <w:jc w:val="center"/>
            </w:pPr>
            <w:r>
              <w:rPr>
                <w:b w:val="0"/>
                <w:color w:val="000000"/>
                <w:sz w:val="19"/>
              </w:rPr>
              <w:t>22.9%</w:t>
            </w:r>
          </w:p>
        </w:tc>
        <w:tc>
          <w:tcPr>
            <w:tcW w:type="dxa" w:w="4651"/>
            <w:vAlign w:val="center"/>
            <w:shd w:fill="F1F4F6"/>
          </w:tcPr>
          <w:p>
            <w:pPr>
              <w:spacing w:after="0" w:before="0" w:line="250" w:lineRule="auto"/>
              <w:jc w:val="left"/>
            </w:pPr>
            <w:r>
              <w:rPr>
                <w:b w:val="0"/>
                <w:color w:val="000000"/>
                <w:sz w:val="19"/>
              </w:rPr>
              <w:t>Display driver products; closer functional comparison</w:t>
            </w:r>
          </w:p>
        </w:tc>
      </w:tr>
      <w:tr>
        <w:trPr>
          <w:cantSplit/>
        </w:trPr>
        <w:tc>
          <w:tcPr>
            <w:tcW w:type="dxa" w:w="1973"/>
            <w:vAlign w:val="center"/>
            <w:shd w:fill="FFFFFF"/>
          </w:tcPr>
          <w:p>
            <w:pPr>
              <w:spacing w:after="0" w:before="0" w:line="250" w:lineRule="auto"/>
              <w:jc w:val="left"/>
            </w:pPr>
            <w:r>
              <w:rPr>
                <w:b w:val="0"/>
                <w:color w:val="000000"/>
                <w:sz w:val="19"/>
              </w:rPr>
              <w:t>Amlogic</w:t>
              <w:br/>
              <w:t>688099 CN</w:t>
            </w:r>
          </w:p>
        </w:tc>
        <w:tc>
          <w:tcPr>
            <w:tcW w:type="dxa" w:w="821"/>
            <w:vAlign w:val="center"/>
            <w:shd w:fill="FFFFFF"/>
          </w:tcPr>
          <w:p>
            <w:pPr>
              <w:spacing w:after="0" w:before="0" w:line="250" w:lineRule="auto"/>
              <w:jc w:val="center"/>
            </w:pPr>
            <w:r>
              <w:rPr>
                <w:b w:val="0"/>
                <w:color w:val="000000"/>
                <w:sz w:val="19"/>
              </w:rPr>
              <w:t>4.9x</w:t>
            </w:r>
          </w:p>
        </w:tc>
        <w:tc>
          <w:tcPr>
            <w:tcW w:type="dxa" w:w="907"/>
            <w:vAlign w:val="center"/>
            <w:shd w:fill="FFFFFF"/>
          </w:tcPr>
          <w:p>
            <w:pPr>
              <w:spacing w:after="0" w:before="0" w:line="250" w:lineRule="auto"/>
              <w:jc w:val="center"/>
            </w:pPr>
            <w:r>
              <w:rPr>
                <w:b w:val="0"/>
                <w:color w:val="000000"/>
                <w:sz w:val="19"/>
              </w:rPr>
              <w:t>38.7x</w:t>
            </w:r>
          </w:p>
        </w:tc>
        <w:tc>
          <w:tcPr>
            <w:tcW w:type="dxa" w:w="907"/>
            <w:vAlign w:val="center"/>
            <w:shd w:fill="FFFFFF"/>
          </w:tcPr>
          <w:p>
            <w:pPr>
              <w:spacing w:after="0" w:before="0" w:line="250" w:lineRule="auto"/>
              <w:jc w:val="center"/>
            </w:pPr>
            <w:r>
              <w:rPr>
                <w:b w:val="0"/>
                <w:color w:val="000000"/>
                <w:sz w:val="19"/>
              </w:rPr>
              <w:t>4.5x</w:t>
            </w:r>
          </w:p>
        </w:tc>
        <w:tc>
          <w:tcPr>
            <w:tcW w:type="dxa" w:w="965"/>
            <w:vAlign w:val="center"/>
            <w:shd w:fill="FFFFFF"/>
          </w:tcPr>
          <w:p>
            <w:pPr>
              <w:spacing w:after="0" w:before="0" w:line="250" w:lineRule="auto"/>
              <w:jc w:val="center"/>
            </w:pPr>
            <w:r>
              <w:rPr>
                <w:b w:val="0"/>
                <w:color w:val="000000"/>
                <w:sz w:val="19"/>
              </w:rPr>
              <w:t>37.9%</w:t>
            </w:r>
          </w:p>
        </w:tc>
        <w:tc>
          <w:tcPr>
            <w:tcW w:type="dxa" w:w="4651"/>
            <w:vAlign w:val="center"/>
            <w:shd w:fill="FFFFFF"/>
          </w:tcPr>
          <w:p>
            <w:pPr>
              <w:spacing w:after="0" w:before="0" w:line="250" w:lineRule="auto"/>
              <w:jc w:val="left"/>
            </w:pPr>
            <w:r>
              <w:rPr>
                <w:b w:val="0"/>
                <w:color w:val="000000"/>
                <w:sz w:val="19"/>
              </w:rPr>
              <w:t>TV and media SoCs; relevant to the smaller multimedia line</w:t>
            </w:r>
          </w:p>
        </w:tc>
      </w:tr>
      <w:tr>
        <w:trPr>
          <w:cantSplit/>
        </w:trPr>
        <w:tc>
          <w:tcPr>
            <w:tcW w:type="dxa" w:w="1973"/>
            <w:vAlign w:val="center"/>
            <w:shd w:fill="F1F4F6"/>
          </w:tcPr>
          <w:p>
            <w:pPr>
              <w:spacing w:after="0" w:before="0" w:line="250" w:lineRule="auto"/>
              <w:jc w:val="left"/>
            </w:pPr>
            <w:r>
              <w:rPr>
                <w:b w:val="0"/>
                <w:color w:val="000000"/>
                <w:sz w:val="19"/>
              </w:rPr>
              <w:t>Viewtrix</w:t>
              <w:br/>
              <w:t>3310 HK</w:t>
            </w:r>
          </w:p>
        </w:tc>
        <w:tc>
          <w:tcPr>
            <w:tcW w:type="dxa" w:w="821"/>
            <w:vAlign w:val="center"/>
            <w:shd w:fill="F1F4F6"/>
          </w:tcPr>
          <w:p>
            <w:pPr>
              <w:spacing w:after="0" w:before="0" w:line="250" w:lineRule="auto"/>
              <w:jc w:val="center"/>
            </w:pPr>
            <w:r>
              <w:rPr>
                <w:b w:val="0"/>
                <w:color w:val="000000"/>
                <w:sz w:val="19"/>
              </w:rPr>
              <w:t>9.8x</w:t>
            </w:r>
          </w:p>
        </w:tc>
        <w:tc>
          <w:tcPr>
            <w:tcW w:type="dxa" w:w="907"/>
            <w:vAlign w:val="center"/>
            <w:shd w:fill="F1F4F6"/>
          </w:tcPr>
          <w:p>
            <w:pPr>
              <w:spacing w:after="0" w:before="0" w:line="250" w:lineRule="auto"/>
              <w:jc w:val="center"/>
            </w:pPr>
            <w:r>
              <w:rPr>
                <w:b w:val="0"/>
                <w:color w:val="000000"/>
                <w:sz w:val="19"/>
              </w:rPr>
              <w:t>NM</w:t>
            </w:r>
          </w:p>
        </w:tc>
        <w:tc>
          <w:tcPr>
            <w:tcW w:type="dxa" w:w="907"/>
            <w:vAlign w:val="center"/>
            <w:shd w:fill="F1F4F6"/>
          </w:tcPr>
          <w:p>
            <w:pPr>
              <w:spacing w:after="0" w:before="0" w:line="250" w:lineRule="auto"/>
              <w:jc w:val="center"/>
            </w:pPr>
            <w:r>
              <w:rPr>
                <w:b w:val="0"/>
                <w:color w:val="000000"/>
                <w:sz w:val="19"/>
              </w:rPr>
              <w:t>8.4x</w:t>
            </w:r>
          </w:p>
        </w:tc>
        <w:tc>
          <w:tcPr>
            <w:tcW w:type="dxa" w:w="965"/>
            <w:vAlign w:val="center"/>
            <w:shd w:fill="F1F4F6"/>
          </w:tcPr>
          <w:p>
            <w:pPr>
              <w:spacing w:after="0" w:before="0" w:line="250" w:lineRule="auto"/>
              <w:jc w:val="center"/>
            </w:pPr>
            <w:r>
              <w:rPr>
                <w:b w:val="0"/>
                <w:color w:val="000000"/>
                <w:sz w:val="19"/>
              </w:rPr>
              <w:t>14.6%</w:t>
            </w:r>
          </w:p>
        </w:tc>
        <w:tc>
          <w:tcPr>
            <w:tcW w:type="dxa" w:w="4651"/>
            <w:vAlign w:val="center"/>
            <w:shd w:fill="F1F4F6"/>
          </w:tcPr>
          <w:p>
            <w:pPr>
              <w:spacing w:after="0" w:before="0" w:line="250" w:lineRule="auto"/>
              <w:jc w:val="left"/>
            </w:pPr>
            <w:r>
              <w:rPr>
                <w:b w:val="0"/>
                <w:color w:val="000000"/>
                <w:sz w:val="19"/>
              </w:rPr>
              <w:t>OLED display drivers; Hong Kong pricing reference, loss-making</w:t>
            </w:r>
          </w:p>
        </w:tc>
      </w:tr>
    </w:tbl>
    <w:p>
      <w:pPr>
        <w:spacing w:after="40" w:line="20" w:lineRule="exact"/>
      </w:pPr>
      <w:r>
        <w:rPr>
          <w:sz w:val="2"/>
        </w:rPr>
      </w:r>
    </w:p>
    <w:p>
      <w:pPr>
        <w:spacing w:line="245" w:lineRule="auto" w:after="140"/>
      </w:pPr>
      <w:r>
        <w:rPr>
          <w:sz w:val="18"/>
        </w:rPr>
        <w:t>Sources [2,4]. Whole-company peer multiples; gross margins are trailing. No separate market value is disclosed for ESWIN’s smart device business.</w:t>
      </w:r>
    </w:p>
    <w:p>
      <w:pPr>
        <w:pStyle w:val="Heading2"/>
      </w:pPr>
      <w:r>
        <w:t>Group 2  Interconnectivity and computing chips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5" w:type="dxa"/>
          <w:right w:w="95" w:type="dxa"/>
        </w:tblCellMar>
      </w:tblPr>
      <w:tblGrid>
        <w:gridCol w:w="1973"/>
        <w:gridCol w:w="821"/>
        <w:gridCol w:w="907"/>
        <w:gridCol w:w="907"/>
        <w:gridCol w:w="965"/>
        <w:gridCol w:w="4651"/>
      </w:tblGrid>
      <w:tr>
        <w:trPr>
          <w:tblHeader/>
          <w:cantSplit/>
        </w:trPr>
        <w:tc>
          <w:tcPr>
            <w:tcW w:type="dxa" w:w="1973"/>
            <w:vAlign w:val="center"/>
            <w:shd w:fill="26384A"/>
          </w:tcPr>
          <w:p>
            <w:pPr>
              <w:spacing w:after="0" w:before="0" w:line="250" w:lineRule="auto"/>
              <w:jc w:val="left"/>
            </w:pPr>
            <w:r>
              <w:rPr>
                <w:b/>
                <w:color w:val="FFFFFF"/>
                <w:sz w:val="19"/>
              </w:rPr>
              <w:t>Peer</w:t>
            </w:r>
          </w:p>
        </w:tc>
        <w:tc>
          <w:tcPr>
            <w:tcW w:type="dxa" w:w="821"/>
            <w:vAlign w:val="center"/>
            <w:shd w:fill="26384A"/>
          </w:tcPr>
          <w:p>
            <w:pPr>
              <w:spacing w:after="0" w:before="0" w:line="250" w:lineRule="auto"/>
              <w:jc w:val="center"/>
            </w:pPr>
            <w:r>
              <w:rPr>
                <w:b/>
                <w:color w:val="FFFFFF"/>
                <w:sz w:val="19"/>
              </w:rPr>
              <w:t>P/S</w:t>
              <w:br/>
              <w:t>TTM</w:t>
            </w:r>
          </w:p>
        </w:tc>
        <w:tc>
          <w:tcPr>
            <w:tcW w:type="dxa" w:w="907"/>
            <w:vAlign w:val="center"/>
            <w:shd w:fill="26384A"/>
          </w:tcPr>
          <w:p>
            <w:pPr>
              <w:spacing w:after="0" w:before="0" w:line="250" w:lineRule="auto"/>
              <w:jc w:val="center"/>
            </w:pPr>
            <w:r>
              <w:rPr>
                <w:b/>
                <w:color w:val="FFFFFF"/>
                <w:sz w:val="19"/>
              </w:rPr>
              <w:t>P/E</w:t>
              <w:br/>
              <w:t>TTM</w:t>
            </w:r>
          </w:p>
        </w:tc>
        <w:tc>
          <w:tcPr>
            <w:tcW w:type="dxa" w:w="907"/>
            <w:vAlign w:val="center"/>
            <w:shd w:fill="26384A"/>
          </w:tcPr>
          <w:p>
            <w:pPr>
              <w:spacing w:after="0" w:before="0" w:line="250" w:lineRule="auto"/>
              <w:jc w:val="center"/>
            </w:pPr>
            <w:r>
              <w:rPr>
                <w:b/>
                <w:color w:val="FFFFFF"/>
                <w:sz w:val="19"/>
              </w:rPr>
              <w:t>EV/S</w:t>
              <w:br/>
              <w:t>TTM</w:t>
            </w:r>
          </w:p>
        </w:tc>
        <w:tc>
          <w:tcPr>
            <w:tcW w:type="dxa" w:w="965"/>
            <w:vAlign w:val="center"/>
            <w:shd w:fill="26384A"/>
          </w:tcPr>
          <w:p>
            <w:pPr>
              <w:spacing w:after="0" w:before="0" w:line="250" w:lineRule="auto"/>
              <w:jc w:val="center"/>
            </w:pPr>
            <w:r>
              <w:rPr>
                <w:b/>
                <w:color w:val="FFFFFF"/>
                <w:sz w:val="19"/>
              </w:rPr>
              <w:t>Gross</w:t>
              <w:br/>
              <w:t>margin</w:t>
            </w:r>
          </w:p>
        </w:tc>
        <w:tc>
          <w:tcPr>
            <w:tcW w:type="dxa" w:w="4651"/>
            <w:vAlign w:val="center"/>
            <w:shd w:fill="26384A"/>
          </w:tcPr>
          <w:p>
            <w:pPr>
              <w:spacing w:after="0" w:before="0" w:line="250" w:lineRule="auto"/>
              <w:jc w:val="left"/>
            </w:pPr>
            <w:r>
              <w:rPr>
                <w:b/>
                <w:color w:val="FFFFFF"/>
                <w:sz w:val="19"/>
              </w:rPr>
              <w:t>Relevance and limitation</w:t>
            </w:r>
          </w:p>
        </w:tc>
      </w:tr>
      <w:tr>
        <w:trPr>
          <w:cantSplit/>
        </w:trPr>
        <w:tc>
          <w:tcPr>
            <w:tcW w:type="dxa" w:w="1973"/>
            <w:vAlign w:val="center"/>
            <w:shd w:fill="F1F4F6"/>
          </w:tcPr>
          <w:p>
            <w:pPr>
              <w:spacing w:after="0" w:before="0" w:line="250" w:lineRule="auto"/>
              <w:jc w:val="left"/>
            </w:pPr>
            <w:r>
              <w:rPr>
                <w:b w:val="0"/>
                <w:color w:val="000000"/>
                <w:sz w:val="19"/>
              </w:rPr>
              <w:t>Allwinner</w:t>
              <w:br/>
              <w:t>300458 CN</w:t>
            </w:r>
          </w:p>
        </w:tc>
        <w:tc>
          <w:tcPr>
            <w:tcW w:type="dxa" w:w="821"/>
            <w:vAlign w:val="center"/>
            <w:shd w:fill="F1F4F6"/>
          </w:tcPr>
          <w:p>
            <w:pPr>
              <w:spacing w:after="0" w:before="0" w:line="250" w:lineRule="auto"/>
              <w:jc w:val="center"/>
            </w:pPr>
            <w:r>
              <w:rPr>
                <w:b w:val="0"/>
                <w:color w:val="000000"/>
                <w:sz w:val="19"/>
              </w:rPr>
              <w:t>9.5x</w:t>
            </w:r>
          </w:p>
        </w:tc>
        <w:tc>
          <w:tcPr>
            <w:tcW w:type="dxa" w:w="907"/>
            <w:vAlign w:val="center"/>
            <w:shd w:fill="F1F4F6"/>
          </w:tcPr>
          <w:p>
            <w:pPr>
              <w:spacing w:after="0" w:before="0" w:line="250" w:lineRule="auto"/>
              <w:jc w:val="center"/>
            </w:pPr>
            <w:r>
              <w:rPr>
                <w:b w:val="0"/>
                <w:color w:val="000000"/>
                <w:sz w:val="19"/>
              </w:rPr>
              <w:t>54.5x</w:t>
            </w:r>
          </w:p>
        </w:tc>
        <w:tc>
          <w:tcPr>
            <w:tcW w:type="dxa" w:w="907"/>
            <w:vAlign w:val="center"/>
            <w:shd w:fill="F1F4F6"/>
          </w:tcPr>
          <w:p>
            <w:pPr>
              <w:spacing w:after="0" w:before="0" w:line="250" w:lineRule="auto"/>
              <w:jc w:val="center"/>
            </w:pPr>
            <w:r>
              <w:rPr>
                <w:b w:val="0"/>
                <w:color w:val="000000"/>
                <w:sz w:val="19"/>
              </w:rPr>
              <w:t>9.1x</w:t>
            </w:r>
          </w:p>
        </w:tc>
        <w:tc>
          <w:tcPr>
            <w:tcW w:type="dxa" w:w="965"/>
            <w:vAlign w:val="center"/>
            <w:shd w:fill="F1F4F6"/>
          </w:tcPr>
          <w:p>
            <w:pPr>
              <w:spacing w:after="0" w:before="0" w:line="250" w:lineRule="auto"/>
              <w:jc w:val="center"/>
            </w:pPr>
            <w:r>
              <w:rPr>
                <w:b w:val="0"/>
                <w:color w:val="000000"/>
                <w:sz w:val="19"/>
              </w:rPr>
              <w:t>37.9%</w:t>
            </w:r>
          </w:p>
        </w:tc>
        <w:tc>
          <w:tcPr>
            <w:tcW w:type="dxa" w:w="4651"/>
            <w:vAlign w:val="center"/>
            <w:shd w:fill="F1F4F6"/>
          </w:tcPr>
          <w:p>
            <w:pPr>
              <w:spacing w:after="0" w:before="0" w:line="250" w:lineRule="auto"/>
              <w:jc w:val="left"/>
            </w:pPr>
            <w:r>
              <w:rPr>
                <w:b w:val="0"/>
                <w:color w:val="000000"/>
                <w:sz w:val="19"/>
              </w:rPr>
              <w:t>Application processors and RISC-V products; mixed end markets</w:t>
            </w:r>
          </w:p>
        </w:tc>
      </w:tr>
      <w:tr>
        <w:trPr>
          <w:cantSplit/>
        </w:trPr>
        <w:tc>
          <w:tcPr>
            <w:tcW w:type="dxa" w:w="1973"/>
            <w:vAlign w:val="center"/>
            <w:shd w:fill="FFFFFF"/>
          </w:tcPr>
          <w:p>
            <w:pPr>
              <w:spacing w:after="0" w:before="0" w:line="250" w:lineRule="auto"/>
              <w:jc w:val="left"/>
            </w:pPr>
            <w:r>
              <w:rPr>
                <w:b w:val="0"/>
                <w:color w:val="000000"/>
                <w:sz w:val="19"/>
              </w:rPr>
              <w:t>Rockchip</w:t>
              <w:br/>
              <w:t>603893 CN</w:t>
            </w:r>
          </w:p>
        </w:tc>
        <w:tc>
          <w:tcPr>
            <w:tcW w:type="dxa" w:w="821"/>
            <w:vAlign w:val="center"/>
            <w:shd w:fill="FFFFFF"/>
          </w:tcPr>
          <w:p>
            <w:pPr>
              <w:spacing w:after="0" w:before="0" w:line="250" w:lineRule="auto"/>
              <w:jc w:val="center"/>
            </w:pPr>
            <w:r>
              <w:rPr>
                <w:b w:val="0"/>
                <w:color w:val="000000"/>
                <w:sz w:val="19"/>
              </w:rPr>
              <w:t>17.2x</w:t>
            </w:r>
          </w:p>
        </w:tc>
        <w:tc>
          <w:tcPr>
            <w:tcW w:type="dxa" w:w="907"/>
            <w:vAlign w:val="center"/>
            <w:shd w:fill="FFFFFF"/>
          </w:tcPr>
          <w:p>
            <w:pPr>
              <w:spacing w:after="0" w:before="0" w:line="250" w:lineRule="auto"/>
              <w:jc w:val="center"/>
            </w:pPr>
            <w:r>
              <w:rPr>
                <w:b w:val="0"/>
                <w:color w:val="000000"/>
                <w:sz w:val="19"/>
              </w:rPr>
              <w:t>65.8x</w:t>
            </w:r>
          </w:p>
        </w:tc>
        <w:tc>
          <w:tcPr>
            <w:tcW w:type="dxa" w:w="907"/>
            <w:vAlign w:val="center"/>
            <w:shd w:fill="FFFFFF"/>
          </w:tcPr>
          <w:p>
            <w:pPr>
              <w:spacing w:after="0" w:before="0" w:line="250" w:lineRule="auto"/>
              <w:jc w:val="center"/>
            </w:pPr>
            <w:r>
              <w:rPr>
                <w:b w:val="0"/>
                <w:color w:val="000000"/>
                <w:sz w:val="19"/>
              </w:rPr>
              <w:t>16.5x</w:t>
            </w:r>
          </w:p>
        </w:tc>
        <w:tc>
          <w:tcPr>
            <w:tcW w:type="dxa" w:w="965"/>
            <w:vAlign w:val="center"/>
            <w:shd w:fill="FFFFFF"/>
          </w:tcPr>
          <w:p>
            <w:pPr>
              <w:spacing w:after="0" w:before="0" w:line="250" w:lineRule="auto"/>
              <w:jc w:val="center"/>
            </w:pPr>
            <w:r>
              <w:rPr>
                <w:b w:val="0"/>
                <w:color w:val="000000"/>
                <w:sz w:val="19"/>
              </w:rPr>
              <w:t>44.0%</w:t>
            </w:r>
          </w:p>
        </w:tc>
        <w:tc>
          <w:tcPr>
            <w:tcW w:type="dxa" w:w="4651"/>
            <w:vAlign w:val="center"/>
            <w:shd w:fill="FFFFFF"/>
          </w:tcPr>
          <w:p>
            <w:pPr>
              <w:spacing w:after="0" w:before="0" w:line="250" w:lineRule="auto"/>
              <w:jc w:val="left"/>
            </w:pPr>
            <w:r>
              <w:rPr>
                <w:b w:val="0"/>
                <w:color w:val="000000"/>
                <w:sz w:val="19"/>
              </w:rPr>
              <w:t>AIoT and edge processors; more established profitability</w:t>
            </w:r>
          </w:p>
        </w:tc>
      </w:tr>
      <w:tr>
        <w:trPr>
          <w:cantSplit/>
        </w:trPr>
        <w:tc>
          <w:tcPr>
            <w:tcW w:type="dxa" w:w="1973"/>
            <w:vAlign w:val="center"/>
            <w:shd w:fill="F1F4F6"/>
          </w:tcPr>
          <w:p>
            <w:pPr>
              <w:spacing w:after="0" w:before="0" w:line="250" w:lineRule="auto"/>
              <w:jc w:val="left"/>
            </w:pPr>
            <w:r>
              <w:rPr>
                <w:b w:val="0"/>
                <w:color w:val="000000"/>
                <w:sz w:val="19"/>
              </w:rPr>
              <w:t>Ambarella</w:t>
              <w:br/>
              <w:t>AMBA US</w:t>
            </w:r>
          </w:p>
        </w:tc>
        <w:tc>
          <w:tcPr>
            <w:tcW w:type="dxa" w:w="821"/>
            <w:vAlign w:val="center"/>
            <w:shd w:fill="F1F4F6"/>
          </w:tcPr>
          <w:p>
            <w:pPr>
              <w:spacing w:after="0" w:before="0" w:line="250" w:lineRule="auto"/>
              <w:jc w:val="center"/>
            </w:pPr>
            <w:r>
              <w:rPr>
                <w:b w:val="0"/>
                <w:color w:val="000000"/>
                <w:sz w:val="19"/>
              </w:rPr>
              <w:t>7.3x</w:t>
            </w:r>
          </w:p>
        </w:tc>
        <w:tc>
          <w:tcPr>
            <w:tcW w:type="dxa" w:w="907"/>
            <w:vAlign w:val="center"/>
            <w:shd w:fill="F1F4F6"/>
          </w:tcPr>
          <w:p>
            <w:pPr>
              <w:spacing w:after="0" w:before="0" w:line="250" w:lineRule="auto"/>
              <w:jc w:val="center"/>
            </w:pPr>
            <w:r>
              <w:rPr>
                <w:b w:val="0"/>
                <w:color w:val="000000"/>
                <w:sz w:val="19"/>
              </w:rPr>
              <w:t>NM</w:t>
            </w:r>
          </w:p>
        </w:tc>
        <w:tc>
          <w:tcPr>
            <w:tcW w:type="dxa" w:w="907"/>
            <w:vAlign w:val="center"/>
            <w:shd w:fill="F1F4F6"/>
          </w:tcPr>
          <w:p>
            <w:pPr>
              <w:spacing w:after="0" w:before="0" w:line="250" w:lineRule="auto"/>
              <w:jc w:val="center"/>
            </w:pPr>
            <w:r>
              <w:rPr>
                <w:b w:val="0"/>
                <w:color w:val="000000"/>
                <w:sz w:val="19"/>
              </w:rPr>
              <w:t>6.6x</w:t>
            </w:r>
          </w:p>
        </w:tc>
        <w:tc>
          <w:tcPr>
            <w:tcW w:type="dxa" w:w="965"/>
            <w:vAlign w:val="center"/>
            <w:shd w:fill="F1F4F6"/>
          </w:tcPr>
          <w:p>
            <w:pPr>
              <w:spacing w:after="0" w:before="0" w:line="250" w:lineRule="auto"/>
              <w:jc w:val="center"/>
            </w:pPr>
            <w:r>
              <w:rPr>
                <w:b w:val="0"/>
                <w:color w:val="000000"/>
                <w:sz w:val="19"/>
              </w:rPr>
              <w:t>58.5%</w:t>
            </w:r>
          </w:p>
        </w:tc>
        <w:tc>
          <w:tcPr>
            <w:tcW w:type="dxa" w:w="4651"/>
            <w:vAlign w:val="center"/>
            <w:shd w:fill="F1F4F6"/>
          </w:tcPr>
          <w:p>
            <w:pPr>
              <w:spacing w:after="0" w:before="0" w:line="250" w:lineRule="auto"/>
              <w:jc w:val="left"/>
            </w:pPr>
            <w:r>
              <w:rPr>
                <w:b w:val="0"/>
                <w:color w:val="000000"/>
                <w:sz w:val="19"/>
              </w:rPr>
              <w:t>Edge AI vision SoCs; different architecture and product mix</w:t>
            </w:r>
          </w:p>
        </w:tc>
      </w:tr>
      <w:tr>
        <w:trPr>
          <w:cantSplit/>
        </w:trPr>
        <w:tc>
          <w:tcPr>
            <w:tcW w:type="dxa" w:w="1973"/>
            <w:vAlign w:val="center"/>
            <w:shd w:fill="FFFFFF"/>
          </w:tcPr>
          <w:p>
            <w:pPr>
              <w:spacing w:after="0" w:before="0" w:line="250" w:lineRule="auto"/>
              <w:jc w:val="left"/>
            </w:pPr>
            <w:r>
              <w:rPr>
                <w:b w:val="0"/>
                <w:color w:val="000000"/>
                <w:sz w:val="19"/>
              </w:rPr>
              <w:t>Axera</w:t>
              <w:br/>
              <w:t>600 HK</w:t>
            </w:r>
          </w:p>
        </w:tc>
        <w:tc>
          <w:tcPr>
            <w:tcW w:type="dxa" w:w="821"/>
            <w:vAlign w:val="center"/>
            <w:shd w:fill="FFFFFF"/>
          </w:tcPr>
          <w:p>
            <w:pPr>
              <w:spacing w:after="0" w:before="0" w:line="250" w:lineRule="auto"/>
              <w:jc w:val="center"/>
            </w:pPr>
            <w:r>
              <w:rPr>
                <w:b w:val="0"/>
                <w:color w:val="000000"/>
                <w:sz w:val="19"/>
              </w:rPr>
              <w:t>14.2x</w:t>
            </w:r>
          </w:p>
        </w:tc>
        <w:tc>
          <w:tcPr>
            <w:tcW w:type="dxa" w:w="907"/>
            <w:vAlign w:val="center"/>
            <w:shd w:fill="FFFFFF"/>
          </w:tcPr>
          <w:p>
            <w:pPr>
              <w:spacing w:after="0" w:before="0" w:line="250" w:lineRule="auto"/>
              <w:jc w:val="center"/>
            </w:pPr>
            <w:r>
              <w:rPr>
                <w:b w:val="0"/>
                <w:color w:val="000000"/>
                <w:sz w:val="19"/>
              </w:rPr>
              <w:t>NM</w:t>
            </w:r>
          </w:p>
        </w:tc>
        <w:tc>
          <w:tcPr>
            <w:tcW w:type="dxa" w:w="907"/>
            <w:vAlign w:val="center"/>
            <w:shd w:fill="FFFFFF"/>
          </w:tcPr>
          <w:p>
            <w:pPr>
              <w:spacing w:after="0" w:before="0" w:line="250" w:lineRule="auto"/>
              <w:jc w:val="center"/>
            </w:pPr>
            <w:r>
              <w:rPr>
                <w:b w:val="0"/>
                <w:color w:val="000000"/>
                <w:sz w:val="19"/>
              </w:rPr>
              <w:t>12.9x</w:t>
            </w:r>
          </w:p>
        </w:tc>
        <w:tc>
          <w:tcPr>
            <w:tcW w:type="dxa" w:w="965"/>
            <w:vAlign w:val="center"/>
            <w:shd w:fill="FFFFFF"/>
          </w:tcPr>
          <w:p>
            <w:pPr>
              <w:spacing w:after="0" w:before="0" w:line="250" w:lineRule="auto"/>
              <w:jc w:val="center"/>
            </w:pPr>
            <w:r>
              <w:rPr>
                <w:b w:val="0"/>
                <w:color w:val="000000"/>
                <w:sz w:val="19"/>
              </w:rPr>
              <w:t>25.5%</w:t>
            </w:r>
          </w:p>
        </w:tc>
        <w:tc>
          <w:tcPr>
            <w:tcW w:type="dxa" w:w="4651"/>
            <w:vAlign w:val="center"/>
            <w:shd w:fill="FFFFFF"/>
          </w:tcPr>
          <w:p>
            <w:pPr>
              <w:spacing w:after="0" w:before="0" w:line="250" w:lineRule="auto"/>
              <w:jc w:val="left"/>
            </w:pPr>
            <w:r>
              <w:rPr>
                <w:b w:val="0"/>
                <w:color w:val="000000"/>
                <w:sz w:val="19"/>
              </w:rPr>
              <w:t>Edge AI SoCs; a Hong Kong growth pricing reference</w:t>
            </w:r>
          </w:p>
        </w:tc>
      </w:tr>
    </w:tbl>
    <w:p>
      <w:pPr>
        <w:spacing w:after="40" w:line="20" w:lineRule="exact"/>
      </w:pPr>
      <w:r>
        <w:rPr>
          <w:sz w:val="2"/>
        </w:rPr>
      </w:r>
    </w:p>
    <w:p>
      <w:pPr>
        <w:spacing w:line="245" w:lineRule="auto" w:after="140"/>
      </w:pPr>
      <w:r>
        <w:rPr>
          <w:sz w:val="18"/>
        </w:rPr>
        <w:t>Sources [3,4]. These peers mainly capture SoC and edge computing economics. Connectivity has a small revenue contribution and no separately assigned peer premium. NM means P/E is not meaningful because of losses.</w:t>
      </w:r>
    </w:p>
    <w:p>
      <w:pPr>
        <w:pStyle w:val="Heading2"/>
      </w:pPr>
      <w:r>
        <w:t>How to interpret the comparison</w:t>
      </w:r>
    </w:p>
    <w:p>
      <w:r>
        <w:t>ESWIN’s group P/S of 11.2-12.0x sits well above the profitable display references and within the computing range. Its trailing gross margin is only 19.6%, compared with approximately 25-59% for the selected computing peers. A group computing multiple therefore requires an expectation of a material change in business mix and economics.</w:t>
      </w:r>
    </w:p>
    <w:p>
      <w:r>
        <w:t>Price to gross profit is a useful cross-check: ESWIN is at about 57-61x, compared with roughly 8x for Novatek, 10x for Himax, 12x for Ambarella and 56x for Axera. This measure accounts for gross margin differences but excludes R&amp;D and other operating expenses, and inventory provisions can distort it. It is not a standalone measure of fair value.</w:t>
      </w:r>
    </w:p>
    <w:p>
      <w:pPr>
        <w:spacing w:line="245" w:lineRule="auto" w:after="140"/>
      </w:pPr>
      <w:r>
        <w:rPr>
          <w:sz w:val="18"/>
        </w:rPr>
        <w:t>Method: 29 September closing prices and latest available trailing financial data, accessed 30 September. ESWIN TTM equals FY2025 + 1Q2026 - 1Q2025: revenue RMB2,508.0m and gross profit RMB492.3m. Peer financial data are through June 2026, except Ambarella through July 2026. EV/S uses enterprise value rather than equity market value. Table inputs and rounding are described in the sources.</w:t>
      </w:r>
    </w:p>
    <w:p>
      <w:pPr>
        <w:pStyle w:val="Heading1"/>
        <w:pageBreakBefore/>
      </w:pPr>
      <w:r>
        <w:t>What the offer price requires</w:t>
      </w:r>
    </w:p>
    <w:p>
      <w:r>
        <w:t>A sum of the parts makes the assumptions visible. The cases below apply enterprise value to sales multiples to each business, then add net financial assets and IPO proceeds once. They are valuation sensitivities, not forecasts, price targets or attributed institutional estimates.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95" w:type="dxa"/>
          <w:right w:w="95" w:type="dxa"/>
        </w:tblCellMar>
      </w:tblPr>
      <w:tblGrid>
        <w:gridCol w:w="4565"/>
        <w:gridCol w:w="1886"/>
        <w:gridCol w:w="1886"/>
        <w:gridCol w:w="1886"/>
      </w:tblGrid>
      <w:tr>
        <w:trPr>
          <w:tblHeader/>
          <w:cantSplit/>
        </w:trPr>
        <w:tc>
          <w:tcPr>
            <w:tcW w:type="dxa" w:w="4565"/>
            <w:vAlign w:val="center"/>
            <w:shd w:fill="26384A"/>
          </w:tcPr>
          <w:p>
            <w:pPr>
              <w:spacing w:after="0" w:before="0" w:line="250" w:lineRule="auto"/>
              <w:jc w:val="left"/>
            </w:pPr>
            <w:r>
              <w:rPr>
                <w:b/>
                <w:color w:val="FFFFFF"/>
                <w:sz w:val="20"/>
              </w:rPr>
              <w:t>Assumption or result</w:t>
            </w:r>
          </w:p>
        </w:tc>
        <w:tc>
          <w:tcPr>
            <w:tcW w:type="dxa" w:w="1886"/>
            <w:vAlign w:val="center"/>
            <w:shd w:fill="26384A"/>
          </w:tcPr>
          <w:p>
            <w:pPr>
              <w:spacing w:after="0" w:before="0" w:line="250" w:lineRule="auto"/>
              <w:jc w:val="center"/>
            </w:pPr>
            <w:r>
              <w:rPr>
                <w:b/>
                <w:color w:val="FFFFFF"/>
                <w:sz w:val="20"/>
              </w:rPr>
              <w:t>Reported sales</w:t>
              <w:br/>
              <w:t>reference</w:t>
            </w:r>
          </w:p>
        </w:tc>
        <w:tc>
          <w:tcPr>
            <w:tcW w:type="dxa" w:w="1886"/>
            <w:vAlign w:val="center"/>
            <w:shd w:fill="26384A"/>
          </w:tcPr>
          <w:p>
            <w:pPr>
              <w:spacing w:after="0" w:before="0" w:line="250" w:lineRule="auto"/>
              <w:jc w:val="center"/>
            </w:pPr>
            <w:r>
              <w:rPr>
                <w:b/>
                <w:color w:val="FFFFFF"/>
                <w:sz w:val="20"/>
              </w:rPr>
              <w:t>Moderate</w:t>
              <w:br/>
              <w:t>expansion</w:t>
            </w:r>
          </w:p>
        </w:tc>
        <w:tc>
          <w:tcPr>
            <w:tcW w:type="dxa" w:w="1886"/>
            <w:vAlign w:val="center"/>
            <w:shd w:fill="26384A"/>
          </w:tcPr>
          <w:p>
            <w:pPr>
              <w:spacing w:after="0" w:before="0" w:line="250" w:lineRule="auto"/>
              <w:jc w:val="center"/>
            </w:pPr>
            <w:r>
              <w:rPr>
                <w:b/>
                <w:color w:val="FFFFFF"/>
                <w:sz w:val="20"/>
              </w:rPr>
              <w:t>Strong</w:t>
              <w:br/>
              <w:t>commercialisation</w:t>
            </w:r>
          </w:p>
        </w:tc>
      </w:tr>
      <w:tr>
        <w:trPr>
          <w:cantSplit/>
        </w:trPr>
        <w:tc>
          <w:tcPr>
            <w:tcW w:type="dxa" w:w="4565"/>
            <w:vAlign w:val="center"/>
            <w:shd w:fill="F1F4F6"/>
          </w:tcPr>
          <w:p>
            <w:pPr>
              <w:spacing w:after="0" w:before="0" w:line="250" w:lineRule="auto"/>
              <w:jc w:val="left"/>
            </w:pPr>
            <w:r>
              <w:rPr>
                <w:b w:val="0"/>
                <w:color w:val="000000"/>
                <w:sz w:val="20"/>
              </w:rPr>
              <w:t>Smart device annual revenue RMBbn</w:t>
            </w:r>
          </w:p>
        </w:tc>
        <w:tc>
          <w:tcPr>
            <w:tcW w:type="dxa" w:w="1886"/>
            <w:vAlign w:val="center"/>
            <w:shd w:fill="F1F4F6"/>
          </w:tcPr>
          <w:p>
            <w:pPr>
              <w:spacing w:after="0" w:before="0" w:line="250" w:lineRule="auto"/>
              <w:jc w:val="center"/>
            </w:pPr>
            <w:r>
              <w:rPr>
                <w:b w:val="0"/>
                <w:color w:val="000000"/>
                <w:sz w:val="20"/>
              </w:rPr>
              <w:t>2.006</w:t>
            </w:r>
          </w:p>
        </w:tc>
        <w:tc>
          <w:tcPr>
            <w:tcW w:type="dxa" w:w="1886"/>
            <w:vAlign w:val="center"/>
            <w:shd w:fill="F1F4F6"/>
          </w:tcPr>
          <w:p>
            <w:pPr>
              <w:spacing w:after="0" w:before="0" w:line="250" w:lineRule="auto"/>
              <w:jc w:val="center"/>
            </w:pPr>
            <w:r>
              <w:rPr>
                <w:b w:val="0"/>
                <w:color w:val="000000"/>
                <w:sz w:val="20"/>
              </w:rPr>
              <w:t>2.00</w:t>
            </w:r>
          </w:p>
        </w:tc>
        <w:tc>
          <w:tcPr>
            <w:tcW w:type="dxa" w:w="1886"/>
            <w:vAlign w:val="center"/>
            <w:shd w:fill="F1F4F6"/>
          </w:tcPr>
          <w:p>
            <w:pPr>
              <w:spacing w:after="0" w:before="0" w:line="250" w:lineRule="auto"/>
              <w:jc w:val="center"/>
            </w:pPr>
            <w:r>
              <w:rPr>
                <w:b w:val="0"/>
                <w:color w:val="000000"/>
                <w:sz w:val="20"/>
              </w:rPr>
              <w:t>2.00</w:t>
            </w:r>
          </w:p>
        </w:tc>
      </w:tr>
      <w:tr>
        <w:trPr>
          <w:cantSplit/>
        </w:trPr>
        <w:tc>
          <w:tcPr>
            <w:tcW w:type="dxa" w:w="4565"/>
            <w:vAlign w:val="center"/>
            <w:shd w:fill="FFFFFF"/>
          </w:tcPr>
          <w:p>
            <w:pPr>
              <w:spacing w:after="0" w:before="0" w:line="250" w:lineRule="auto"/>
              <w:jc w:val="left"/>
            </w:pPr>
            <w:r>
              <w:rPr>
                <w:b w:val="0"/>
                <w:color w:val="000000"/>
                <w:sz w:val="20"/>
              </w:rPr>
              <w:t>Smart device EV/S</w:t>
            </w:r>
          </w:p>
        </w:tc>
        <w:tc>
          <w:tcPr>
            <w:tcW w:type="dxa" w:w="1886"/>
            <w:vAlign w:val="center"/>
            <w:shd w:fill="FFFFFF"/>
          </w:tcPr>
          <w:p>
            <w:pPr>
              <w:spacing w:after="0" w:before="0" w:line="250" w:lineRule="auto"/>
              <w:jc w:val="center"/>
            </w:pPr>
            <w:r>
              <w:rPr>
                <w:b w:val="0"/>
                <w:color w:val="000000"/>
                <w:sz w:val="20"/>
              </w:rPr>
              <w:t>3.0x</w:t>
            </w:r>
          </w:p>
        </w:tc>
        <w:tc>
          <w:tcPr>
            <w:tcW w:type="dxa" w:w="1886"/>
            <w:vAlign w:val="center"/>
            <w:shd w:fill="FFFFFF"/>
          </w:tcPr>
          <w:p>
            <w:pPr>
              <w:spacing w:after="0" w:before="0" w:line="250" w:lineRule="auto"/>
              <w:jc w:val="center"/>
            </w:pPr>
            <w:r>
              <w:rPr>
                <w:b w:val="0"/>
                <w:color w:val="000000"/>
                <w:sz w:val="20"/>
              </w:rPr>
              <w:t>4.0x</w:t>
            </w:r>
          </w:p>
        </w:tc>
        <w:tc>
          <w:tcPr>
            <w:tcW w:type="dxa" w:w="1886"/>
            <w:vAlign w:val="center"/>
            <w:shd w:fill="FFFFFF"/>
          </w:tcPr>
          <w:p>
            <w:pPr>
              <w:spacing w:after="0" w:before="0" w:line="250" w:lineRule="auto"/>
              <w:jc w:val="center"/>
            </w:pPr>
            <w:r>
              <w:rPr>
                <w:b w:val="0"/>
                <w:color w:val="000000"/>
                <w:sz w:val="20"/>
              </w:rPr>
              <w:t>5.0x</w:t>
            </w:r>
          </w:p>
        </w:tc>
      </w:tr>
      <w:tr>
        <w:trPr>
          <w:cantSplit/>
        </w:trPr>
        <w:tc>
          <w:tcPr>
            <w:tcW w:type="dxa" w:w="4565"/>
            <w:vAlign w:val="center"/>
            <w:shd w:fill="F1F4F6"/>
          </w:tcPr>
          <w:p>
            <w:pPr>
              <w:spacing w:after="0" w:before="0" w:line="250" w:lineRule="auto"/>
              <w:jc w:val="left"/>
            </w:pPr>
            <w:r>
              <w:rPr>
                <w:b w:val="0"/>
                <w:color w:val="000000"/>
                <w:sz w:val="20"/>
              </w:rPr>
              <w:t>Interconnectivity and computing annual revenue RMBbn</w:t>
            </w:r>
          </w:p>
        </w:tc>
        <w:tc>
          <w:tcPr>
            <w:tcW w:type="dxa" w:w="1886"/>
            <w:vAlign w:val="center"/>
            <w:shd w:fill="F1F4F6"/>
          </w:tcPr>
          <w:p>
            <w:pPr>
              <w:spacing w:after="0" w:before="0" w:line="250" w:lineRule="auto"/>
              <w:jc w:val="center"/>
            </w:pPr>
            <w:r>
              <w:rPr>
                <w:b w:val="0"/>
                <w:color w:val="000000"/>
                <w:sz w:val="20"/>
              </w:rPr>
              <w:t>0.383</w:t>
            </w:r>
          </w:p>
        </w:tc>
        <w:tc>
          <w:tcPr>
            <w:tcW w:type="dxa" w:w="1886"/>
            <w:vAlign w:val="center"/>
            <w:shd w:fill="F1F4F6"/>
          </w:tcPr>
          <w:p>
            <w:pPr>
              <w:spacing w:after="0" w:before="0" w:line="250" w:lineRule="auto"/>
              <w:jc w:val="center"/>
            </w:pPr>
            <w:r>
              <w:rPr>
                <w:b w:val="0"/>
                <w:color w:val="000000"/>
                <w:sz w:val="20"/>
              </w:rPr>
              <w:t>0.70</w:t>
            </w:r>
          </w:p>
        </w:tc>
        <w:tc>
          <w:tcPr>
            <w:tcW w:type="dxa" w:w="1886"/>
            <w:vAlign w:val="center"/>
            <w:shd w:fill="F1F4F6"/>
          </w:tcPr>
          <w:p>
            <w:pPr>
              <w:spacing w:after="0" w:before="0" w:line="250" w:lineRule="auto"/>
              <w:jc w:val="center"/>
            </w:pPr>
            <w:r>
              <w:rPr>
                <w:b w:val="0"/>
                <w:color w:val="000000"/>
                <w:sz w:val="20"/>
              </w:rPr>
              <w:t>1.10</w:t>
            </w:r>
          </w:p>
        </w:tc>
      </w:tr>
      <w:tr>
        <w:trPr>
          <w:cantSplit/>
        </w:trPr>
        <w:tc>
          <w:tcPr>
            <w:tcW w:type="dxa" w:w="4565"/>
            <w:vAlign w:val="center"/>
            <w:shd w:fill="FFFFFF"/>
          </w:tcPr>
          <w:p>
            <w:pPr>
              <w:spacing w:after="0" w:before="0" w:line="250" w:lineRule="auto"/>
              <w:jc w:val="left"/>
            </w:pPr>
            <w:r>
              <w:rPr>
                <w:b w:val="0"/>
                <w:color w:val="000000"/>
                <w:sz w:val="20"/>
              </w:rPr>
              <w:t>Interconnectivity and computing EV/S</w:t>
            </w:r>
          </w:p>
        </w:tc>
        <w:tc>
          <w:tcPr>
            <w:tcW w:type="dxa" w:w="1886"/>
            <w:vAlign w:val="center"/>
            <w:shd w:fill="FFFFFF"/>
          </w:tcPr>
          <w:p>
            <w:pPr>
              <w:spacing w:after="0" w:before="0" w:line="250" w:lineRule="auto"/>
              <w:jc w:val="center"/>
            </w:pPr>
            <w:r>
              <w:rPr>
                <w:b w:val="0"/>
                <w:color w:val="000000"/>
                <w:sz w:val="20"/>
              </w:rPr>
              <w:t>8.0x</w:t>
            </w:r>
          </w:p>
        </w:tc>
        <w:tc>
          <w:tcPr>
            <w:tcW w:type="dxa" w:w="1886"/>
            <w:vAlign w:val="center"/>
            <w:shd w:fill="FFFFFF"/>
          </w:tcPr>
          <w:p>
            <w:pPr>
              <w:spacing w:after="0" w:before="0" w:line="250" w:lineRule="auto"/>
              <w:jc w:val="center"/>
            </w:pPr>
            <w:r>
              <w:rPr>
                <w:b w:val="0"/>
                <w:color w:val="000000"/>
                <w:sz w:val="20"/>
              </w:rPr>
              <w:t>12.0x</w:t>
            </w:r>
          </w:p>
        </w:tc>
        <w:tc>
          <w:tcPr>
            <w:tcW w:type="dxa" w:w="1886"/>
            <w:vAlign w:val="center"/>
            <w:shd w:fill="FFFFFF"/>
          </w:tcPr>
          <w:p>
            <w:pPr>
              <w:spacing w:after="0" w:before="0" w:line="250" w:lineRule="auto"/>
              <w:jc w:val="center"/>
            </w:pPr>
            <w:r>
              <w:rPr>
                <w:b w:val="0"/>
                <w:color w:val="000000"/>
                <w:sz w:val="20"/>
              </w:rPr>
              <w:t>16.0x</w:t>
            </w:r>
          </w:p>
        </w:tc>
      </w:tr>
      <w:tr>
        <w:trPr>
          <w:cantSplit/>
        </w:trPr>
        <w:tc>
          <w:tcPr>
            <w:tcW w:type="dxa" w:w="4565"/>
            <w:vAlign w:val="center"/>
            <w:shd w:fill="F1F4F6"/>
          </w:tcPr>
          <w:p>
            <w:pPr>
              <w:spacing w:after="0" w:before="0" w:line="250" w:lineRule="auto"/>
              <w:jc w:val="left"/>
            </w:pPr>
            <w:r>
              <w:rPr>
                <w:b w:val="0"/>
                <w:color w:val="000000"/>
                <w:sz w:val="20"/>
              </w:rPr>
              <w:t>Licence and services enterprise value RMBbn</w:t>
            </w:r>
          </w:p>
        </w:tc>
        <w:tc>
          <w:tcPr>
            <w:tcW w:type="dxa" w:w="1886"/>
            <w:vAlign w:val="center"/>
            <w:shd w:fill="F1F4F6"/>
          </w:tcPr>
          <w:p>
            <w:pPr>
              <w:spacing w:after="0" w:before="0" w:line="250" w:lineRule="auto"/>
              <w:jc w:val="center"/>
            </w:pPr>
            <w:r>
              <w:rPr>
                <w:b w:val="0"/>
                <w:color w:val="000000"/>
                <w:sz w:val="20"/>
              </w:rPr>
              <w:t>0.209</w:t>
            </w:r>
          </w:p>
        </w:tc>
        <w:tc>
          <w:tcPr>
            <w:tcW w:type="dxa" w:w="1886"/>
            <w:vAlign w:val="center"/>
            <w:shd w:fill="F1F4F6"/>
          </w:tcPr>
          <w:p>
            <w:pPr>
              <w:spacing w:after="0" w:before="0" w:line="250" w:lineRule="auto"/>
              <w:jc w:val="center"/>
            </w:pPr>
            <w:r>
              <w:rPr>
                <w:b w:val="0"/>
                <w:color w:val="000000"/>
                <w:sz w:val="20"/>
              </w:rPr>
              <w:t>0.20</w:t>
            </w:r>
          </w:p>
        </w:tc>
        <w:tc>
          <w:tcPr>
            <w:tcW w:type="dxa" w:w="1886"/>
            <w:vAlign w:val="center"/>
            <w:shd w:fill="F1F4F6"/>
          </w:tcPr>
          <w:p>
            <w:pPr>
              <w:spacing w:after="0" w:before="0" w:line="250" w:lineRule="auto"/>
              <w:jc w:val="center"/>
            </w:pPr>
            <w:r>
              <w:rPr>
                <w:b w:val="0"/>
                <w:color w:val="000000"/>
                <w:sz w:val="20"/>
              </w:rPr>
              <w:t>0.20</w:t>
            </w:r>
          </w:p>
        </w:tc>
      </w:tr>
      <w:tr>
        <w:trPr>
          <w:cantSplit/>
        </w:trPr>
        <w:tc>
          <w:tcPr>
            <w:tcW w:type="dxa" w:w="4565"/>
            <w:vAlign w:val="center"/>
            <w:shd w:fill="FFFFFF"/>
          </w:tcPr>
          <w:p>
            <w:pPr>
              <w:spacing w:after="0" w:before="0" w:line="250" w:lineRule="auto"/>
              <w:jc w:val="left"/>
            </w:pPr>
            <w:r>
              <w:rPr>
                <w:b w:val="0"/>
                <w:color w:val="000000"/>
                <w:sz w:val="20"/>
              </w:rPr>
              <w:t>Total enterprise value RMBbn</w:t>
            </w:r>
          </w:p>
        </w:tc>
        <w:tc>
          <w:tcPr>
            <w:tcW w:type="dxa" w:w="1886"/>
            <w:vAlign w:val="center"/>
            <w:shd w:fill="FFFFFF"/>
          </w:tcPr>
          <w:p>
            <w:pPr>
              <w:spacing w:after="0" w:before="0" w:line="250" w:lineRule="auto"/>
              <w:jc w:val="center"/>
            </w:pPr>
            <w:r>
              <w:rPr>
                <w:b w:val="0"/>
                <w:color w:val="000000"/>
                <w:sz w:val="20"/>
              </w:rPr>
              <w:t>9.293</w:t>
            </w:r>
          </w:p>
        </w:tc>
        <w:tc>
          <w:tcPr>
            <w:tcW w:type="dxa" w:w="1886"/>
            <w:vAlign w:val="center"/>
            <w:shd w:fill="FFFFFF"/>
          </w:tcPr>
          <w:p>
            <w:pPr>
              <w:spacing w:after="0" w:before="0" w:line="250" w:lineRule="auto"/>
              <w:jc w:val="center"/>
            </w:pPr>
            <w:r>
              <w:rPr>
                <w:b w:val="0"/>
                <w:color w:val="000000"/>
                <w:sz w:val="20"/>
              </w:rPr>
              <w:t>16.60</w:t>
            </w:r>
          </w:p>
        </w:tc>
        <w:tc>
          <w:tcPr>
            <w:tcW w:type="dxa" w:w="1886"/>
            <w:vAlign w:val="center"/>
            <w:shd w:fill="FFFFFF"/>
          </w:tcPr>
          <w:p>
            <w:pPr>
              <w:spacing w:after="0" w:before="0" w:line="250" w:lineRule="auto"/>
              <w:jc w:val="center"/>
            </w:pPr>
            <w:r>
              <w:rPr>
                <w:b w:val="0"/>
                <w:color w:val="000000"/>
                <w:sz w:val="20"/>
              </w:rPr>
              <w:t>27.80</w:t>
            </w:r>
          </w:p>
        </w:tc>
      </w:tr>
      <w:tr>
        <w:trPr>
          <w:cantSplit/>
        </w:trPr>
        <w:tc>
          <w:tcPr>
            <w:tcW w:type="dxa" w:w="4565"/>
            <w:vAlign w:val="center"/>
            <w:shd w:fill="F1F4F6"/>
          </w:tcPr>
          <w:p>
            <w:pPr>
              <w:spacing w:after="0" w:before="0" w:line="250" w:lineRule="auto"/>
              <w:jc w:val="left"/>
            </w:pPr>
            <w:r>
              <w:rPr>
                <w:b w:val="0"/>
                <w:color w:val="000000"/>
                <w:sz w:val="20"/>
              </w:rPr>
              <w:t>Post IPO net financial assets RMBbn</w:t>
            </w:r>
          </w:p>
        </w:tc>
        <w:tc>
          <w:tcPr>
            <w:tcW w:type="dxa" w:w="1886"/>
            <w:vAlign w:val="center"/>
            <w:shd w:fill="F1F4F6"/>
          </w:tcPr>
          <w:p>
            <w:pPr>
              <w:spacing w:after="0" w:before="0" w:line="250" w:lineRule="auto"/>
              <w:jc w:val="center"/>
            </w:pPr>
            <w:r>
              <w:rPr>
                <w:b w:val="0"/>
                <w:color w:val="000000"/>
                <w:sz w:val="20"/>
              </w:rPr>
              <w:t>1.569</w:t>
            </w:r>
          </w:p>
        </w:tc>
        <w:tc>
          <w:tcPr>
            <w:tcW w:type="dxa" w:w="1886"/>
            <w:vAlign w:val="center"/>
            <w:shd w:fill="F1F4F6"/>
          </w:tcPr>
          <w:p>
            <w:pPr>
              <w:spacing w:after="0" w:before="0" w:line="250" w:lineRule="auto"/>
              <w:jc w:val="center"/>
            </w:pPr>
            <w:r>
              <w:rPr>
                <w:b w:val="0"/>
                <w:color w:val="000000"/>
                <w:sz w:val="20"/>
              </w:rPr>
              <w:t>1.569</w:t>
            </w:r>
          </w:p>
        </w:tc>
        <w:tc>
          <w:tcPr>
            <w:tcW w:type="dxa" w:w="1886"/>
            <w:vAlign w:val="center"/>
            <w:shd w:fill="F1F4F6"/>
          </w:tcPr>
          <w:p>
            <w:pPr>
              <w:spacing w:after="0" w:before="0" w:line="250" w:lineRule="auto"/>
              <w:jc w:val="center"/>
            </w:pPr>
            <w:r>
              <w:rPr>
                <w:b w:val="0"/>
                <w:color w:val="000000"/>
                <w:sz w:val="20"/>
              </w:rPr>
              <w:t>1.569</w:t>
            </w:r>
          </w:p>
        </w:tc>
      </w:tr>
      <w:tr>
        <w:trPr>
          <w:cantSplit/>
        </w:trPr>
        <w:tc>
          <w:tcPr>
            <w:tcW w:type="dxa" w:w="4565"/>
            <w:vAlign w:val="center"/>
            <w:shd w:fill="FFFFFF"/>
          </w:tcPr>
          <w:p>
            <w:pPr>
              <w:spacing w:after="0" w:before="0" w:line="250" w:lineRule="auto"/>
              <w:jc w:val="left"/>
            </w:pPr>
            <w:r>
              <w:rPr>
                <w:b w:val="0"/>
                <w:color w:val="000000"/>
                <w:sz w:val="20"/>
              </w:rPr>
              <w:t>Equity value HK$bn</w:t>
            </w:r>
          </w:p>
        </w:tc>
        <w:tc>
          <w:tcPr>
            <w:tcW w:type="dxa" w:w="1886"/>
            <w:vAlign w:val="center"/>
            <w:shd w:fill="FFFFFF"/>
          </w:tcPr>
          <w:p>
            <w:pPr>
              <w:spacing w:after="0" w:before="0" w:line="250" w:lineRule="auto"/>
              <w:jc w:val="center"/>
            </w:pPr>
            <w:r>
              <w:rPr>
                <w:b w:val="0"/>
                <w:color w:val="000000"/>
                <w:sz w:val="20"/>
              </w:rPr>
              <w:t>12.62</w:t>
            </w:r>
          </w:p>
        </w:tc>
        <w:tc>
          <w:tcPr>
            <w:tcW w:type="dxa" w:w="1886"/>
            <w:vAlign w:val="center"/>
            <w:shd w:fill="FFFFFF"/>
          </w:tcPr>
          <w:p>
            <w:pPr>
              <w:spacing w:after="0" w:before="0" w:line="250" w:lineRule="auto"/>
              <w:jc w:val="center"/>
            </w:pPr>
            <w:r>
              <w:rPr>
                <w:b w:val="0"/>
                <w:color w:val="000000"/>
                <w:sz w:val="20"/>
              </w:rPr>
              <w:t>21.11</w:t>
            </w:r>
          </w:p>
        </w:tc>
        <w:tc>
          <w:tcPr>
            <w:tcW w:type="dxa" w:w="1886"/>
            <w:vAlign w:val="center"/>
            <w:shd w:fill="FFFFFF"/>
          </w:tcPr>
          <w:p>
            <w:pPr>
              <w:spacing w:after="0" w:before="0" w:line="250" w:lineRule="auto"/>
              <w:jc w:val="center"/>
            </w:pPr>
            <w:r>
              <w:rPr>
                <w:b w:val="0"/>
                <w:color w:val="000000"/>
                <w:sz w:val="20"/>
              </w:rPr>
              <w:t>34.13</w:t>
            </w:r>
          </w:p>
        </w:tc>
      </w:tr>
      <w:tr>
        <w:trPr>
          <w:cantSplit/>
        </w:trPr>
        <w:tc>
          <w:tcPr>
            <w:tcW w:type="dxa" w:w="4565"/>
            <w:vAlign w:val="center"/>
            <w:shd w:fill="F1F4F6"/>
          </w:tcPr>
          <w:p>
            <w:pPr>
              <w:spacing w:after="0" w:before="0" w:line="250" w:lineRule="auto"/>
              <w:jc w:val="left"/>
            </w:pPr>
            <w:r>
              <w:rPr>
                <w:b w:val="0"/>
                <w:color w:val="000000"/>
                <w:sz w:val="20"/>
              </w:rPr>
              <w:t>Illustrative value per share HK$</w:t>
            </w:r>
          </w:p>
        </w:tc>
        <w:tc>
          <w:tcPr>
            <w:tcW w:type="dxa" w:w="1886"/>
            <w:vAlign w:val="center"/>
            <w:shd w:fill="F1F4F6"/>
          </w:tcPr>
          <w:p>
            <w:pPr>
              <w:spacing w:after="0" w:before="0" w:line="250" w:lineRule="auto"/>
              <w:jc w:val="center"/>
            </w:pPr>
            <w:r>
              <w:rPr>
                <w:b w:val="0"/>
                <w:color w:val="000000"/>
                <w:sz w:val="20"/>
              </w:rPr>
              <w:t>0.57</w:t>
            </w:r>
          </w:p>
        </w:tc>
        <w:tc>
          <w:tcPr>
            <w:tcW w:type="dxa" w:w="1886"/>
            <w:vAlign w:val="center"/>
            <w:shd w:fill="F1F4F6"/>
          </w:tcPr>
          <w:p>
            <w:pPr>
              <w:spacing w:after="0" w:before="0" w:line="250" w:lineRule="auto"/>
              <w:jc w:val="center"/>
            </w:pPr>
            <w:r>
              <w:rPr>
                <w:b w:val="0"/>
                <w:color w:val="000000"/>
                <w:sz w:val="20"/>
              </w:rPr>
              <w:t>0.96</w:t>
            </w:r>
          </w:p>
        </w:tc>
        <w:tc>
          <w:tcPr>
            <w:tcW w:type="dxa" w:w="1886"/>
            <w:vAlign w:val="center"/>
            <w:shd w:fill="F1F4F6"/>
          </w:tcPr>
          <w:p>
            <w:pPr>
              <w:spacing w:after="0" w:before="0" w:line="250" w:lineRule="auto"/>
              <w:jc w:val="center"/>
            </w:pPr>
            <w:r>
              <w:rPr>
                <w:b w:val="0"/>
                <w:color w:val="000000"/>
                <w:sz w:val="20"/>
              </w:rPr>
              <w:t>1.55</w:t>
            </w:r>
          </w:p>
        </w:tc>
      </w:tr>
    </w:tbl>
    <w:p>
      <w:pPr>
        <w:spacing w:after="40" w:line="20" w:lineRule="exact"/>
      </w:pPr>
      <w:r>
        <w:rPr>
          <w:sz w:val="2"/>
        </w:rPr>
      </w:r>
    </w:p>
    <w:p>
      <w:pPr>
        <w:spacing w:line="245" w:lineRule="auto" w:after="140"/>
      </w:pPr>
      <w:r>
        <w:rPr>
          <w:sz w:val="18"/>
        </w:rPr>
        <w:t>Analyst assumptions based on [1-4]. The first case uses reported FY2025 sales. The other cases assume recurring annual sales over a prospective 12-month period; they are not management guidance. Licence and services is valued separately, without double counting RISC-V revenue.</w:t>
      </w:r>
    </w:p>
    <w:p>
      <w:pPr>
        <w:pStyle w:val="Heading2"/>
      </w:pPr>
      <w:r>
        <w:t>The assumptions behind the cases</w:t>
      </w:r>
    </w:p>
    <w:p>
      <w:r>
        <w:t>The smart device multiples span profitable display and multimedia references. The computing multiples span selected SoC peers, with a higher premium in the strong case. Maintaining RMB2.0bn of smart device sales assumes the first quarter decline does not persist. The moderate and strong cases require computing and connectivity sales of about 1.8 and 2.9 times their 2025 level.</w:t>
      </w:r>
    </w:p>
    <w:p>
      <w:r>
        <w:t>Licence and services is assigned about RMB0.2bn, roughly five times 2025 revenue; the disclosure combines IP licensing and technical services, so a pure CPU IP valuation would be inappropriate. The small value assigned means the outcome is driven mainly by the two product businesses.</w:t>
      </w:r>
    </w:p>
    <w:p>
      <w:pPr>
        <w:pStyle w:val="Heading2"/>
      </w:pPr>
      <w:r>
        <w:t>Reverse calculation from the IPO price</w:t>
      </w:r>
    </w:p>
    <w:p>
      <w:r>
        <w:t>If smart device chips are valued at 4x RMB2.0bn sales, licence and services at RMB0.2bn, and computing at 13x sales, the offer requires approximately RMB1.40-1.56bn of recurring annual computing and connectivity revenue. That is about 3.7-4.1 times its FY2025 revenue. Stronger smart device margins or a larger computing premium would reduce that revenue requirement; continued weakness would increase it.</w:t>
      </w:r>
    </w:p>
    <w:p>
      <w:r>
        <w:t>The strong case reaches the offer range, so the valuation can be supported by successful commercialisation. The reported sales and moderate cases fall below it. The investment judgment is whether repeat orders, realised margins and cash collection make the strong case credible, and how long it takes to reach that scale.</w:t>
      </w:r>
    </w:p>
    <w:p>
      <w:pPr>
        <w:spacing w:line="245" w:lineRule="auto" w:after="140"/>
      </w:pPr>
      <w:r>
        <w:rPr>
          <w:sz w:val="18"/>
        </w:rPr>
        <w:t>Equity bridge: July cash RMB947.928m + current financial assets at FVPL RMB160.059m - bank loans RMB1,186.888m - lease liabilities RMB303.573m + midpoint net IPO proceeds HK$2,267.3m / 1.162 = RMB1,568.731m. Restricted cash and undrawn facilities are excluded. FX is fixed at the prospectus convention RMB1 = HK$1.162; total shares are 21.99163704bn. Values precede subsequent cash burn and any upsize dilution. Future funding needs, corporate expense allocation and discounting would affect a fuller model.</w:t>
      </w:r>
    </w:p>
    <w:p>
      <w:pPr>
        <w:pStyle w:val="Heading1"/>
        <w:pageBreakBefore/>
      </w:pPr>
      <w:r>
        <w:t>Published views and how to assess them</w:t>
      </w:r>
    </w:p>
    <w:p>
      <w:r>
        <w:t>The comments below are attributed public views. Individual retail posts describe those authors’ thinking and do not establish a retail or institutional consensus.</w:t>
      </w:r>
    </w:p>
    <w:p>
      <w:pPr>
        <w:pStyle w:val="Heading2"/>
      </w:pPr>
      <w:r>
        <w:t>Retail commentary</w:t>
      </w:r>
    </w:p>
    <w:p>
      <w:r>
        <w:t>Xueqiu author Xiaosan Laoyu (username transliterated), 29 September, takes a cautious participation approach: he cites the chip concept, cornerstone coverage and narrowing losses, while stressing ordinary early demand, no greenshoe and a cooler recent IPO market. He says he plans to subscribe for at most two lots. This is a debut trading view; it does not establish a long-term valuation. His demand figure is a dated author snapshot, rather than final official subscription data. [5]</w:t>
      </w:r>
    </w:p>
    <w:p>
      <w:r>
        <w:t>Xianggang Juejin (username transliterated), in a 29 September Xueqiu post also published on Tiger Community, emphasises RISC-V scarcity, product commercialisation and industry growth, while acknowledging valuation and concentration risk. The author suggests a small cash subscription. Some numerical claims need correction: the post’s 130x P/S is inconsistent with the prospectus and trailing revenue; share-based payments were about 21% of the 2025 IFRS loss, so most of the loss cannot be attributed to that item. The scarcity argument should be assessed separately from those figures. [6]</w:t>
      </w:r>
    </w:p>
    <w:p>
      <w:pPr>
        <w:pStyle w:val="Heading2"/>
      </w:pPr>
      <w:r>
        <w:t>Broker and research commentary</w:t>
      </w:r>
    </w:p>
    <w:p>
      <w:r>
        <w:t>Huaan Securities Hong Kong’s 28 September IPO information page describes the two business lines, product commercialisation and market positions. It gives no valuation target or subscribe recommendation. It is useful as broker-distributed offer information, rather than evidence of a buy-side investment call. [7]</w:t>
      </w:r>
    </w:p>
    <w:p>
      <w:r>
        <w:t>GDIRI analyst Lan Yingjie, 24 September, recognises commercialised products and the newer computing business, but focuses on price competition, continued losses and customer concentration. His central test is whether new applications can replace weakening legacy growth. That is consistent with the prospectus data, although a single positive cash flow quarter should not be read as a proven funding inflection. [8]</w:t>
      </w:r>
    </w:p>
    <w:p>
      <w:pPr>
        <w:pStyle w:val="Heading2"/>
      </w:pPr>
      <w:r>
        <w:t>Evidence relevant to institutional investors</w:t>
      </w:r>
    </w:p>
    <w:p>
      <w:r>
        <w:t>The disclosed cornerstones include state-linked funds, supply-chain investors, financial investors and CITIC’s asset management affiliate. Their commitments support offer coverage and may reflect strategic benefits as well as financial returns. The register does not reveal demand from non-cornerstone institutions. Neither weak nor strong independent institutional demand can be inferred simply from the absence of a named global fund. [1]</w:t>
      </w:r>
    </w:p>
    <w:p>
      <w:r>
        <w:t>For a longer term investor, the useful diligence questions are whether computing orders become repeat paid sales, how much gross profit those sales generate, and whether a broader customer base reduces dependence on the largest customers. These are analytical questions, not claims about what private buy-side reports say.</w:t>
      </w:r>
    </w:p>
    <w:p>
      <w:pPr>
        <w:pStyle w:val="Heading2"/>
      </w:pPr>
      <w:r>
        <w:t>Deal features that affect an IPO trade</w:t>
      </w:r>
    </w:p>
    <w:p>
      <w:r>
        <w:t>Only 7.14% of total shares is newly offered. After cornerstone allocations, approximately 3.6-3.8% of total shares is new stock without the cornerstone lock-up. That is a supply estimate, not the regulatory public float: qualifying existing converted H shares count towards public float but are initially transfer-restricted. A small tradable supply can amplify moves in either direction. [1]</w:t>
      </w:r>
    </w:p>
    <w:p>
      <w:r>
        <w:t>Mechanism B has no mandatory clawback, although discretionary reallocation to the public offer is possible under the stated terms. There is no stabilising manager. Cornerstones have a six-month lock-up; pre-IPO shares have a one-year restriction, and directors and senior management face additional rules. Unlock dates create potential supply, not guaranteed selling. [1]</w:t>
      </w:r>
    </w:p>
    <w:p>
      <w:r>
        <w:t>Review the final book and allocation on 6-8 October. Early margin subscription tallies do not establish a first-day return. A fundamental holding decision should follow repeat computing projects, backlog conversion, HMI margin recovery and cash flow after working capital movements.</w:t>
      </w:r>
    </w:p>
    <w:p>
      <w:pPr>
        <w:pStyle w:val="Heading1"/>
        <w:pageBreakBefore/>
      </w:pPr>
      <w:r>
        <w:t>Sources and calculation notes</w:t>
      </w:r>
    </w:p>
    <w:p>
      <w:r>
        <w:rPr>
          <w:sz w:val="20"/>
        </w:rPr>
        <w:t>Financial and deal facts are anchored to the final prospectus dated 28 September 2026. References below are public sources accessed on 30 September 2026. Management plans, industry forecasts and author opinions are identified where used.</w:t>
      </w:r>
    </w:p>
    <w:p>
      <w:pPr>
        <w:spacing w:after="80"/>
      </w:pPr>
      <w:r>
        <w:rPr>
          <w:sz w:val="19"/>
        </w:rPr>
        <w:t xml:space="preserve">[1] HKEX final prospectus. Relevant printed pages: 1-3, 6-10, 15, 99, 151-152, 166-169, 235-241, 247-249, 273-274, 285-288, 290-294, 305-311 and I-25 to I-26. </w:t>
      </w:r>
      <w:hyperlink r:id="rId10">
        <w:r>
          <w:rPr>
            <w:color w:val="1B4B72"/>
            <w:u w:val="single"/>
            <w:sz w:val="19"/>
          </w:rPr>
          <w:t>ESWIN Computing prospectus</w:t>
        </w:r>
      </w:hyperlink>
    </w:p>
    <w:p>
      <w:pPr>
        <w:spacing w:after="80"/>
      </w:pPr>
      <w:r>
        <w:rPr>
          <w:sz w:val="19"/>
        </w:rPr>
        <w:t xml:space="preserve">[2] Smart device peer trailing financials and valuation inputs from Stock Analysis using S&amp;P Global Market Intelligence. </w:t>
      </w:r>
      <w:hyperlink r:id="rId11">
        <w:r>
          <w:rPr>
            <w:color w:val="1B4B72"/>
            <w:u w:val="single"/>
            <w:sz w:val="19"/>
          </w:rPr>
          <w:t>Novatek</w:t>
        </w:r>
      </w:hyperlink>
      <w:r>
        <w:rPr>
          <w:sz w:val="19"/>
        </w:rPr>
        <w:t xml:space="preserve">  |  </w:t>
      </w:r>
      <w:hyperlink r:id="rId12">
        <w:r>
          <w:rPr>
            <w:color w:val="1B4B72"/>
            <w:u w:val="single"/>
            <w:sz w:val="19"/>
          </w:rPr>
          <w:t>Himax</w:t>
        </w:r>
      </w:hyperlink>
      <w:r>
        <w:rPr>
          <w:sz w:val="19"/>
        </w:rPr>
        <w:t xml:space="preserve">  |  </w:t>
      </w:r>
      <w:hyperlink r:id="rId13">
        <w:r>
          <w:rPr>
            <w:color w:val="1B4B72"/>
            <w:u w:val="single"/>
            <w:sz w:val="19"/>
          </w:rPr>
          <w:t>Jadard</w:t>
        </w:r>
      </w:hyperlink>
      <w:r>
        <w:rPr>
          <w:sz w:val="19"/>
        </w:rPr>
        <w:t xml:space="preserve">  |  </w:t>
      </w:r>
      <w:hyperlink r:id="rId14">
        <w:r>
          <w:rPr>
            <w:color w:val="1B4B72"/>
            <w:u w:val="single"/>
            <w:sz w:val="19"/>
          </w:rPr>
          <w:t>Amlogic</w:t>
        </w:r>
      </w:hyperlink>
      <w:r>
        <w:rPr>
          <w:sz w:val="19"/>
        </w:rPr>
        <w:t xml:space="preserve">  |  </w:t>
      </w:r>
      <w:hyperlink r:id="rId15">
        <w:r>
          <w:rPr>
            <w:color w:val="1B4B72"/>
            <w:u w:val="single"/>
            <w:sz w:val="19"/>
          </w:rPr>
          <w:t>Viewtrix</w:t>
        </w:r>
      </w:hyperlink>
    </w:p>
    <w:p>
      <w:pPr>
        <w:spacing w:after="80"/>
      </w:pPr>
      <w:r>
        <w:rPr>
          <w:sz w:val="19"/>
        </w:rPr>
        <w:t xml:space="preserve">[3] Computing peer trailing financials and valuation inputs from Stock Analysis using S&amp;P Global Market Intelligence. </w:t>
      </w:r>
      <w:hyperlink r:id="rId16">
        <w:r>
          <w:rPr>
            <w:color w:val="1B4B72"/>
            <w:u w:val="single"/>
            <w:sz w:val="19"/>
          </w:rPr>
          <w:t>Allwinner</w:t>
        </w:r>
      </w:hyperlink>
      <w:r>
        <w:rPr>
          <w:sz w:val="19"/>
        </w:rPr>
        <w:t xml:space="preserve">  |  </w:t>
      </w:r>
      <w:hyperlink r:id="rId17">
        <w:r>
          <w:rPr>
            <w:color w:val="1B4B72"/>
            <w:u w:val="single"/>
            <w:sz w:val="19"/>
          </w:rPr>
          <w:t>Rockchip</w:t>
        </w:r>
      </w:hyperlink>
      <w:r>
        <w:rPr>
          <w:sz w:val="19"/>
        </w:rPr>
        <w:t xml:space="preserve">  |  </w:t>
      </w:r>
      <w:hyperlink r:id="rId18">
        <w:r>
          <w:rPr>
            <w:color w:val="1B4B72"/>
            <w:u w:val="single"/>
            <w:sz w:val="19"/>
          </w:rPr>
          <w:t>Ambarella</w:t>
        </w:r>
      </w:hyperlink>
      <w:r>
        <w:rPr>
          <w:sz w:val="19"/>
        </w:rPr>
        <w:t xml:space="preserve">  |  </w:t>
      </w:r>
      <w:hyperlink r:id="rId19">
        <w:r>
          <w:rPr>
            <w:color w:val="1B4B72"/>
            <w:u w:val="single"/>
            <w:sz w:val="19"/>
          </w:rPr>
          <w:t>Axera</w:t>
        </w:r>
      </w:hyperlink>
    </w:p>
    <w:p>
      <w:pPr>
        <w:spacing w:after="80"/>
      </w:pPr>
      <w:r>
        <w:rPr>
          <w:sz w:val="19"/>
        </w:rPr>
        <w:t xml:space="preserve">[4] Market prices. Tencent snapshot at 30 September 16:08 provides the previous close for A and H shares; share counts are implied from quoted total capitalisation. US prices use 29 September closes; Novatek uses its 29 September statistics snapshot. </w:t>
      </w:r>
      <w:hyperlink r:id="rId20">
        <w:r>
          <w:rPr>
            <w:color w:val="1B4B72"/>
            <w:u w:val="single"/>
            <w:sz w:val="19"/>
          </w:rPr>
          <w:t>Tencent quote feed</w:t>
        </w:r>
      </w:hyperlink>
      <w:r>
        <w:rPr>
          <w:sz w:val="19"/>
        </w:rPr>
        <w:t xml:space="preserve">  |  </w:t>
      </w:r>
      <w:hyperlink r:id="rId21">
        <w:r>
          <w:rPr>
            <w:color w:val="1B4B72"/>
            <w:u w:val="single"/>
            <w:sz w:val="19"/>
          </w:rPr>
          <w:t>Himax price history</w:t>
        </w:r>
      </w:hyperlink>
      <w:r>
        <w:rPr>
          <w:sz w:val="19"/>
        </w:rPr>
        <w:t xml:space="preserve">  |  </w:t>
      </w:r>
      <w:hyperlink r:id="rId22">
        <w:r>
          <w:rPr>
            <w:color w:val="1B4B72"/>
            <w:u w:val="single"/>
            <w:sz w:val="19"/>
          </w:rPr>
          <w:t>Ambarella price history</w:t>
        </w:r>
      </w:hyperlink>
    </w:p>
    <w:p>
      <w:pPr>
        <w:spacing w:after="80"/>
      </w:pPr>
      <w:r>
        <w:rPr>
          <w:sz w:val="19"/>
        </w:rPr>
        <w:t xml:space="preserve">[5] Xiaosan Laoyu. Public Xueqiu IPO commentary, 29 September 2026 at 17:02. </w:t>
      </w:r>
      <w:hyperlink r:id="rId23">
        <w:r>
          <w:rPr>
            <w:color w:val="1B4B72"/>
            <w:u w:val="single"/>
            <w:sz w:val="19"/>
          </w:rPr>
          <w:t>Original retail post</w:t>
        </w:r>
      </w:hyperlink>
    </w:p>
    <w:p>
      <w:pPr>
        <w:spacing w:after="80"/>
      </w:pPr>
      <w:r>
        <w:rPr>
          <w:sz w:val="19"/>
        </w:rPr>
        <w:t xml:space="preserve">[6] Xianggang Juejin. Public retail commentary on RISC-V and valuation, 29 September 2026; the numerical errors discussed in this note are not adopted. </w:t>
      </w:r>
      <w:hyperlink r:id="rId24">
        <w:r>
          <w:rPr>
            <w:color w:val="1B4B72"/>
            <w:u w:val="single"/>
            <w:sz w:val="19"/>
          </w:rPr>
          <w:t>Xueqiu post</w:t>
        </w:r>
      </w:hyperlink>
      <w:r>
        <w:rPr>
          <w:sz w:val="19"/>
        </w:rPr>
        <w:t xml:space="preserve">  |  </w:t>
      </w:r>
      <w:hyperlink r:id="rId25">
        <w:r>
          <w:rPr>
            <w:color w:val="1B4B72"/>
            <w:u w:val="single"/>
            <w:sz w:val="19"/>
          </w:rPr>
          <w:t>Accessible Tiger Community version</w:t>
        </w:r>
      </w:hyperlink>
    </w:p>
    <w:p>
      <w:pPr>
        <w:spacing w:after="80"/>
      </w:pPr>
      <w:r>
        <w:rPr>
          <w:sz w:val="19"/>
        </w:rPr>
        <w:t xml:space="preserve">[7] Huaan Securities Hong Kong. IPO information, 28 September 2026. Timetable details in this note follow HKEX, as the broker page has date errors. </w:t>
      </w:r>
      <w:hyperlink r:id="rId26">
        <w:r>
          <w:rPr>
            <w:color w:val="1B4B72"/>
            <w:u w:val="single"/>
            <w:sz w:val="19"/>
          </w:rPr>
          <w:t>Broker IPO information</w:t>
        </w:r>
      </w:hyperlink>
    </w:p>
    <w:p>
      <w:pPr>
        <w:spacing w:after="80"/>
      </w:pPr>
      <w:r>
        <w:rPr>
          <w:sz w:val="19"/>
        </w:rPr>
        <w:t xml:space="preserve">[8] Lan Yingjie, GDIRI. Public research commentary, 24 September 2026. </w:t>
      </w:r>
      <w:hyperlink r:id="rId27">
        <w:r>
          <w:rPr>
            <w:color w:val="1B4B72"/>
            <w:u w:val="single"/>
            <w:sz w:val="19"/>
          </w:rPr>
          <w:t>RISC-V growth and financial risks</w:t>
        </w:r>
      </w:hyperlink>
    </w:p>
    <w:p>
      <w:pPr>
        <w:pStyle w:val="Heading2"/>
      </w:pPr>
      <w:r>
        <w:t>Valuation definitions</w:t>
      </w:r>
    </w:p>
    <w:p>
      <w:r>
        <w:rPr>
          <w:sz w:val="20"/>
        </w:rPr>
        <w:t>P/S is whole-company equity market value divided by trailing revenue. P/E uses trailing net income attributable to equity holders where meaningful. EV/S adds net financial debt to market value and divides by sales. Peer figures are rounded calculations using the sources above; provider currency conversion and financial rounding can cause small differences. These are historical multiples, not consensus forecasts.</w:t>
      </w:r>
    </w:p>
    <w:p>
      <w:r>
        <w:rPr>
          <w:sz w:val="20"/>
        </w:rPr>
        <w:t>For the peer EV bridge, reported cash and debt are used consistently; ESWIN additionally includes its current FVPL financial assets at book value. Viewtrix and Axera financials are presented in HK dollars by the data provider. The comparison does not adjust for market-specific premiums, tax differences or future R&amp;D needs.</w:t>
      </w:r>
    </w:p>
    <w:p>
      <w:r>
        <w:rPr>
          <w:sz w:val="20"/>
        </w:rPr>
        <w:t>Interpretation of the offer rests on two observable developments: the smart device business stabilises, and the newer computing business generates repeat sales at improving margins without sustained cash consumption. Those developments would strengthen the investment case; continued contraction, project concentration or rising funding needs would weaken it.</w:t>
      </w:r>
    </w:p>
    <w:sectPr w:rsidR="00FC693F" w:rsidRPr="0006063C" w:rsidSect="00034616">
      <w:footerReference w:type="default" r:id="rId9"/>
      <w:pgSz w:w="12240" w:h="15840"/>
      <w:pgMar w:top="864" w:right="1008" w:bottom="864"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ESWIN Computing 1256 HK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0" w:lineRule="auto" w:after="120"/>
    </w:pPr>
    <w:rPr>
      <w:rFonts w:ascii="Calibri" w:hAnsi="Calibri"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hAnsiTheme="majorHAnsi" w:cstheme="majorBidi" w:ascii="Calibri" w:hAnsi="Calibri" w:eastAsia="Arial Unicode M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hAnsiTheme="majorHAnsi" w:cstheme="majorBidi" w:ascii="Calibri" w:hAnsi="Calibri" w:eastAsia="Arial Unicode M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cstheme="majorBidi" w:ascii="Calibri" w:hAnsi="Calibri" w:eastAsia="Arial Unicode M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hAnsiTheme="majorHAnsi" w:cstheme="majorBidi" w:ascii="Calibri" w:hAnsi="Calibri" w:eastAsia="Arial Unicode M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hAnsiTheme="majorHAnsi" w:cstheme="majorBidi" w:ascii="Calibri" w:hAnsi="Calibri" w:eastAsia="Arial Unicode MS"/>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59" w:lineRule="auto"/>
      <w:contextualSpacing/>
    </w:pPr>
    <w:rPr>
      <w:rFonts w:ascii="Calibri" w:hAnsi="Calibri" w:eastAsia="Arial Unicode M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1.hkexnews.hk/listedco/listconews/sehk/2026/0928/2026092800035.pdf" TargetMode="External"/><Relationship Id="rId11" Type="http://schemas.openxmlformats.org/officeDocument/2006/relationships/hyperlink" Target="https://stockanalysis.com/quote/tpe/3034/statistics/" TargetMode="External"/><Relationship Id="rId12" Type="http://schemas.openxmlformats.org/officeDocument/2006/relationships/hyperlink" Target="https://stockanalysis.com/stocks/himx/statistics/" TargetMode="External"/><Relationship Id="rId13" Type="http://schemas.openxmlformats.org/officeDocument/2006/relationships/hyperlink" Target="https://stockanalysis.com/quote/sha/688252/statistics/" TargetMode="External"/><Relationship Id="rId14" Type="http://schemas.openxmlformats.org/officeDocument/2006/relationships/hyperlink" Target="https://stockanalysis.com/quote/sha/688099/statistics/" TargetMode="External"/><Relationship Id="rId15" Type="http://schemas.openxmlformats.org/officeDocument/2006/relationships/hyperlink" Target="https://stockanalysis.com/quote/hkg/3310/statistics/" TargetMode="External"/><Relationship Id="rId16" Type="http://schemas.openxmlformats.org/officeDocument/2006/relationships/hyperlink" Target="https://stockanalysis.com/quote/she/300458/statistics/" TargetMode="External"/><Relationship Id="rId17" Type="http://schemas.openxmlformats.org/officeDocument/2006/relationships/hyperlink" Target="https://stockanalysis.com/quote/sha/603893/statistics/" TargetMode="External"/><Relationship Id="rId18" Type="http://schemas.openxmlformats.org/officeDocument/2006/relationships/hyperlink" Target="https://stockanalysis.com/stocks/amba/statistics/" TargetMode="External"/><Relationship Id="rId19" Type="http://schemas.openxmlformats.org/officeDocument/2006/relationships/hyperlink" Target="https://stockanalysis.com/quote/hkg/0600/statistics/" TargetMode="External"/><Relationship Id="rId20" Type="http://schemas.openxmlformats.org/officeDocument/2006/relationships/hyperlink" Target="https://qt.gtimg.cn/q=hk03310,hk00600,sh688252,sz300458,sh603893,sh688099" TargetMode="External"/><Relationship Id="rId21" Type="http://schemas.openxmlformats.org/officeDocument/2006/relationships/hyperlink" Target="https://stockanalysis.com/stocks/himx/history/" TargetMode="External"/><Relationship Id="rId22" Type="http://schemas.openxmlformats.org/officeDocument/2006/relationships/hyperlink" Target="https://stockanalysis.com/stocks/amba/history/" TargetMode="External"/><Relationship Id="rId23" Type="http://schemas.openxmlformats.org/officeDocument/2006/relationships/hyperlink" Target="https://www.xueqiu.com/8201124121/410935145" TargetMode="External"/><Relationship Id="rId24" Type="http://schemas.openxmlformats.org/officeDocument/2006/relationships/hyperlink" Target="https://www.xueqiu.com/9244403865/410846634" TargetMode="External"/><Relationship Id="rId25" Type="http://schemas.openxmlformats.org/officeDocument/2006/relationships/hyperlink" Target="https://www.laohu8.com/m/post/612858585120776" TargetMode="External"/><Relationship Id="rId26" Type="http://schemas.openxmlformats.org/officeDocument/2006/relationships/hyperlink" Target="https://www.hasc.com.hk/article/item/1396?id=25" TargetMode="External"/><Relationship Id="rId27" Type="http://schemas.openxmlformats.org/officeDocument/2006/relationships/hyperlink" Target="https://gdiri.guandian.cn/article/20260924/60667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ESWIN Computing IPO analysis</dc:title>
  <dc:subject>Objective IPO analysis and valuation by the two principal business lines</dc:subject>
  <dc:creator/>
  <cp:keywords>ESWIN Computing, 1256 HK, IPO, RISC-V, valuation</cp:keywords>
  <dc:description>generated by python-docx</dc:description>
  <cp:lastModifiedBy/>
  <cp:revision>1</cp:revision>
  <dcterms:created xsi:type="dcterms:W3CDTF">2013-12-23T23:15:00Z</dcterms:created>
  <dcterms:modified xsi:type="dcterms:W3CDTF">2013-12-23T23:15:00Z</dcterms:modified>
  <cp:category/>
</cp:coreProperties>
</file>