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ESWIN Computing 奕斯伟计算 (1256 HK): IPO note</w:t>
      </w:r>
    </w:p>
    <w:p>
      <w:r>
        <w:rPr>
          <w:i/>
          <w:color w:val="595959"/>
          <w:sz w:val="19"/>
        </w:rPr>
        <w:t>29 Sep 2026, written after the close, day two of a book that runs to 6 Oct. Peer prices and multiples at the 29 Sep close (CNY/HKD 1.1688, TWD/HKD 0.2458). Pricing 7 Oct, grey market 8 Oct, listing Fri 9 Oct.</w:t>
      </w:r>
    </w:p>
    <w:p>
      <w:pPr>
        <w:spacing w:after="80"/>
      </w:pPr>
      <w:r>
        <w:rPr>
          <w:i w:val="0"/>
        </w:rPr>
        <w:t>Short version. ESWIN Computing is Wang Dongsheng's chip company (he founded BOE) and is being marketed as Hong Kong's first RISC-V stock. What it actually earns money from today is display-related chips (timing controllers, driver ICs, touch controllers) sold mainly to BOE: 76% of 2025 revenue, at a 16% gross margin and falling prices. The RISC-V computing and connectivity chips that carry the story were 16% of 2025 revenue. The company lost RMB1.5bn in 2025, has lost RMB6.4bn over four years, guides to another loss in 2026, and has cut R&amp;D by 28% and headcount by 22% since 2023. At HK$1.48 to 1.59 the whole company is valued at HK$32.5 to 35.0bn, which is 11 to 12 times trailing sales and 57 to 61 times trailing gross profit.</w:t>
      </w:r>
    </w:p>
    <w:p>
      <w:pPr>
        <w:spacing w:after="80"/>
      </w:pPr>
      <w:r>
        <w:rPr>
          <w:i w:val="0"/>
        </w:rPr>
        <w:t>Our view is that this is expensive for what the business is, and only looks reasonable if you apply the multiples of Hong Kong's loss-making AI-chip names (Axera, Biren, Horizon) to a company that is three-quarters display drivers. On a sum of the parts we get roughly HK$0.65 to 1.00 a share against a HK$1.48 floor. The counter-view, which we set out in section 5 so you can weigh it, is that RISC-V scarcity earns a premium and the price sits inside the chip-design range on price to sales. That is true on that one measure. We would not own it as an investment. Whether it works as a debut trade depends on the last two days of the book and the 8 Oct grey market; on today's demand (2.9x margin, brokers lending at 0%) it looks closer to Axera than to Biren.</w:t>
      </w:r>
    </w:p>
    <w:tbl>
      <w:tblPr>
        <w:tblStyle w:val="TableGrid"/>
        <w:tblW w:type="auto" w:w="0"/>
        <w:jc w:val="center"/>
        <w:tblLayout w:type="fixed"/>
        <w:tblLook w:firstColumn="1" w:firstRow="1" w:lastColumn="0" w:lastRow="0" w:noHBand="0" w:noVBand="1" w:val="04A0"/>
      </w:tblPr>
      <w:tblGrid>
        <w:gridCol w:w="2268"/>
        <w:gridCol w:w="7370"/>
      </w:tblGrid>
      <w:tr>
        <w:tc>
          <w:tcPr>
            <w:tcW w:type="dxa" w:w="2268"/>
            <w:shd w:val="clear" w:color="auto" w:fill="1F3A5F"/>
          </w:tcPr>
          <w:p>
            <w:r/>
            <w:r>
              <w:rPr>
                <w:b/>
                <w:color w:val="FFFFFF"/>
                <w:sz w:val="17"/>
              </w:rPr>
            </w:r>
          </w:p>
        </w:tc>
        <w:tc>
          <w:tcPr>
            <w:tcW w:type="dxa" w:w="7370"/>
            <w:shd w:val="clear" w:color="auto" w:fill="1F3A5F"/>
          </w:tcPr>
          <w:p>
            <w:r/>
            <w:r>
              <w:rPr>
                <w:b/>
                <w:color w:val="FFFFFF"/>
                <w:sz w:val="17"/>
              </w:rPr>
              <w:t>ESWIN Computing 1256</w:t>
            </w:r>
          </w:p>
        </w:tc>
      </w:tr>
      <w:tr>
        <w:tc>
          <w:tcPr>
            <w:tcW w:type="dxa" w:w="2268"/>
          </w:tcPr>
          <w:p>
            <w:r/>
            <w:r>
              <w:rPr>
                <w:b/>
                <w:sz w:val="17"/>
              </w:rPr>
              <w:t>Price range</w:t>
            </w:r>
          </w:p>
        </w:tc>
        <w:tc>
          <w:tcPr>
            <w:tcW w:type="dxa" w:w="7370"/>
          </w:tcPr>
          <w:p>
            <w:r/>
            <w:r>
              <w:rPr>
                <w:sz w:val="17"/>
              </w:rPr>
              <w:t>HK$1.48 to 1.59 (mid HK$1.54)</w:t>
            </w:r>
          </w:p>
        </w:tc>
      </w:tr>
      <w:tr>
        <w:tc>
          <w:tcPr>
            <w:tcW w:type="dxa" w:w="2268"/>
          </w:tcPr>
          <w:p>
            <w:r/>
            <w:r>
              <w:rPr>
                <w:b/>
                <w:sz w:val="17"/>
              </w:rPr>
              <w:t>Deal size</w:t>
            </w:r>
          </w:p>
        </w:tc>
        <w:tc>
          <w:tcPr>
            <w:tcW w:type="dxa" w:w="7370"/>
          </w:tcPr>
          <w:p>
            <w:r/>
            <w:r>
              <w:rPr>
                <w:sz w:val="17"/>
              </w:rPr>
              <w:t>1,570m H shares, HK$2.32 to 2.50bn; 15% offer-size adjustment option; no greenshoe, no stabilisation</w:t>
            </w:r>
          </w:p>
        </w:tc>
      </w:tr>
      <w:tr>
        <w:tc>
          <w:tcPr>
            <w:tcW w:type="dxa" w:w="2268"/>
          </w:tcPr>
          <w:p>
            <w:r/>
            <w:r>
              <w:rPr>
                <w:b/>
                <w:sz w:val="17"/>
              </w:rPr>
              <w:t>Market cap at the range</w:t>
            </w:r>
          </w:p>
        </w:tc>
        <w:tc>
          <w:tcPr>
            <w:tcW w:type="dxa" w:w="7370"/>
          </w:tcPr>
          <w:p>
            <w:r/>
            <w:r>
              <w:rPr>
                <w:sz w:val="17"/>
              </w:rPr>
              <w:t>HK$32.5 to 35.0bn for all 21.99bn shares (the HK$15.0 to 16.1bn quoted in some press is the H-share class only)</w:t>
            </w:r>
          </w:p>
        </w:tc>
      </w:tr>
      <w:tr>
        <w:tc>
          <w:tcPr>
            <w:tcW w:type="dxa" w:w="2268"/>
          </w:tcPr>
          <w:p>
            <w:r/>
            <w:r>
              <w:rPr>
                <w:b/>
                <w:sz w:val="17"/>
              </w:rPr>
              <w:t>Shares being sold</w:t>
            </w:r>
          </w:p>
        </w:tc>
        <w:tc>
          <w:tcPr>
            <w:tcW w:type="dxa" w:w="7370"/>
          </w:tcPr>
          <w:p>
            <w:r/>
            <w:r>
              <w:rPr>
                <w:sz w:val="17"/>
              </w:rPr>
              <w:t>7.1% of the company; cornerstones take half of that, so about 3.6% trades freely on day one</w:t>
            </w:r>
          </w:p>
        </w:tc>
      </w:tr>
      <w:tr>
        <w:tc>
          <w:tcPr>
            <w:tcW w:type="dxa" w:w="2268"/>
          </w:tcPr>
          <w:p>
            <w:r/>
            <w:r>
              <w:rPr>
                <w:b/>
                <w:sz w:val="17"/>
              </w:rPr>
              <w:t>Cornerstones</w:t>
            </w:r>
          </w:p>
        </w:tc>
        <w:tc>
          <w:tcPr>
            <w:tcW w:type="dxa" w:w="7370"/>
          </w:tcPr>
          <w:p>
            <w:r/>
            <w:r>
              <w:rPr>
                <w:sz w:val="17"/>
              </w:rPr>
              <w:t>HK$1,161m, 47 to 50% of the deal: Beijing E-Town HK$348m, Hefei Jiantou HK$173m, GBA Homeland HK$118m, Tongfu Micro (supplier) HK$155m, Chipmore (supplier) HK$75m, CITIC AM HK (sponsor affiliate, waiver) HK$100m, Direct Link HK$100m, Grit HK$60m, ORIX HK$33m</w:t>
            </w:r>
          </w:p>
        </w:tc>
      </w:tr>
      <w:tr>
        <w:tc>
          <w:tcPr>
            <w:tcW w:type="dxa" w:w="2268"/>
          </w:tcPr>
          <w:p>
            <w:r/>
            <w:r>
              <w:rPr>
                <w:b/>
                <w:sz w:val="17"/>
              </w:rPr>
              <w:t>Sponsors</w:t>
            </w:r>
          </w:p>
        </w:tc>
        <w:tc>
          <w:tcPr>
            <w:tcW w:type="dxa" w:w="7370"/>
          </w:tcPr>
          <w:p>
            <w:r/>
            <w:r>
              <w:rPr>
                <w:sz w:val="17"/>
              </w:rPr>
              <w:t>CITIC Securities (HK), China Securities International; lot 2,000 shares, HK$3,212</w:t>
            </w:r>
          </w:p>
        </w:tc>
      </w:tr>
      <w:tr>
        <w:tc>
          <w:tcPr>
            <w:tcW w:type="dxa" w:w="2268"/>
          </w:tcPr>
          <w:p>
            <w:r/>
            <w:r>
              <w:rPr>
                <w:b/>
                <w:sz w:val="17"/>
              </w:rPr>
              <w:t>Listing basis</w:t>
            </w:r>
          </w:p>
        </w:tc>
        <w:tc>
          <w:tcPr>
            <w:tcW w:type="dxa" w:w="7370"/>
          </w:tcPr>
          <w:p>
            <w:r/>
            <w:r>
              <w:rPr>
                <w:sz w:val="17"/>
              </w:rPr>
              <w:t>Main Board Rule 8.05(3) market-cap/revenue test, not Chapter 18C</w:t>
            </w:r>
          </w:p>
        </w:tc>
      </w:tr>
      <w:tr>
        <w:tc>
          <w:tcPr>
            <w:tcW w:type="dxa" w:w="2268"/>
          </w:tcPr>
          <w:p>
            <w:r/>
            <w:r>
              <w:rPr>
                <w:b/>
                <w:sz w:val="17"/>
              </w:rPr>
              <w:t>Book</w:t>
            </w:r>
          </w:p>
        </w:tc>
        <w:tc>
          <w:tcPr>
            <w:tcW w:type="dxa" w:w="7370"/>
          </w:tcPr>
          <w:p>
            <w:r/>
            <w:r>
              <w:rPr>
                <w:sz w:val="17"/>
              </w:rPr>
              <w:t>Day 1 HK$360m margin, 1.4x; day 2 about 2.9x (华盛 tally). Closes 6 Oct noon, prices 7 Oct, grey 8 Oct, lists 9 Oct</w:t>
            </w:r>
          </w:p>
        </w:tc>
      </w:tr>
      <w:tr>
        <w:tc>
          <w:tcPr>
            <w:tcW w:type="dxa" w:w="2268"/>
          </w:tcPr>
          <w:p>
            <w:r/>
            <w:r>
              <w:rPr>
                <w:b/>
                <w:sz w:val="17"/>
              </w:rPr>
              <w:t>Valuation at the range</w:t>
            </w:r>
          </w:p>
        </w:tc>
        <w:tc>
          <w:tcPr>
            <w:tcW w:type="dxa" w:w="7370"/>
          </w:tcPr>
          <w:p>
            <w:r/>
            <w:r>
              <w:rPr>
                <w:sz w:val="17"/>
              </w:rPr>
              <w:t>11.1 to 11.9x TTM sales; 57 to 61x TTM gross profit; no P/E (FY25 net loss RMB1.52bn, adjusted RMB1.16bn)</w:t>
            </w:r>
          </w:p>
        </w:tc>
      </w:tr>
      <w:tr>
        <w:tc>
          <w:tcPr>
            <w:tcW w:type="dxa" w:w="2268"/>
          </w:tcPr>
          <w:p>
            <w:r/>
            <w:r>
              <w:rPr>
                <w:b/>
                <w:sz w:val="17"/>
              </w:rPr>
              <w:t>Last private round</w:t>
            </w:r>
          </w:p>
        </w:tc>
        <w:tc>
          <w:tcPr>
            <w:tcW w:type="dxa" w:w="7370"/>
          </w:tcPr>
          <w:p>
            <w:r/>
            <w:r>
              <w:rPr>
                <w:sz w:val="17"/>
              </w:rPr>
              <w:t>Series D at RMB1.14 a share (June 2023, with a further tranche at the same price in April 2025); offer is 16% above it</w:t>
            </w:r>
          </w:p>
        </w:tc>
      </w:tr>
      <w:tr>
        <w:tc>
          <w:tcPr>
            <w:tcW w:type="dxa" w:w="2268"/>
          </w:tcPr>
          <w:p>
            <w:r/>
            <w:r>
              <w:rPr>
                <w:b/>
                <w:sz w:val="17"/>
              </w:rPr>
              <w:t>Our view</w:t>
            </w:r>
          </w:p>
        </w:tc>
        <w:tc>
          <w:tcPr>
            <w:tcW w:type="dxa" w:w="7370"/>
          </w:tcPr>
          <w:p>
            <w:r/>
            <w:r>
              <w:rPr>
                <w:sz w:val="17"/>
              </w:rPr>
              <w:t>Not an investment at the range; fair value about HK$0.65 to 1.00. Debut trade only if the 5 to 6 Oct book turns hot</w:t>
            </w:r>
          </w:p>
        </w:tc>
      </w:tr>
    </w:tbl>
    <w:p>
      <w:pPr>
        <w:spacing w:after="40"/>
      </w:pPr>
    </w:p>
    <w:p>
      <w:pPr>
        <w:pStyle w:val="Heading1"/>
      </w:pPr>
      <w:r>
        <w:t>1. What the business is</w:t>
      </w:r>
    </w:p>
    <w:p>
      <w:pPr>
        <w:pStyle w:val="ListBullet"/>
        <w:spacing w:after="40"/>
      </w:pPr>
      <w:r>
        <w:t>Fabless chip designer set up in 2019 when the ESWIN group split into four (this company, the Xi'an silicon-wafer business now listed on STAR as ESWIN Material, and two packaging units). Five product lines: human-machine interaction chips (TCON, display driver ICs, touch controllers), multimedia chips (TV SoCs, Mini-LED control), connectivity chips (Wi-Fi, BLE, 4G/5G modules), computing chips (MCUs, AI SoCs) and IP licensing including RISC-V cores. It is a board member of RISC-V International.</w:t>
      </w:r>
    </w:p>
    <w:p>
      <w:pPr>
        <w:pStyle w:val="ListBullet"/>
        <w:spacing w:after="40"/>
      </w:pPr>
      <w:r>
        <w:t>Revenue mix 2025: HMI chips 76%, multimedia 6%, connectivity 2.5%, computing 13%, licensing 2%. So the display side is 82% of revenue and the RISC-V computing story is 16%. Frost &amp; Sullivan puts the company's RISC-V chip revenue at RMB454m in 2025, a 1.2% share of the China market, ranked fifth overall and third among domestic names.</w:t>
      </w:r>
    </w:p>
    <w:p>
      <w:pPr>
        <w:pStyle w:val="ListBullet"/>
        <w:spacing w:after="40"/>
      </w:pPr>
      <w:r>
        <w:t>Customer A is BOE on the prospectus's own wording (the description of Customer A and the director-biography description of BOE are almost identical). BOE was 82% of revenue in 2023, 77% in 2024, 65% in 2025, and 22% in 1Q26. BOE is also an indirect shareholder through the Singularity Power fund it co-seeded with the National IC Fund (5.4% post-deal). The company also buys services from BOE. Top-five customers were 89.5% of 2025 revenue.</w:t>
      </w:r>
    </w:p>
    <w:p>
      <w:pPr>
        <w:pStyle w:val="ListBullet"/>
        <w:spacing w:after="40"/>
      </w:pPr>
      <w:r>
        <w:t>The 1Q26 numbers need care. Revenue was up 18%, but RMB194m of the RMB494m came from a single 'intelligent computing centre solution' sold to a one-year-old customer with RMB20m of registered capital (Customer I, 39% of the quarter). Without it, 1Q26 revenue was about RMB300m against RMB417m a year earlier, down 28%. The HMI line fell 31% and its gross margin dropped to 7.3%. Unit volumes fell 16%.</w:t>
      </w:r>
    </w:p>
    <w:p>
      <w:pPr>
        <w:pStyle w:val="ListBullet"/>
        <w:spacing w:after="40"/>
      </w:pPr>
      <w:r>
        <w:t>Market position in the core: fourth in China smart-device HMI chips with 5.7% share, first among domestic names, behind three Taiwanese companies (the leader has 20.5%). Frost &amp; Sullivan grows that market at 0.1% a year over 2021 to 2025 and 9% to 2030. The RISC-V market it quotes (RMB37.7bn in 2025, 139% CAGR) is the one in the marketing.</w:t>
      </w:r>
    </w:p>
    <w:p>
      <w:pPr>
        <w:pStyle w:val="Heading1"/>
      </w:pPr>
      <w:r>
        <w:t>2. Fundamentals</w:t>
      </w:r>
    </w:p>
    <w:p>
      <w:pPr>
        <w:pStyle w:val="Heading2"/>
      </w:pPr>
      <w:r>
        <w:t>The good</w:t>
      </w:r>
    </w:p>
    <w:p>
      <w:pPr>
        <w:pStyle w:val="ListBullet"/>
        <w:spacing w:after="40"/>
      </w:pPr>
      <w:r>
        <w:t>Real scale and real engineering: RMB2.4bn of revenue, over 150 products commercialised, 615 granted patents, 1,000 R&amp;D staff, a national position in RISC-V standards. Revenue grew 16% in 2024 and 20% in 2025.</w:t>
      </w:r>
    </w:p>
    <w:p>
      <w:pPr>
        <w:pStyle w:val="ListBullet"/>
        <w:spacing w:after="40"/>
      </w:pPr>
      <w:r>
        <w:t>The mix is moving the right way: computing chips went from nothing in 2023 to RMB320m in 2025 and RMB223m in 1Q26 (one-off included). Automotive MCUs are in small-batch production at two Chinese OEMs; management cites AI SoCs with ASPs above RMB20,000 and expected gross margins above 50% validated by a telecom operator, and indicative AI SoC orders at double 2025's AI SoC revenue. Industrial order backlog was RMB363m at March.</w:t>
      </w:r>
    </w:p>
    <w:p>
      <w:pPr>
        <w:pStyle w:val="ListBullet"/>
        <w:spacing w:after="40"/>
      </w:pPr>
      <w:r>
        <w:t>Losses are narrowing on the adjusted line: RMB1.70bn (2023), 1.44bn (2024), 1.16bn (2025), and 1Q26 operating cash flow was positive (RMB171m) for the first time, helped by receivables coming in and the one-off deal settling.</w:t>
      </w:r>
    </w:p>
    <w:p>
      <w:pPr>
        <w:pStyle w:val="ListBullet"/>
        <w:spacing w:after="40"/>
      </w:pPr>
      <w:r>
        <w:t>The register is serious money: National IC Fund II 4.8% post-deal, the BOE/IC Fund I vehicle 5.4%, IDG 8.3%, Legend Capital 5.0%, Beijing E-Town, Hefei and Guangzhou municipal funds.</w:t>
      </w:r>
    </w:p>
    <w:p>
      <w:pPr>
        <w:pStyle w:val="Heading2"/>
      </w:pPr>
      <w:r>
        <w:t>The not so good</w:t>
      </w:r>
    </w:p>
    <w:p>
      <w:pPr>
        <w:pStyle w:val="ListBullet"/>
        <w:spacing w:after="40"/>
      </w:pPr>
      <w:r>
        <w:t>It is a price-for-volume business with the price falling faster than the volume grows. HMI ASP went from RMB20.9 (2023) to RMB12.1 (2025) to RMB11.6 (1Q26), down 44%; connectivity ASP is down 66%. Group gross margin is 15 to 19%; the HMI line's is 16% for 2025 and 7% in 1Q26. Management says it will move away from price-based competition without saying what replaces the volume.</w:t>
      </w:r>
    </w:p>
    <w:p>
      <w:pPr>
        <w:pStyle w:val="ListBullet"/>
        <w:spacing w:after="40"/>
      </w:pPr>
      <w:r>
        <w:t>The loss reduction is mostly cost cutting: R&amp;D fell from RMB1.44bn to RMB1.04bn (28%) and headcount from 1,939 to 1,518 (22%) over the track record. For a company selling an R&amp;D platform story that is worth knowing. Opex is still 77% of revenue.</w:t>
      </w:r>
    </w:p>
    <w:p>
      <w:pPr>
        <w:pStyle w:val="ListBullet"/>
        <w:spacing w:after="40"/>
      </w:pPr>
      <w:r>
        <w:t>Cash: RMB948m at 31 July 2026 against bank loans of RMB1.19bn (there were none at end-2024). The prospectus's '46 months of runway' counts RMB2.0bn of undrawn bank lines; on cash alone, at the stated RMB68m a month burn, it is about 14 months. Net assets have fallen from RMB5.1bn to RMB2.4bn in three years. The IPO proceeds (about RMB1.9bn net at the mid-point) buy roughly two and a half years at the current burn.</w:t>
      </w:r>
    </w:p>
    <w:p>
      <w:pPr>
        <w:pStyle w:val="ListBullet"/>
        <w:spacing w:after="40"/>
      </w:pPr>
      <w:r>
        <w:t>Working capital is stretching: receivable days 170 and inventory days 150 in 1Q26. Prepayments to the foundry for reserved capacity ran down from RMB523m to RMB32m over the period, and the wafer supplier (SMIC on the description) is on 30% prepayment terms.</w:t>
      </w:r>
    </w:p>
    <w:p>
      <w:pPr>
        <w:pStyle w:val="ListBullet"/>
        <w:spacing w:after="40"/>
      </w:pPr>
      <w:r>
        <w:t>Margin optics: inventory write-down charges fell from RMB181m in 2023 to a small reversal in 1Q26, which flatters the reported gross margin trend; the connectivity line's swing from a negative to a positive margin is largely written-down stock being sold through.</w:t>
      </w:r>
    </w:p>
    <w:p>
      <w:pPr>
        <w:pStyle w:val="ListBullet"/>
        <w:spacing w:after="40"/>
      </w:pPr>
      <w:r>
        <w:t>Export controls: one supplier (the foundry, 10% of purchases) and one small customer are on the US Entity List; counsel says no licence is needed. RISC-V itself is open, but the ecosystem risk versus ARM is real and is acknowledged in the risk factors.</w:t>
      </w:r>
    </w:p>
    <w:p>
      <w:pPr>
        <w:pStyle w:val="Heading1"/>
      </w:pPr>
      <w:r>
        <w:t>3. Valuation against peers</w:t>
      </w:r>
    </w:p>
    <w:p>
      <w:pPr>
        <w:spacing w:after="80"/>
      </w:pPr>
      <w:r>
        <w:rPr>
          <w:i w:val="0"/>
        </w:rPr>
        <w:t>Three tables: global, H-share and A-share. Price to sales and price to earnings as asked; for the H-share group we add price to gross profit because most of it is loss-making and the margins are very different. ESWIN's own multiples use all 21.99bn shares at the range. TTM is FY25 plus 1Q26 less 1Q25 for ESWIN and the quarterly reporters, FY25 plus 1H26 less 1H25 for the rest.</w:t>
      </w:r>
    </w:p>
    <w:p>
      <w:pPr>
        <w:pStyle w:val="Heading2"/>
      </w:pPr>
      <w:r>
        <w:t>Global peers</w:t>
      </w:r>
    </w:p>
    <w:tbl>
      <w:tblPr>
        <w:tblStyle w:val="TableGrid"/>
        <w:tblW w:type="auto" w:w="0"/>
        <w:jc w:val="center"/>
        <w:tblLayout w:type="fixed"/>
        <w:tblLook w:firstColumn="1" w:firstRow="1" w:lastColumn="0" w:lastRow="0" w:noHBand="0" w:noVBand="1" w:val="04A0"/>
      </w:tblPr>
      <w:tblGrid>
        <w:gridCol w:w="2381"/>
        <w:gridCol w:w="1134"/>
        <w:gridCol w:w="1020"/>
        <w:gridCol w:w="1928"/>
        <w:gridCol w:w="1134"/>
        <w:gridCol w:w="2608"/>
      </w:tblGrid>
      <w:tr>
        <w:tc>
          <w:tcPr>
            <w:tcW w:type="dxa" w:w="2381"/>
            <w:shd w:val="clear" w:color="auto" w:fill="1F3A5F"/>
          </w:tcPr>
          <w:p>
            <w:r/>
            <w:r>
              <w:rPr>
                <w:b/>
                <w:color w:val="FFFFFF"/>
                <w:sz w:val="16"/>
              </w:rPr>
            </w:r>
          </w:p>
        </w:tc>
        <w:tc>
          <w:tcPr>
            <w:tcW w:type="dxa" w:w="1134"/>
            <w:shd w:val="clear" w:color="auto" w:fill="1F3A5F"/>
          </w:tcPr>
          <w:p>
            <w:pPr>
              <w:jc w:val="right"/>
            </w:pPr>
            <w:r/>
            <w:r>
              <w:rPr>
                <w:b/>
                <w:color w:val="FFFFFF"/>
                <w:sz w:val="16"/>
              </w:rPr>
              <w:t>P/S TTM</w:t>
            </w:r>
          </w:p>
        </w:tc>
        <w:tc>
          <w:tcPr>
            <w:tcW w:type="dxa" w:w="1020"/>
            <w:shd w:val="clear" w:color="auto" w:fill="1F3A5F"/>
          </w:tcPr>
          <w:p>
            <w:pPr>
              <w:jc w:val="right"/>
            </w:pPr>
            <w:r/>
            <w:r>
              <w:rPr>
                <w:b/>
                <w:color w:val="FFFFFF"/>
                <w:sz w:val="16"/>
              </w:rPr>
              <w:t>P/E TTM</w:t>
            </w:r>
          </w:p>
        </w:tc>
        <w:tc>
          <w:tcPr>
            <w:tcW w:type="dxa" w:w="1928"/>
            <w:shd w:val="clear" w:color="auto" w:fill="1F3A5F"/>
          </w:tcPr>
          <w:p>
            <w:pPr>
              <w:jc w:val="right"/>
            </w:pPr>
            <w:r/>
            <w:r>
              <w:rPr>
                <w:b/>
                <w:color w:val="FFFFFF"/>
                <w:sz w:val="16"/>
              </w:rPr>
              <w:t>Revenue growth (latest)</w:t>
            </w:r>
          </w:p>
        </w:tc>
        <w:tc>
          <w:tcPr>
            <w:tcW w:type="dxa" w:w="1134"/>
            <w:shd w:val="clear" w:color="auto" w:fill="1F3A5F"/>
          </w:tcPr>
          <w:p>
            <w:pPr>
              <w:jc w:val="right"/>
            </w:pPr>
            <w:r/>
            <w:r>
              <w:rPr>
                <w:b/>
                <w:color w:val="FFFFFF"/>
                <w:sz w:val="16"/>
              </w:rPr>
              <w:t>Gross margin</w:t>
            </w:r>
          </w:p>
        </w:tc>
        <w:tc>
          <w:tcPr>
            <w:tcW w:type="dxa" w:w="2608"/>
            <w:shd w:val="clear" w:color="auto" w:fill="1F3A5F"/>
          </w:tcPr>
          <w:p>
            <w:pPr>
              <w:jc w:val="right"/>
            </w:pPr>
            <w:r/>
            <w:r>
              <w:rPr>
                <w:b/>
                <w:color w:val="FFFFFF"/>
                <w:sz w:val="16"/>
              </w:rPr>
              <w:t>What it is</w:t>
            </w:r>
          </w:p>
        </w:tc>
      </w:tr>
      <w:tr>
        <w:tc>
          <w:tcPr>
            <w:tcW w:type="dxa" w:w="2381"/>
          </w:tcPr>
          <w:p>
            <w:r/>
            <w:r>
              <w:rPr>
                <w:b/>
                <w:sz w:val="16"/>
              </w:rPr>
              <w:t>ESWIN at HK$1.48 to 1.59</w:t>
            </w:r>
          </w:p>
        </w:tc>
        <w:tc>
          <w:tcPr>
            <w:tcW w:type="dxa" w:w="1134"/>
          </w:tcPr>
          <w:p>
            <w:pPr>
              <w:jc w:val="right"/>
            </w:pPr>
            <w:r/>
            <w:r>
              <w:rPr>
                <w:sz w:val="16"/>
              </w:rPr>
              <w:t>11.1 to 11.9x</w:t>
            </w:r>
          </w:p>
        </w:tc>
        <w:tc>
          <w:tcPr>
            <w:tcW w:type="dxa" w:w="1020"/>
          </w:tcPr>
          <w:p>
            <w:pPr>
              <w:jc w:val="right"/>
            </w:pPr>
            <w:r/>
            <w:r>
              <w:rPr>
                <w:sz w:val="16"/>
              </w:rPr>
              <w:t>n/m (loss)</w:t>
            </w:r>
          </w:p>
        </w:tc>
        <w:tc>
          <w:tcPr>
            <w:tcW w:type="dxa" w:w="1928"/>
          </w:tcPr>
          <w:p>
            <w:pPr>
              <w:jc w:val="right"/>
            </w:pPr>
            <w:r/>
            <w:r>
              <w:rPr>
                <w:sz w:val="16"/>
              </w:rPr>
              <w:t>FY25 +20%; 1Q26 +18% (−28% ex one-off)</w:t>
            </w:r>
          </w:p>
        </w:tc>
        <w:tc>
          <w:tcPr>
            <w:tcW w:type="dxa" w:w="1134"/>
          </w:tcPr>
          <w:p>
            <w:pPr>
              <w:jc w:val="right"/>
            </w:pPr>
            <w:r/>
            <w:r>
              <w:rPr>
                <w:sz w:val="16"/>
              </w:rPr>
              <w:t>18.6% (14.8% 1Q26)</w:t>
            </w:r>
          </w:p>
        </w:tc>
        <w:tc>
          <w:tcPr>
            <w:tcW w:type="dxa" w:w="2608"/>
          </w:tcPr>
          <w:p>
            <w:pPr>
              <w:jc w:val="right"/>
            </w:pPr>
            <w:r/>
            <w:r>
              <w:rPr>
                <w:sz w:val="16"/>
              </w:rPr>
            </w:r>
          </w:p>
        </w:tc>
      </w:tr>
      <w:tr>
        <w:tc>
          <w:tcPr>
            <w:tcW w:type="dxa" w:w="2381"/>
            <w:shd w:val="clear" w:color="auto" w:fill="F2F5F9"/>
          </w:tcPr>
          <w:p>
            <w:r/>
            <w:r>
              <w:rPr>
                <w:b/>
                <w:sz w:val="16"/>
              </w:rPr>
              <w:t>Novatek 3034 TT</w:t>
            </w:r>
          </w:p>
        </w:tc>
        <w:tc>
          <w:tcPr>
            <w:tcW w:type="dxa" w:w="1134"/>
            <w:shd w:val="clear" w:color="auto" w:fill="F2F5F9"/>
          </w:tcPr>
          <w:p>
            <w:pPr>
              <w:jc w:val="right"/>
            </w:pPr>
            <w:r/>
            <w:r>
              <w:rPr>
                <w:sz w:val="16"/>
              </w:rPr>
              <w:t>3.3x</w:t>
            </w:r>
          </w:p>
        </w:tc>
        <w:tc>
          <w:tcPr>
            <w:tcW w:type="dxa" w:w="1020"/>
            <w:shd w:val="clear" w:color="auto" w:fill="F2F5F9"/>
          </w:tcPr>
          <w:p>
            <w:pPr>
              <w:jc w:val="right"/>
            </w:pPr>
            <w:r/>
            <w:r>
              <w:rPr>
                <w:sz w:val="16"/>
              </w:rPr>
              <w:t>18.9x</w:t>
            </w:r>
          </w:p>
        </w:tc>
        <w:tc>
          <w:tcPr>
            <w:tcW w:type="dxa" w:w="1928"/>
            <w:shd w:val="clear" w:color="auto" w:fill="F2F5F9"/>
          </w:tcPr>
          <w:p>
            <w:pPr>
              <w:jc w:val="right"/>
            </w:pPr>
            <w:r/>
            <w:r>
              <w:rPr>
                <w:sz w:val="16"/>
              </w:rPr>
              <w:t>−7%</w:t>
            </w:r>
          </w:p>
        </w:tc>
        <w:tc>
          <w:tcPr>
            <w:tcW w:type="dxa" w:w="1134"/>
            <w:shd w:val="clear" w:color="auto" w:fill="F2F5F9"/>
          </w:tcPr>
          <w:p>
            <w:pPr>
              <w:jc w:val="right"/>
            </w:pPr>
            <w:r/>
            <w:r>
              <w:rPr>
                <w:sz w:val="16"/>
              </w:rPr>
              <w:t>39%</w:t>
            </w:r>
          </w:p>
        </w:tc>
        <w:tc>
          <w:tcPr>
            <w:tcW w:type="dxa" w:w="2608"/>
            <w:shd w:val="clear" w:color="auto" w:fill="F2F5F9"/>
          </w:tcPr>
          <w:p>
            <w:pPr>
              <w:jc w:val="right"/>
            </w:pPr>
            <w:r/>
            <w:r>
              <w:rPr>
                <w:sz w:val="16"/>
              </w:rPr>
              <w:t>display driver / TCON leader; #1 in ESWIN's core market</w:t>
            </w:r>
          </w:p>
        </w:tc>
      </w:tr>
      <w:tr>
        <w:tc>
          <w:tcPr>
            <w:tcW w:type="dxa" w:w="2381"/>
          </w:tcPr>
          <w:p>
            <w:r/>
            <w:r>
              <w:rPr>
                <w:b/>
                <w:sz w:val="16"/>
              </w:rPr>
              <w:t>Parade 4966 TT</w:t>
            </w:r>
          </w:p>
        </w:tc>
        <w:tc>
          <w:tcPr>
            <w:tcW w:type="dxa" w:w="1134"/>
          </w:tcPr>
          <w:p>
            <w:pPr>
              <w:jc w:val="right"/>
            </w:pPr>
            <w:r/>
            <w:r>
              <w:rPr>
                <w:sz w:val="16"/>
              </w:rPr>
              <w:t>2.7x</w:t>
            </w:r>
          </w:p>
        </w:tc>
        <w:tc>
          <w:tcPr>
            <w:tcW w:type="dxa" w:w="1020"/>
          </w:tcPr>
          <w:p>
            <w:pPr>
              <w:jc w:val="right"/>
            </w:pPr>
            <w:r/>
            <w:r>
              <w:rPr>
                <w:sz w:val="16"/>
              </w:rPr>
              <w:t>18.2x</w:t>
            </w:r>
          </w:p>
        </w:tc>
        <w:tc>
          <w:tcPr>
            <w:tcW w:type="dxa" w:w="1928"/>
          </w:tcPr>
          <w:p>
            <w:pPr>
              <w:jc w:val="right"/>
            </w:pPr>
            <w:r/>
            <w:r>
              <w:rPr>
                <w:sz w:val="16"/>
              </w:rPr>
              <w:t>−2%</w:t>
            </w:r>
          </w:p>
        </w:tc>
        <w:tc>
          <w:tcPr>
            <w:tcW w:type="dxa" w:w="1134"/>
          </w:tcPr>
          <w:p>
            <w:pPr>
              <w:jc w:val="right"/>
            </w:pPr>
            <w:r/>
            <w:r>
              <w:rPr>
                <w:sz w:val="16"/>
              </w:rPr>
              <w:t>n/a</w:t>
            </w:r>
          </w:p>
        </w:tc>
        <w:tc>
          <w:tcPr>
            <w:tcW w:type="dxa" w:w="2608"/>
          </w:tcPr>
          <w:p>
            <w:pPr>
              <w:jc w:val="right"/>
            </w:pPr>
            <w:r/>
            <w:r>
              <w:rPr>
                <w:sz w:val="16"/>
              </w:rPr>
              <w:t>display and high-speed interface ICs</w:t>
            </w:r>
          </w:p>
        </w:tc>
      </w:tr>
      <w:tr>
        <w:tc>
          <w:tcPr>
            <w:tcW w:type="dxa" w:w="2381"/>
            <w:shd w:val="clear" w:color="auto" w:fill="F2F5F9"/>
          </w:tcPr>
          <w:p>
            <w:r/>
            <w:r>
              <w:rPr>
                <w:b/>
                <w:sz w:val="16"/>
              </w:rPr>
              <w:t>Himax HIMX US</w:t>
            </w:r>
          </w:p>
        </w:tc>
        <w:tc>
          <w:tcPr>
            <w:tcW w:type="dxa" w:w="1134"/>
            <w:shd w:val="clear" w:color="auto" w:fill="F2F5F9"/>
          </w:tcPr>
          <w:p>
            <w:pPr>
              <w:jc w:val="right"/>
            </w:pPr>
            <w:r/>
            <w:r>
              <w:rPr>
                <w:sz w:val="16"/>
              </w:rPr>
              <w:t>3.0x</w:t>
            </w:r>
          </w:p>
        </w:tc>
        <w:tc>
          <w:tcPr>
            <w:tcW w:type="dxa" w:w="1020"/>
            <w:shd w:val="clear" w:color="auto" w:fill="F2F5F9"/>
          </w:tcPr>
          <w:p>
            <w:pPr>
              <w:jc w:val="right"/>
            </w:pPr>
            <w:r/>
            <w:r>
              <w:rPr>
                <w:sz w:val="16"/>
              </w:rPr>
              <w:t>71x</w:t>
            </w:r>
          </w:p>
        </w:tc>
        <w:tc>
          <w:tcPr>
            <w:tcW w:type="dxa" w:w="1928"/>
            <w:shd w:val="clear" w:color="auto" w:fill="F2F5F9"/>
          </w:tcPr>
          <w:p>
            <w:pPr>
              <w:jc w:val="right"/>
            </w:pPr>
            <w:r/>
            <w:r>
              <w:rPr>
                <w:sz w:val="16"/>
              </w:rPr>
              <w:t>+6%</w:t>
            </w:r>
          </w:p>
        </w:tc>
        <w:tc>
          <w:tcPr>
            <w:tcW w:type="dxa" w:w="1134"/>
            <w:shd w:val="clear" w:color="auto" w:fill="F2F5F9"/>
          </w:tcPr>
          <w:p>
            <w:pPr>
              <w:jc w:val="right"/>
            </w:pPr>
            <w:r/>
            <w:r>
              <w:rPr>
                <w:sz w:val="16"/>
              </w:rPr>
              <w:t>33%</w:t>
            </w:r>
          </w:p>
        </w:tc>
        <w:tc>
          <w:tcPr>
            <w:tcW w:type="dxa" w:w="2608"/>
            <w:shd w:val="clear" w:color="auto" w:fill="F2F5F9"/>
          </w:tcPr>
          <w:p>
            <w:pPr>
              <w:jc w:val="right"/>
            </w:pPr>
            <w:r/>
            <w:r>
              <w:rPr>
                <w:sz w:val="16"/>
              </w:rPr>
              <w:t>display drivers, Taiwan/US</w:t>
            </w:r>
          </w:p>
        </w:tc>
      </w:tr>
      <w:tr>
        <w:tc>
          <w:tcPr>
            <w:tcW w:type="dxa" w:w="2381"/>
          </w:tcPr>
          <w:p>
            <w:r/>
            <w:r>
              <w:rPr>
                <w:b/>
                <w:sz w:val="16"/>
              </w:rPr>
              <w:t>Synaptics SYNA US</w:t>
            </w:r>
          </w:p>
        </w:tc>
        <w:tc>
          <w:tcPr>
            <w:tcW w:type="dxa" w:w="1134"/>
          </w:tcPr>
          <w:p>
            <w:pPr>
              <w:jc w:val="right"/>
            </w:pPr>
            <w:r/>
            <w:r>
              <w:rPr>
                <w:sz w:val="16"/>
              </w:rPr>
              <w:t>3.4x</w:t>
            </w:r>
          </w:p>
        </w:tc>
        <w:tc>
          <w:tcPr>
            <w:tcW w:type="dxa" w:w="1020"/>
          </w:tcPr>
          <w:p>
            <w:pPr>
              <w:jc w:val="right"/>
            </w:pPr>
            <w:r/>
            <w:r>
              <w:rPr>
                <w:sz w:val="16"/>
              </w:rPr>
              <w:t>n/m</w:t>
            </w:r>
          </w:p>
        </w:tc>
        <w:tc>
          <w:tcPr>
            <w:tcW w:type="dxa" w:w="1928"/>
          </w:tcPr>
          <w:p>
            <w:pPr>
              <w:jc w:val="right"/>
            </w:pPr>
            <w:r/>
            <w:r>
              <w:rPr>
                <w:sz w:val="16"/>
              </w:rPr>
              <w:t>+9%</w:t>
            </w:r>
          </w:p>
        </w:tc>
        <w:tc>
          <w:tcPr>
            <w:tcW w:type="dxa" w:w="1134"/>
          </w:tcPr>
          <w:p>
            <w:pPr>
              <w:jc w:val="right"/>
            </w:pPr>
            <w:r/>
            <w:r>
              <w:rPr>
                <w:sz w:val="16"/>
              </w:rPr>
              <w:t>47%</w:t>
            </w:r>
          </w:p>
        </w:tc>
        <w:tc>
          <w:tcPr>
            <w:tcW w:type="dxa" w:w="2608"/>
          </w:tcPr>
          <w:p>
            <w:pPr>
              <w:jc w:val="right"/>
            </w:pPr>
            <w:r/>
            <w:r>
              <w:rPr>
                <w:sz w:val="16"/>
              </w:rPr>
              <w:t>touch / HMI and IoT SoCs</w:t>
            </w:r>
          </w:p>
        </w:tc>
      </w:tr>
      <w:tr>
        <w:tc>
          <w:tcPr>
            <w:tcW w:type="dxa" w:w="2381"/>
            <w:shd w:val="clear" w:color="auto" w:fill="F2F5F9"/>
          </w:tcPr>
          <w:p>
            <w:r/>
            <w:r>
              <w:rPr>
                <w:b/>
                <w:sz w:val="16"/>
              </w:rPr>
              <w:t>Ambarella AMBA US</w:t>
            </w:r>
          </w:p>
        </w:tc>
        <w:tc>
          <w:tcPr>
            <w:tcW w:type="dxa" w:w="1134"/>
            <w:shd w:val="clear" w:color="auto" w:fill="F2F5F9"/>
          </w:tcPr>
          <w:p>
            <w:pPr>
              <w:jc w:val="right"/>
            </w:pPr>
            <w:r/>
            <w:r>
              <w:rPr>
                <w:sz w:val="16"/>
              </w:rPr>
              <w:t>7.3x</w:t>
            </w:r>
          </w:p>
        </w:tc>
        <w:tc>
          <w:tcPr>
            <w:tcW w:type="dxa" w:w="1020"/>
            <w:shd w:val="clear" w:color="auto" w:fill="F2F5F9"/>
          </w:tcPr>
          <w:p>
            <w:pPr>
              <w:jc w:val="right"/>
            </w:pPr>
            <w:r/>
            <w:r>
              <w:rPr>
                <w:sz w:val="16"/>
              </w:rPr>
              <w:t>n/m</w:t>
            </w:r>
          </w:p>
        </w:tc>
        <w:tc>
          <w:tcPr>
            <w:tcW w:type="dxa" w:w="1928"/>
            <w:shd w:val="clear" w:color="auto" w:fill="F2F5F9"/>
          </w:tcPr>
          <w:p>
            <w:pPr>
              <w:jc w:val="right"/>
            </w:pPr>
            <w:r/>
            <w:r>
              <w:rPr>
                <w:sz w:val="16"/>
              </w:rPr>
              <w:t>+13%</w:t>
            </w:r>
          </w:p>
        </w:tc>
        <w:tc>
          <w:tcPr>
            <w:tcW w:type="dxa" w:w="1134"/>
            <w:shd w:val="clear" w:color="auto" w:fill="F2F5F9"/>
          </w:tcPr>
          <w:p>
            <w:pPr>
              <w:jc w:val="right"/>
            </w:pPr>
            <w:r/>
            <w:r>
              <w:rPr>
                <w:sz w:val="16"/>
              </w:rPr>
              <w:t>58%</w:t>
            </w:r>
          </w:p>
        </w:tc>
        <w:tc>
          <w:tcPr>
            <w:tcW w:type="dxa" w:w="2608"/>
            <w:shd w:val="clear" w:color="auto" w:fill="F2F5F9"/>
          </w:tcPr>
          <w:p>
            <w:pPr>
              <w:jc w:val="right"/>
            </w:pPr>
            <w:r/>
            <w:r>
              <w:rPr>
                <w:sz w:val="16"/>
              </w:rPr>
              <w:t>edge AI SoCs (auto, robotics, cameras)</w:t>
            </w:r>
          </w:p>
        </w:tc>
      </w:tr>
      <w:tr>
        <w:tc>
          <w:tcPr>
            <w:tcW w:type="dxa" w:w="2381"/>
          </w:tcPr>
          <w:p>
            <w:r/>
            <w:r>
              <w:rPr>
                <w:b/>
                <w:sz w:val="16"/>
              </w:rPr>
              <w:t>Andes 6533 TT</w:t>
            </w:r>
          </w:p>
        </w:tc>
        <w:tc>
          <w:tcPr>
            <w:tcW w:type="dxa" w:w="1134"/>
          </w:tcPr>
          <w:p>
            <w:pPr>
              <w:jc w:val="right"/>
            </w:pPr>
            <w:r/>
            <w:r>
              <w:rPr>
                <w:sz w:val="16"/>
              </w:rPr>
              <w:t>7.7x</w:t>
            </w:r>
          </w:p>
        </w:tc>
        <w:tc>
          <w:tcPr>
            <w:tcW w:type="dxa" w:w="1020"/>
          </w:tcPr>
          <w:p>
            <w:pPr>
              <w:jc w:val="right"/>
            </w:pPr>
            <w:r/>
            <w:r>
              <w:rPr>
                <w:sz w:val="16"/>
              </w:rPr>
              <w:t>n/m</w:t>
            </w:r>
          </w:p>
        </w:tc>
        <w:tc>
          <w:tcPr>
            <w:tcW w:type="dxa" w:w="1928"/>
          </w:tcPr>
          <w:p>
            <w:pPr>
              <w:jc w:val="right"/>
            </w:pPr>
            <w:r/>
            <w:r>
              <w:rPr>
                <w:sz w:val="16"/>
              </w:rPr>
              <w:t>+26%</w:t>
            </w:r>
          </w:p>
        </w:tc>
        <w:tc>
          <w:tcPr>
            <w:tcW w:type="dxa" w:w="1134"/>
          </w:tcPr>
          <w:p>
            <w:pPr>
              <w:jc w:val="right"/>
            </w:pPr>
            <w:r/>
            <w:r>
              <w:rPr>
                <w:sz w:val="16"/>
              </w:rPr>
              <w:t>n/a</w:t>
            </w:r>
          </w:p>
        </w:tc>
        <w:tc>
          <w:tcPr>
            <w:tcW w:type="dxa" w:w="2608"/>
          </w:tcPr>
          <w:p>
            <w:pPr>
              <w:jc w:val="right"/>
            </w:pPr>
            <w:r/>
            <w:r>
              <w:rPr>
                <w:sz w:val="16"/>
              </w:rPr>
              <w:t>RISC-V CPU IP; loss-making</w:t>
            </w:r>
          </w:p>
        </w:tc>
      </w:tr>
      <w:tr>
        <w:tc>
          <w:tcPr>
            <w:tcW w:type="dxa" w:w="2381"/>
            <w:shd w:val="clear" w:color="auto" w:fill="F2F5F9"/>
          </w:tcPr>
          <w:p>
            <w:r/>
            <w:r>
              <w:rPr>
                <w:b/>
                <w:sz w:val="16"/>
              </w:rPr>
              <w:t>Arm ARM US</w:t>
            </w:r>
          </w:p>
        </w:tc>
        <w:tc>
          <w:tcPr>
            <w:tcW w:type="dxa" w:w="1134"/>
            <w:shd w:val="clear" w:color="auto" w:fill="F2F5F9"/>
          </w:tcPr>
          <w:p>
            <w:pPr>
              <w:jc w:val="right"/>
            </w:pPr>
            <w:r/>
            <w:r>
              <w:rPr>
                <w:sz w:val="16"/>
              </w:rPr>
              <w:t>62x</w:t>
            </w:r>
          </w:p>
        </w:tc>
        <w:tc>
          <w:tcPr>
            <w:tcW w:type="dxa" w:w="1020"/>
            <w:shd w:val="clear" w:color="auto" w:fill="F2F5F9"/>
          </w:tcPr>
          <w:p>
            <w:pPr>
              <w:jc w:val="right"/>
            </w:pPr>
            <w:r/>
            <w:r>
              <w:rPr>
                <w:sz w:val="16"/>
              </w:rPr>
              <w:t>307x</w:t>
            </w:r>
          </w:p>
        </w:tc>
        <w:tc>
          <w:tcPr>
            <w:tcW w:type="dxa" w:w="1928"/>
            <w:shd w:val="clear" w:color="auto" w:fill="F2F5F9"/>
          </w:tcPr>
          <w:p>
            <w:pPr>
              <w:jc w:val="right"/>
            </w:pPr>
            <w:r/>
            <w:r>
              <w:rPr>
                <w:sz w:val="16"/>
              </w:rPr>
              <w:t>+22%</w:t>
            </w:r>
          </w:p>
        </w:tc>
        <w:tc>
          <w:tcPr>
            <w:tcW w:type="dxa" w:w="1134"/>
            <w:shd w:val="clear" w:color="auto" w:fill="F2F5F9"/>
          </w:tcPr>
          <w:p>
            <w:pPr>
              <w:jc w:val="right"/>
            </w:pPr>
            <w:r/>
            <w:r>
              <w:rPr>
                <w:sz w:val="16"/>
              </w:rPr>
              <w:t>97%</w:t>
            </w:r>
          </w:p>
        </w:tc>
        <w:tc>
          <w:tcPr>
            <w:tcW w:type="dxa" w:w="2608"/>
            <w:shd w:val="clear" w:color="auto" w:fill="F2F5F9"/>
          </w:tcPr>
          <w:p>
            <w:pPr>
              <w:jc w:val="right"/>
            </w:pPr>
            <w:r/>
            <w:r>
              <w:rPr>
                <w:sz w:val="16"/>
              </w:rPr>
              <w:t>the CPU-IP benchmark, not a comp</w:t>
            </w:r>
          </w:p>
        </w:tc>
      </w:tr>
    </w:tbl>
    <w:p>
      <w:pPr>
        <w:spacing w:after="40"/>
      </w:pPr>
    </w:p>
    <w:p>
      <w:pPr>
        <w:pStyle w:val="Heading2"/>
      </w:pPr>
      <w:r>
        <w:t>H-share peers (Hong Kong listed)</w:t>
      </w:r>
    </w:p>
    <w:tbl>
      <w:tblPr>
        <w:tblStyle w:val="TableGrid"/>
        <w:tblW w:type="auto" w:w="0"/>
        <w:jc w:val="center"/>
        <w:tblLayout w:type="fixed"/>
        <w:tblLook w:firstColumn="1" w:firstRow="1" w:lastColumn="0" w:lastRow="0" w:noHBand="0" w:noVBand="1" w:val="04A0"/>
      </w:tblPr>
      <w:tblGrid>
        <w:gridCol w:w="2608"/>
        <w:gridCol w:w="964"/>
        <w:gridCol w:w="1077"/>
        <w:gridCol w:w="850"/>
        <w:gridCol w:w="1304"/>
        <w:gridCol w:w="907"/>
        <w:gridCol w:w="850"/>
        <w:gridCol w:w="1984"/>
      </w:tblGrid>
      <w:tr>
        <w:tc>
          <w:tcPr>
            <w:tcW w:type="dxa" w:w="2608"/>
            <w:shd w:val="clear" w:color="auto" w:fill="1F3A5F"/>
          </w:tcPr>
          <w:p>
            <w:r/>
            <w:r>
              <w:rPr>
                <w:b/>
                <w:color w:val="FFFFFF"/>
                <w:sz w:val="15"/>
              </w:rPr>
            </w:r>
          </w:p>
        </w:tc>
        <w:tc>
          <w:tcPr>
            <w:tcW w:type="dxa" w:w="964"/>
            <w:shd w:val="clear" w:color="auto" w:fill="1F3A5F"/>
          </w:tcPr>
          <w:p>
            <w:pPr>
              <w:jc w:val="right"/>
            </w:pPr>
            <w:r/>
            <w:r>
              <w:rPr>
                <w:b/>
                <w:color w:val="FFFFFF"/>
                <w:sz w:val="15"/>
              </w:rPr>
              <w:t>P/S TTM</w:t>
            </w:r>
          </w:p>
        </w:tc>
        <w:tc>
          <w:tcPr>
            <w:tcW w:type="dxa" w:w="1077"/>
            <w:shd w:val="clear" w:color="auto" w:fill="1F3A5F"/>
          </w:tcPr>
          <w:p>
            <w:pPr>
              <w:jc w:val="right"/>
            </w:pPr>
            <w:r/>
            <w:r>
              <w:rPr>
                <w:b/>
                <w:color w:val="FFFFFF"/>
                <w:sz w:val="15"/>
              </w:rPr>
              <w:t>P / gross profit</w:t>
            </w:r>
          </w:p>
        </w:tc>
        <w:tc>
          <w:tcPr>
            <w:tcW w:type="dxa" w:w="850"/>
            <w:shd w:val="clear" w:color="auto" w:fill="1F3A5F"/>
          </w:tcPr>
          <w:p>
            <w:pPr>
              <w:jc w:val="right"/>
            </w:pPr>
            <w:r/>
            <w:r>
              <w:rPr>
                <w:b/>
                <w:color w:val="FFFFFF"/>
                <w:sz w:val="15"/>
              </w:rPr>
              <w:t>P/E TTM</w:t>
            </w:r>
          </w:p>
        </w:tc>
        <w:tc>
          <w:tcPr>
            <w:tcW w:type="dxa" w:w="1304"/>
            <w:shd w:val="clear" w:color="auto" w:fill="1F3A5F"/>
          </w:tcPr>
          <w:p>
            <w:pPr>
              <w:jc w:val="right"/>
            </w:pPr>
            <w:r/>
            <w:r>
              <w:rPr>
                <w:b/>
                <w:color w:val="FFFFFF"/>
                <w:sz w:val="15"/>
              </w:rPr>
              <w:t>Revenue growth (1H26)</w:t>
            </w:r>
          </w:p>
        </w:tc>
        <w:tc>
          <w:tcPr>
            <w:tcW w:type="dxa" w:w="907"/>
            <w:shd w:val="clear" w:color="auto" w:fill="1F3A5F"/>
          </w:tcPr>
          <w:p>
            <w:pPr>
              <w:jc w:val="right"/>
            </w:pPr>
            <w:r/>
            <w:r>
              <w:rPr>
                <w:b/>
                <w:color w:val="FFFFFF"/>
                <w:sz w:val="15"/>
              </w:rPr>
              <w:t>Gross margin</w:t>
            </w:r>
          </w:p>
        </w:tc>
        <w:tc>
          <w:tcPr>
            <w:tcW w:type="dxa" w:w="850"/>
            <w:shd w:val="clear" w:color="auto" w:fill="1F3A5F"/>
          </w:tcPr>
          <w:p>
            <w:pPr>
              <w:jc w:val="right"/>
            </w:pPr>
            <w:r/>
            <w:r>
              <w:rPr>
                <w:b/>
                <w:color w:val="FFFFFF"/>
                <w:sz w:val="15"/>
              </w:rPr>
              <w:t>vs IPO price</w:t>
            </w:r>
          </w:p>
        </w:tc>
        <w:tc>
          <w:tcPr>
            <w:tcW w:type="dxa" w:w="1984"/>
            <w:shd w:val="clear" w:color="auto" w:fill="1F3A5F"/>
          </w:tcPr>
          <w:p>
            <w:pPr>
              <w:jc w:val="right"/>
            </w:pPr>
            <w:r/>
            <w:r>
              <w:rPr>
                <w:b/>
                <w:color w:val="FFFFFF"/>
                <w:sz w:val="15"/>
              </w:rPr>
              <w:t>What it is</w:t>
            </w:r>
          </w:p>
        </w:tc>
      </w:tr>
      <w:tr>
        <w:tc>
          <w:tcPr>
            <w:tcW w:type="dxa" w:w="2608"/>
          </w:tcPr>
          <w:p>
            <w:r/>
            <w:r>
              <w:rPr>
                <w:b/>
                <w:sz w:val="15"/>
              </w:rPr>
              <w:t>ESWIN at HK$1.48 to 1.59</w:t>
            </w:r>
          </w:p>
        </w:tc>
        <w:tc>
          <w:tcPr>
            <w:tcW w:type="dxa" w:w="964"/>
          </w:tcPr>
          <w:p>
            <w:pPr>
              <w:jc w:val="right"/>
            </w:pPr>
            <w:r/>
            <w:r>
              <w:rPr>
                <w:sz w:val="15"/>
              </w:rPr>
              <w:t>11.1 to 11.9x</w:t>
            </w:r>
          </w:p>
        </w:tc>
        <w:tc>
          <w:tcPr>
            <w:tcW w:type="dxa" w:w="1077"/>
          </w:tcPr>
          <w:p>
            <w:pPr>
              <w:jc w:val="right"/>
            </w:pPr>
            <w:r/>
            <w:r>
              <w:rPr>
                <w:sz w:val="15"/>
              </w:rPr>
              <w:t>57 to 61x</w:t>
            </w:r>
          </w:p>
        </w:tc>
        <w:tc>
          <w:tcPr>
            <w:tcW w:type="dxa" w:w="850"/>
          </w:tcPr>
          <w:p>
            <w:pPr>
              <w:jc w:val="right"/>
            </w:pPr>
            <w:r/>
            <w:r>
              <w:rPr>
                <w:sz w:val="15"/>
              </w:rPr>
              <w:t>n/m</w:t>
            </w:r>
          </w:p>
        </w:tc>
        <w:tc>
          <w:tcPr>
            <w:tcW w:type="dxa" w:w="1304"/>
          </w:tcPr>
          <w:p>
            <w:pPr>
              <w:jc w:val="right"/>
            </w:pPr>
            <w:r/>
            <w:r>
              <w:rPr>
                <w:sz w:val="15"/>
              </w:rPr>
              <w:t>+18% (−28% ex one-off)</w:t>
            </w:r>
          </w:p>
        </w:tc>
        <w:tc>
          <w:tcPr>
            <w:tcW w:type="dxa" w:w="907"/>
          </w:tcPr>
          <w:p>
            <w:pPr>
              <w:jc w:val="right"/>
            </w:pPr>
            <w:r/>
            <w:r>
              <w:rPr>
                <w:sz w:val="15"/>
              </w:rPr>
              <w:t>15 to 19%</w:t>
            </w:r>
          </w:p>
        </w:tc>
        <w:tc>
          <w:tcPr>
            <w:tcW w:type="dxa" w:w="850"/>
          </w:tcPr>
          <w:p>
            <w:pPr>
              <w:jc w:val="right"/>
            </w:pPr>
            <w:r/>
            <w:r>
              <w:rPr>
                <w:sz w:val="15"/>
              </w:rPr>
            </w:r>
          </w:p>
        </w:tc>
        <w:tc>
          <w:tcPr>
            <w:tcW w:type="dxa" w:w="1984"/>
          </w:tcPr>
          <w:p>
            <w:pPr>
              <w:jc w:val="right"/>
            </w:pPr>
            <w:r/>
            <w:r>
              <w:rPr>
                <w:sz w:val="15"/>
              </w:rPr>
            </w:r>
          </w:p>
        </w:tc>
      </w:tr>
      <w:tr>
        <w:tc>
          <w:tcPr>
            <w:tcW w:type="dxa" w:w="2608"/>
            <w:shd w:val="clear" w:color="auto" w:fill="E8EEF5"/>
          </w:tcPr>
          <w:p>
            <w:r/>
            <w:r>
              <w:rPr>
                <w:b/>
                <w:i/>
                <w:color w:val="1F3A5F"/>
                <w:sz w:val="15"/>
              </w:rPr>
              <w:t>Display / mixed-signal, the business it actually is</w:t>
            </w:r>
          </w:p>
        </w:tc>
        <w:tc>
          <w:tcPr>
            <w:tcW w:type="dxa" w:w="964"/>
            <w:shd w:val="clear" w:color="auto" w:fill="E8EEF5"/>
          </w:tcPr>
          <w:p>
            <w:pPr>
              <w:jc w:val="right"/>
            </w:pPr>
            <w:r/>
            <w:r>
              <w:rPr>
                <w:i/>
                <w:color w:val="1F3A5F"/>
                <w:sz w:val="15"/>
              </w:rPr>
            </w:r>
          </w:p>
        </w:tc>
        <w:tc>
          <w:tcPr>
            <w:tcW w:type="dxa" w:w="1077"/>
            <w:shd w:val="clear" w:color="auto" w:fill="E8EEF5"/>
          </w:tcPr>
          <w:p>
            <w:pPr>
              <w:jc w:val="right"/>
            </w:pPr>
            <w:r/>
            <w:r>
              <w:rPr>
                <w:i/>
                <w:color w:val="1F3A5F"/>
                <w:sz w:val="15"/>
              </w:rPr>
            </w:r>
          </w:p>
        </w:tc>
        <w:tc>
          <w:tcPr>
            <w:tcW w:type="dxa" w:w="850"/>
            <w:shd w:val="clear" w:color="auto" w:fill="E8EEF5"/>
          </w:tcPr>
          <w:p>
            <w:pPr>
              <w:jc w:val="right"/>
            </w:pPr>
            <w:r/>
            <w:r>
              <w:rPr>
                <w:i/>
                <w:color w:val="1F3A5F"/>
                <w:sz w:val="15"/>
              </w:rPr>
            </w:r>
          </w:p>
        </w:tc>
        <w:tc>
          <w:tcPr>
            <w:tcW w:type="dxa" w:w="1304"/>
            <w:shd w:val="clear" w:color="auto" w:fill="E8EEF5"/>
          </w:tcPr>
          <w:p>
            <w:pPr>
              <w:jc w:val="right"/>
            </w:pPr>
            <w:r/>
            <w:r>
              <w:rPr>
                <w:i/>
                <w:color w:val="1F3A5F"/>
                <w:sz w:val="15"/>
              </w:rPr>
            </w:r>
          </w:p>
        </w:tc>
        <w:tc>
          <w:tcPr>
            <w:tcW w:type="dxa" w:w="907"/>
            <w:shd w:val="clear" w:color="auto" w:fill="E8EEF5"/>
          </w:tcPr>
          <w:p>
            <w:pPr>
              <w:jc w:val="right"/>
            </w:pPr>
            <w:r/>
            <w:r>
              <w:rPr>
                <w:i/>
                <w:color w:val="1F3A5F"/>
                <w:sz w:val="15"/>
              </w:rPr>
            </w:r>
          </w:p>
        </w:tc>
        <w:tc>
          <w:tcPr>
            <w:tcW w:type="dxa" w:w="850"/>
            <w:shd w:val="clear" w:color="auto" w:fill="E8EEF5"/>
          </w:tcPr>
          <w:p>
            <w:pPr>
              <w:jc w:val="right"/>
            </w:pPr>
            <w:r/>
            <w:r>
              <w:rPr>
                <w:i/>
                <w:color w:val="1F3A5F"/>
                <w:sz w:val="15"/>
              </w:rPr>
            </w:r>
          </w:p>
        </w:tc>
        <w:tc>
          <w:tcPr>
            <w:tcW w:type="dxa" w:w="1984"/>
            <w:shd w:val="clear" w:color="auto" w:fill="E8EEF5"/>
          </w:tcPr>
          <w:p>
            <w:pPr>
              <w:jc w:val="right"/>
            </w:pPr>
            <w:r/>
            <w:r>
              <w:rPr>
                <w:i/>
                <w:color w:val="1F3A5F"/>
                <w:sz w:val="15"/>
              </w:rPr>
            </w:r>
          </w:p>
        </w:tc>
      </w:tr>
      <w:tr>
        <w:tc>
          <w:tcPr>
            <w:tcW w:type="dxa" w:w="2608"/>
          </w:tcPr>
          <w:p>
            <w:r/>
            <w:r>
              <w:rPr>
                <w:b/>
                <w:sz w:val="15"/>
              </w:rPr>
              <w:t>Viewtrix 3310</w:t>
            </w:r>
          </w:p>
        </w:tc>
        <w:tc>
          <w:tcPr>
            <w:tcW w:type="dxa" w:w="964"/>
          </w:tcPr>
          <w:p>
            <w:pPr>
              <w:jc w:val="right"/>
            </w:pPr>
            <w:r/>
            <w:r>
              <w:rPr>
                <w:sz w:val="15"/>
              </w:rPr>
              <w:t>9.7x</w:t>
            </w:r>
          </w:p>
        </w:tc>
        <w:tc>
          <w:tcPr>
            <w:tcW w:type="dxa" w:w="1077"/>
          </w:tcPr>
          <w:p>
            <w:pPr>
              <w:jc w:val="right"/>
            </w:pPr>
            <w:r/>
            <w:r>
              <w:rPr>
                <w:sz w:val="15"/>
              </w:rPr>
              <w:t>67x</w:t>
            </w:r>
          </w:p>
        </w:tc>
        <w:tc>
          <w:tcPr>
            <w:tcW w:type="dxa" w:w="850"/>
          </w:tcPr>
          <w:p>
            <w:pPr>
              <w:jc w:val="right"/>
            </w:pPr>
            <w:r/>
            <w:r>
              <w:rPr>
                <w:sz w:val="15"/>
              </w:rPr>
              <w:t>n/m</w:t>
            </w:r>
          </w:p>
        </w:tc>
        <w:tc>
          <w:tcPr>
            <w:tcW w:type="dxa" w:w="1304"/>
          </w:tcPr>
          <w:p>
            <w:pPr>
              <w:jc w:val="right"/>
            </w:pPr>
            <w:r/>
            <w:r>
              <w:rPr>
                <w:sz w:val="15"/>
              </w:rPr>
              <w:t>−30%</w:t>
            </w:r>
          </w:p>
        </w:tc>
        <w:tc>
          <w:tcPr>
            <w:tcW w:type="dxa" w:w="907"/>
          </w:tcPr>
          <w:p>
            <w:pPr>
              <w:jc w:val="right"/>
            </w:pPr>
            <w:r/>
            <w:r>
              <w:rPr>
                <w:sz w:val="15"/>
              </w:rPr>
              <w:t>12%</w:t>
            </w:r>
          </w:p>
        </w:tc>
        <w:tc>
          <w:tcPr>
            <w:tcW w:type="dxa" w:w="850"/>
          </w:tcPr>
          <w:p>
            <w:pPr>
              <w:jc w:val="right"/>
            </w:pPr>
            <w:r/>
            <w:r>
              <w:rPr>
                <w:sz w:val="15"/>
              </w:rPr>
              <w:t>+21%</w:t>
            </w:r>
          </w:p>
        </w:tc>
        <w:tc>
          <w:tcPr>
            <w:tcW w:type="dxa" w:w="1984"/>
          </w:tcPr>
          <w:p>
            <w:pPr>
              <w:jc w:val="right"/>
            </w:pPr>
            <w:r/>
            <w:r>
              <w:rPr>
                <w:sz w:val="15"/>
              </w:rPr>
              <w:t>OLED driver ICs; listed May, +92% day one</w:t>
            </w:r>
          </w:p>
        </w:tc>
      </w:tr>
      <w:tr>
        <w:tc>
          <w:tcPr>
            <w:tcW w:type="dxa" w:w="2608"/>
            <w:shd w:val="clear" w:color="auto" w:fill="F2F5F9"/>
          </w:tcPr>
          <w:p>
            <w:r/>
            <w:r>
              <w:rPr>
                <w:b/>
                <w:sz w:val="15"/>
              </w:rPr>
              <w:t>OmniVision 501</w:t>
            </w:r>
          </w:p>
        </w:tc>
        <w:tc>
          <w:tcPr>
            <w:tcW w:type="dxa" w:w="964"/>
            <w:shd w:val="clear" w:color="auto" w:fill="F2F5F9"/>
          </w:tcPr>
          <w:p>
            <w:pPr>
              <w:jc w:val="right"/>
            </w:pPr>
            <w:r/>
            <w:r>
              <w:rPr>
                <w:sz w:val="15"/>
              </w:rPr>
              <w:t>2.6x</w:t>
            </w:r>
          </w:p>
        </w:tc>
        <w:tc>
          <w:tcPr>
            <w:tcW w:type="dxa" w:w="1077"/>
            <w:shd w:val="clear" w:color="auto" w:fill="F2F5F9"/>
          </w:tcPr>
          <w:p>
            <w:pPr>
              <w:jc w:val="right"/>
            </w:pPr>
            <w:r/>
            <w:r>
              <w:rPr>
                <w:sz w:val="15"/>
              </w:rPr>
              <w:t>9x</w:t>
            </w:r>
          </w:p>
        </w:tc>
        <w:tc>
          <w:tcPr>
            <w:tcW w:type="dxa" w:w="850"/>
            <w:shd w:val="clear" w:color="auto" w:fill="F2F5F9"/>
          </w:tcPr>
          <w:p>
            <w:pPr>
              <w:jc w:val="right"/>
            </w:pPr>
            <w:r/>
            <w:r>
              <w:rPr>
                <w:sz w:val="15"/>
              </w:rPr>
              <w:t>23x</w:t>
            </w:r>
          </w:p>
        </w:tc>
        <w:tc>
          <w:tcPr>
            <w:tcW w:type="dxa" w:w="1304"/>
            <w:shd w:val="clear" w:color="auto" w:fill="F2F5F9"/>
          </w:tcPr>
          <w:p>
            <w:pPr>
              <w:jc w:val="right"/>
            </w:pPr>
            <w:r/>
            <w:r>
              <w:rPr>
                <w:sz w:val="15"/>
              </w:rPr>
              <w:t>0%</w:t>
            </w:r>
          </w:p>
        </w:tc>
        <w:tc>
          <w:tcPr>
            <w:tcW w:type="dxa" w:w="907"/>
            <w:shd w:val="clear" w:color="auto" w:fill="F2F5F9"/>
          </w:tcPr>
          <w:p>
            <w:pPr>
              <w:jc w:val="right"/>
            </w:pPr>
            <w:r/>
            <w:r>
              <w:rPr>
                <w:sz w:val="15"/>
              </w:rPr>
              <w:t>29%</w:t>
            </w:r>
          </w:p>
        </w:tc>
        <w:tc>
          <w:tcPr>
            <w:tcW w:type="dxa" w:w="850"/>
            <w:shd w:val="clear" w:color="auto" w:fill="F2F5F9"/>
          </w:tcPr>
          <w:p>
            <w:pPr>
              <w:jc w:val="right"/>
            </w:pPr>
            <w:r/>
            <w:r>
              <w:rPr>
                <w:sz w:val="15"/>
              </w:rPr>
              <w:t>−33%</w:t>
            </w:r>
          </w:p>
        </w:tc>
        <w:tc>
          <w:tcPr>
            <w:tcW w:type="dxa" w:w="1984"/>
            <w:shd w:val="clear" w:color="auto" w:fill="F2F5F9"/>
          </w:tcPr>
          <w:p>
            <w:pPr>
              <w:jc w:val="right"/>
            </w:pPr>
            <w:r/>
            <w:r>
              <w:rPr>
                <w:sz w:val="15"/>
              </w:rPr>
              <w:t>image sensors, profitable</w:t>
            </w:r>
          </w:p>
        </w:tc>
      </w:tr>
      <w:tr>
        <w:tc>
          <w:tcPr>
            <w:tcW w:type="dxa" w:w="2608"/>
          </w:tcPr>
          <w:p>
            <w:r/>
            <w:r>
              <w:rPr>
                <w:b/>
                <w:sz w:val="15"/>
              </w:rPr>
              <w:t>GigaDevice 3986</w:t>
            </w:r>
          </w:p>
        </w:tc>
        <w:tc>
          <w:tcPr>
            <w:tcW w:type="dxa" w:w="964"/>
          </w:tcPr>
          <w:p>
            <w:pPr>
              <w:jc w:val="right"/>
            </w:pPr>
            <w:r/>
            <w:r>
              <w:rPr>
                <w:sz w:val="15"/>
              </w:rPr>
              <w:t>16.9x</w:t>
            </w:r>
          </w:p>
        </w:tc>
        <w:tc>
          <w:tcPr>
            <w:tcW w:type="dxa" w:w="1077"/>
          </w:tcPr>
          <w:p>
            <w:pPr>
              <w:jc w:val="right"/>
            </w:pPr>
            <w:r/>
            <w:r>
              <w:rPr>
                <w:sz w:val="15"/>
              </w:rPr>
              <w:t>30x</w:t>
            </w:r>
          </w:p>
        </w:tc>
        <w:tc>
          <w:tcPr>
            <w:tcW w:type="dxa" w:w="850"/>
          </w:tcPr>
          <w:p>
            <w:pPr>
              <w:jc w:val="right"/>
            </w:pPr>
            <w:r/>
            <w:r>
              <w:rPr>
                <w:sz w:val="15"/>
              </w:rPr>
              <w:t>35x</w:t>
            </w:r>
          </w:p>
        </w:tc>
        <w:tc>
          <w:tcPr>
            <w:tcW w:type="dxa" w:w="1304"/>
          </w:tcPr>
          <w:p>
            <w:pPr>
              <w:jc w:val="right"/>
            </w:pPr>
            <w:r/>
            <w:r>
              <w:rPr>
                <w:sz w:val="15"/>
              </w:rPr>
              <w:t>+179%</w:t>
            </w:r>
          </w:p>
        </w:tc>
        <w:tc>
          <w:tcPr>
            <w:tcW w:type="dxa" w:w="907"/>
          </w:tcPr>
          <w:p>
            <w:pPr>
              <w:jc w:val="right"/>
            </w:pPr>
            <w:r/>
            <w:r>
              <w:rPr>
                <w:sz w:val="15"/>
              </w:rPr>
              <w:t>63%</w:t>
            </w:r>
          </w:p>
        </w:tc>
        <w:tc>
          <w:tcPr>
            <w:tcW w:type="dxa" w:w="850"/>
          </w:tcPr>
          <w:p>
            <w:pPr>
              <w:jc w:val="right"/>
            </w:pPr>
            <w:r/>
            <w:r>
              <w:rPr>
                <w:sz w:val="15"/>
              </w:rPr>
              <w:t>+188%</w:t>
            </w:r>
          </w:p>
        </w:tc>
        <w:tc>
          <w:tcPr>
            <w:tcW w:type="dxa" w:w="1984"/>
          </w:tcPr>
          <w:p>
            <w:pPr>
              <w:jc w:val="right"/>
            </w:pPr>
            <w:r/>
            <w:r>
              <w:rPr>
                <w:sz w:val="15"/>
              </w:rPr>
              <w:t>memory / MCU, profit up 11x</w:t>
            </w:r>
          </w:p>
        </w:tc>
      </w:tr>
      <w:tr>
        <w:tc>
          <w:tcPr>
            <w:tcW w:type="dxa" w:w="2608"/>
            <w:shd w:val="clear" w:color="auto" w:fill="F2F5F9"/>
          </w:tcPr>
          <w:p>
            <w:r/>
            <w:r>
              <w:rPr>
                <w:b/>
                <w:sz w:val="15"/>
              </w:rPr>
              <w:t>Fortior 1304</w:t>
            </w:r>
          </w:p>
        </w:tc>
        <w:tc>
          <w:tcPr>
            <w:tcW w:type="dxa" w:w="964"/>
            <w:shd w:val="clear" w:color="auto" w:fill="F2F5F9"/>
          </w:tcPr>
          <w:p>
            <w:pPr>
              <w:jc w:val="right"/>
            </w:pPr>
            <w:r/>
            <w:r>
              <w:rPr>
                <w:sz w:val="15"/>
              </w:rPr>
              <w:t>12.3x</w:t>
            </w:r>
          </w:p>
        </w:tc>
        <w:tc>
          <w:tcPr>
            <w:tcW w:type="dxa" w:w="1077"/>
            <w:shd w:val="clear" w:color="auto" w:fill="F2F5F9"/>
          </w:tcPr>
          <w:p>
            <w:pPr>
              <w:jc w:val="right"/>
            </w:pPr>
            <w:r/>
            <w:r>
              <w:rPr>
                <w:sz w:val="15"/>
              </w:rPr>
              <w:t>24x</w:t>
            </w:r>
          </w:p>
        </w:tc>
        <w:tc>
          <w:tcPr>
            <w:tcW w:type="dxa" w:w="850"/>
            <w:shd w:val="clear" w:color="auto" w:fill="F2F5F9"/>
          </w:tcPr>
          <w:p>
            <w:pPr>
              <w:jc w:val="right"/>
            </w:pPr>
            <w:r/>
            <w:r>
              <w:rPr>
                <w:sz w:val="15"/>
              </w:rPr>
              <w:t>39x</w:t>
            </w:r>
          </w:p>
        </w:tc>
        <w:tc>
          <w:tcPr>
            <w:tcW w:type="dxa" w:w="1304"/>
            <w:shd w:val="clear" w:color="auto" w:fill="F2F5F9"/>
          </w:tcPr>
          <w:p>
            <w:pPr>
              <w:jc w:val="right"/>
            </w:pPr>
            <w:r/>
            <w:r>
              <w:rPr>
                <w:sz w:val="15"/>
              </w:rPr>
              <w:t>+50%</w:t>
            </w:r>
          </w:p>
        </w:tc>
        <w:tc>
          <w:tcPr>
            <w:tcW w:type="dxa" w:w="907"/>
            <w:shd w:val="clear" w:color="auto" w:fill="F2F5F9"/>
          </w:tcPr>
          <w:p>
            <w:pPr>
              <w:jc w:val="right"/>
            </w:pPr>
            <w:r/>
            <w:r>
              <w:rPr>
                <w:sz w:val="15"/>
              </w:rPr>
              <w:t>52%</w:t>
            </w:r>
          </w:p>
        </w:tc>
        <w:tc>
          <w:tcPr>
            <w:tcW w:type="dxa" w:w="850"/>
            <w:shd w:val="clear" w:color="auto" w:fill="F2F5F9"/>
          </w:tcPr>
          <w:p>
            <w:pPr>
              <w:jc w:val="right"/>
            </w:pPr>
            <w:r/>
            <w:r>
              <w:rPr>
                <w:sz w:val="15"/>
              </w:rPr>
              <w:t>−1%</w:t>
            </w:r>
          </w:p>
        </w:tc>
        <w:tc>
          <w:tcPr>
            <w:tcW w:type="dxa" w:w="1984"/>
            <w:shd w:val="clear" w:color="auto" w:fill="F2F5F9"/>
          </w:tcPr>
          <w:p>
            <w:pPr>
              <w:jc w:val="right"/>
            </w:pPr>
            <w:r/>
            <w:r>
              <w:rPr>
                <w:sz w:val="15"/>
              </w:rPr>
              <w:t>motor-driver chips, profitable</w:t>
            </w:r>
          </w:p>
        </w:tc>
      </w:tr>
      <w:tr>
        <w:tc>
          <w:tcPr>
            <w:tcW w:type="dxa" w:w="2608"/>
          </w:tcPr>
          <w:p>
            <w:r/>
            <w:r>
              <w:rPr>
                <w:b/>
                <w:sz w:val="15"/>
              </w:rPr>
              <w:t>NSING 2701</w:t>
            </w:r>
          </w:p>
        </w:tc>
        <w:tc>
          <w:tcPr>
            <w:tcW w:type="dxa" w:w="964"/>
          </w:tcPr>
          <w:p>
            <w:pPr>
              <w:jc w:val="right"/>
            </w:pPr>
            <w:r/>
            <w:r>
              <w:rPr>
                <w:sz w:val="15"/>
              </w:rPr>
              <w:t>2.8x</w:t>
            </w:r>
          </w:p>
        </w:tc>
        <w:tc>
          <w:tcPr>
            <w:tcW w:type="dxa" w:w="1077"/>
          </w:tcPr>
          <w:p>
            <w:pPr>
              <w:jc w:val="right"/>
            </w:pPr>
            <w:r/>
            <w:r>
              <w:rPr>
                <w:sz w:val="15"/>
              </w:rPr>
              <w:t>16x</w:t>
            </w:r>
          </w:p>
        </w:tc>
        <w:tc>
          <w:tcPr>
            <w:tcW w:type="dxa" w:w="850"/>
          </w:tcPr>
          <w:p>
            <w:pPr>
              <w:jc w:val="right"/>
            </w:pPr>
            <w:r/>
            <w:r>
              <w:rPr>
                <w:sz w:val="15"/>
              </w:rPr>
              <w:t>n/m</w:t>
            </w:r>
          </w:p>
        </w:tc>
        <w:tc>
          <w:tcPr>
            <w:tcW w:type="dxa" w:w="1304"/>
          </w:tcPr>
          <w:p>
            <w:pPr>
              <w:jc w:val="right"/>
            </w:pPr>
            <w:r/>
            <w:r>
              <w:rPr>
                <w:sz w:val="15"/>
              </w:rPr>
              <w:t>+43%</w:t>
            </w:r>
          </w:p>
        </w:tc>
        <w:tc>
          <w:tcPr>
            <w:tcW w:type="dxa" w:w="907"/>
          </w:tcPr>
          <w:p>
            <w:pPr>
              <w:jc w:val="right"/>
            </w:pPr>
            <w:r/>
            <w:r>
              <w:rPr>
                <w:sz w:val="15"/>
              </w:rPr>
              <w:t>20%</w:t>
            </w:r>
          </w:p>
        </w:tc>
        <w:tc>
          <w:tcPr>
            <w:tcW w:type="dxa" w:w="850"/>
          </w:tcPr>
          <w:p>
            <w:pPr>
              <w:jc w:val="right"/>
            </w:pPr>
            <w:r/>
            <w:r>
              <w:rPr>
                <w:sz w:val="15"/>
              </w:rPr>
              <w:t>−26%</w:t>
            </w:r>
          </w:p>
        </w:tc>
        <w:tc>
          <w:tcPr>
            <w:tcW w:type="dxa" w:w="1984"/>
          </w:tcPr>
          <w:p>
            <w:pPr>
              <w:jc w:val="right"/>
            </w:pPr>
            <w:r/>
            <w:r>
              <w:rPr>
                <w:sz w:val="15"/>
              </w:rPr>
              <w:t>MCU / security chips, small loss</w:t>
            </w:r>
          </w:p>
        </w:tc>
      </w:tr>
      <w:tr>
        <w:tc>
          <w:tcPr>
            <w:tcW w:type="dxa" w:w="2608"/>
            <w:shd w:val="clear" w:color="auto" w:fill="E8EEF5"/>
          </w:tcPr>
          <w:p>
            <w:r/>
            <w:r>
              <w:rPr>
                <w:b/>
                <w:i/>
                <w:color w:val="1F3A5F"/>
                <w:sz w:val="15"/>
              </w:rPr>
              <w:t>AI / embodied chips, the story it is telling</w:t>
            </w:r>
          </w:p>
        </w:tc>
        <w:tc>
          <w:tcPr>
            <w:tcW w:type="dxa" w:w="964"/>
            <w:shd w:val="clear" w:color="auto" w:fill="E8EEF5"/>
          </w:tcPr>
          <w:p>
            <w:pPr>
              <w:jc w:val="right"/>
            </w:pPr>
            <w:r/>
            <w:r>
              <w:rPr>
                <w:i/>
                <w:color w:val="1F3A5F"/>
                <w:sz w:val="15"/>
              </w:rPr>
            </w:r>
          </w:p>
        </w:tc>
        <w:tc>
          <w:tcPr>
            <w:tcW w:type="dxa" w:w="1077"/>
            <w:shd w:val="clear" w:color="auto" w:fill="E8EEF5"/>
          </w:tcPr>
          <w:p>
            <w:pPr>
              <w:jc w:val="right"/>
            </w:pPr>
            <w:r/>
            <w:r>
              <w:rPr>
                <w:i/>
                <w:color w:val="1F3A5F"/>
                <w:sz w:val="15"/>
              </w:rPr>
            </w:r>
          </w:p>
        </w:tc>
        <w:tc>
          <w:tcPr>
            <w:tcW w:type="dxa" w:w="850"/>
            <w:shd w:val="clear" w:color="auto" w:fill="E8EEF5"/>
          </w:tcPr>
          <w:p>
            <w:pPr>
              <w:jc w:val="right"/>
            </w:pPr>
            <w:r/>
            <w:r>
              <w:rPr>
                <w:i/>
                <w:color w:val="1F3A5F"/>
                <w:sz w:val="15"/>
              </w:rPr>
            </w:r>
          </w:p>
        </w:tc>
        <w:tc>
          <w:tcPr>
            <w:tcW w:type="dxa" w:w="1304"/>
            <w:shd w:val="clear" w:color="auto" w:fill="E8EEF5"/>
          </w:tcPr>
          <w:p>
            <w:pPr>
              <w:jc w:val="right"/>
            </w:pPr>
            <w:r/>
            <w:r>
              <w:rPr>
                <w:i/>
                <w:color w:val="1F3A5F"/>
                <w:sz w:val="15"/>
              </w:rPr>
            </w:r>
          </w:p>
        </w:tc>
        <w:tc>
          <w:tcPr>
            <w:tcW w:type="dxa" w:w="907"/>
            <w:shd w:val="clear" w:color="auto" w:fill="E8EEF5"/>
          </w:tcPr>
          <w:p>
            <w:pPr>
              <w:jc w:val="right"/>
            </w:pPr>
            <w:r/>
            <w:r>
              <w:rPr>
                <w:i/>
                <w:color w:val="1F3A5F"/>
                <w:sz w:val="15"/>
              </w:rPr>
            </w:r>
          </w:p>
        </w:tc>
        <w:tc>
          <w:tcPr>
            <w:tcW w:type="dxa" w:w="850"/>
            <w:shd w:val="clear" w:color="auto" w:fill="E8EEF5"/>
          </w:tcPr>
          <w:p>
            <w:pPr>
              <w:jc w:val="right"/>
            </w:pPr>
            <w:r/>
            <w:r>
              <w:rPr>
                <w:i/>
                <w:color w:val="1F3A5F"/>
                <w:sz w:val="15"/>
              </w:rPr>
            </w:r>
          </w:p>
        </w:tc>
        <w:tc>
          <w:tcPr>
            <w:tcW w:type="dxa" w:w="1984"/>
            <w:shd w:val="clear" w:color="auto" w:fill="E8EEF5"/>
          </w:tcPr>
          <w:p>
            <w:pPr>
              <w:jc w:val="right"/>
            </w:pPr>
            <w:r/>
            <w:r>
              <w:rPr>
                <w:i/>
                <w:color w:val="1F3A5F"/>
                <w:sz w:val="15"/>
              </w:rPr>
            </w:r>
          </w:p>
        </w:tc>
      </w:tr>
      <w:tr>
        <w:tc>
          <w:tcPr>
            <w:tcW w:type="dxa" w:w="2608"/>
          </w:tcPr>
          <w:p>
            <w:r/>
            <w:r>
              <w:rPr>
                <w:b/>
                <w:sz w:val="15"/>
              </w:rPr>
              <w:t>Horizon Robotics 9660</w:t>
            </w:r>
          </w:p>
        </w:tc>
        <w:tc>
          <w:tcPr>
            <w:tcW w:type="dxa" w:w="964"/>
          </w:tcPr>
          <w:p>
            <w:pPr>
              <w:jc w:val="right"/>
            </w:pPr>
            <w:r/>
            <w:r>
              <w:rPr>
                <w:sz w:val="15"/>
              </w:rPr>
              <w:t>13.2x</w:t>
            </w:r>
          </w:p>
        </w:tc>
        <w:tc>
          <w:tcPr>
            <w:tcW w:type="dxa" w:w="1077"/>
          </w:tcPr>
          <w:p>
            <w:pPr>
              <w:jc w:val="right"/>
            </w:pPr>
            <w:r/>
            <w:r>
              <w:rPr>
                <w:sz w:val="15"/>
              </w:rPr>
              <w:t>20x</w:t>
            </w:r>
          </w:p>
        </w:tc>
        <w:tc>
          <w:tcPr>
            <w:tcW w:type="dxa" w:w="850"/>
          </w:tcPr>
          <w:p>
            <w:pPr>
              <w:jc w:val="right"/>
            </w:pPr>
            <w:r/>
            <w:r>
              <w:rPr>
                <w:sz w:val="15"/>
              </w:rPr>
              <w:t>n/m</w:t>
            </w:r>
          </w:p>
        </w:tc>
        <w:tc>
          <w:tcPr>
            <w:tcW w:type="dxa" w:w="1304"/>
          </w:tcPr>
          <w:p>
            <w:pPr>
              <w:jc w:val="right"/>
            </w:pPr>
            <w:r/>
            <w:r>
              <w:rPr>
                <w:sz w:val="15"/>
              </w:rPr>
              <w:t>+33%</w:t>
            </w:r>
          </w:p>
        </w:tc>
        <w:tc>
          <w:tcPr>
            <w:tcW w:type="dxa" w:w="907"/>
          </w:tcPr>
          <w:p>
            <w:pPr>
              <w:jc w:val="right"/>
            </w:pPr>
            <w:r/>
            <w:r>
              <w:rPr>
                <w:sz w:val="15"/>
              </w:rPr>
              <w:t>66%</w:t>
            </w:r>
          </w:p>
        </w:tc>
        <w:tc>
          <w:tcPr>
            <w:tcW w:type="dxa" w:w="850"/>
          </w:tcPr>
          <w:p>
            <w:pPr>
              <w:jc w:val="right"/>
            </w:pPr>
            <w:r/>
            <w:r>
              <w:rPr>
                <w:sz w:val="15"/>
              </w:rPr>
              <w:t>+4%</w:t>
            </w:r>
          </w:p>
        </w:tc>
        <w:tc>
          <w:tcPr>
            <w:tcW w:type="dxa" w:w="1984"/>
          </w:tcPr>
          <w:p>
            <w:pPr>
              <w:jc w:val="right"/>
            </w:pPr>
            <w:r/>
            <w:r>
              <w:rPr>
                <w:sz w:val="15"/>
              </w:rPr>
              <w:t>auto AI SoCs</w:t>
            </w:r>
          </w:p>
        </w:tc>
      </w:tr>
      <w:tr>
        <w:tc>
          <w:tcPr>
            <w:tcW w:type="dxa" w:w="2608"/>
            <w:shd w:val="clear" w:color="auto" w:fill="F2F5F9"/>
          </w:tcPr>
          <w:p>
            <w:r/>
            <w:r>
              <w:rPr>
                <w:b/>
                <w:sz w:val="15"/>
              </w:rPr>
              <w:t>Axera 600</w:t>
            </w:r>
          </w:p>
        </w:tc>
        <w:tc>
          <w:tcPr>
            <w:tcW w:type="dxa" w:w="964"/>
            <w:shd w:val="clear" w:color="auto" w:fill="F2F5F9"/>
          </w:tcPr>
          <w:p>
            <w:pPr>
              <w:jc w:val="right"/>
            </w:pPr>
            <w:r/>
            <w:r>
              <w:rPr>
                <w:sz w:val="15"/>
              </w:rPr>
              <w:t>14.0x</w:t>
            </w:r>
          </w:p>
        </w:tc>
        <w:tc>
          <w:tcPr>
            <w:tcW w:type="dxa" w:w="1077"/>
            <w:shd w:val="clear" w:color="auto" w:fill="F2F5F9"/>
          </w:tcPr>
          <w:p>
            <w:pPr>
              <w:jc w:val="right"/>
            </w:pPr>
            <w:r/>
            <w:r>
              <w:rPr>
                <w:sz w:val="15"/>
              </w:rPr>
              <w:t>55x</w:t>
            </w:r>
          </w:p>
        </w:tc>
        <w:tc>
          <w:tcPr>
            <w:tcW w:type="dxa" w:w="850"/>
            <w:shd w:val="clear" w:color="auto" w:fill="F2F5F9"/>
          </w:tcPr>
          <w:p>
            <w:pPr>
              <w:jc w:val="right"/>
            </w:pPr>
            <w:r/>
            <w:r>
              <w:rPr>
                <w:sz w:val="15"/>
              </w:rPr>
              <w:t>n/m</w:t>
            </w:r>
          </w:p>
        </w:tc>
        <w:tc>
          <w:tcPr>
            <w:tcW w:type="dxa" w:w="1304"/>
            <w:shd w:val="clear" w:color="auto" w:fill="F2F5F9"/>
          </w:tcPr>
          <w:p>
            <w:pPr>
              <w:jc w:val="right"/>
            </w:pPr>
            <w:r/>
            <w:r>
              <w:rPr>
                <w:sz w:val="15"/>
              </w:rPr>
              <w:t>+182%</w:t>
            </w:r>
          </w:p>
        </w:tc>
        <w:tc>
          <w:tcPr>
            <w:tcW w:type="dxa" w:w="907"/>
            <w:shd w:val="clear" w:color="auto" w:fill="F2F5F9"/>
          </w:tcPr>
          <w:p>
            <w:pPr>
              <w:jc w:val="right"/>
            </w:pPr>
            <w:r/>
            <w:r>
              <w:rPr>
                <w:sz w:val="15"/>
              </w:rPr>
              <w:t>29%</w:t>
            </w:r>
          </w:p>
        </w:tc>
        <w:tc>
          <w:tcPr>
            <w:tcW w:type="dxa" w:w="850"/>
            <w:shd w:val="clear" w:color="auto" w:fill="F2F5F9"/>
          </w:tcPr>
          <w:p>
            <w:pPr>
              <w:jc w:val="right"/>
            </w:pPr>
            <w:r/>
            <w:r>
              <w:rPr>
                <w:sz w:val="15"/>
              </w:rPr>
              <w:t>−19%</w:t>
            </w:r>
          </w:p>
        </w:tc>
        <w:tc>
          <w:tcPr>
            <w:tcW w:type="dxa" w:w="1984"/>
            <w:shd w:val="clear" w:color="auto" w:fill="F2F5F9"/>
          </w:tcPr>
          <w:p>
            <w:pPr>
              <w:jc w:val="right"/>
            </w:pPr>
            <w:r/>
            <w:r>
              <w:rPr>
                <w:sz w:val="15"/>
              </w:rPr>
              <w:t>edge AI SoCs; flat day one</w:t>
            </w:r>
          </w:p>
        </w:tc>
      </w:tr>
      <w:tr>
        <w:tc>
          <w:tcPr>
            <w:tcW w:type="dxa" w:w="2608"/>
          </w:tcPr>
          <w:p>
            <w:r/>
            <w:r>
              <w:rPr>
                <w:b/>
                <w:sz w:val="15"/>
              </w:rPr>
              <w:t>Black Sesame 2533</w:t>
            </w:r>
          </w:p>
        </w:tc>
        <w:tc>
          <w:tcPr>
            <w:tcW w:type="dxa" w:w="964"/>
          </w:tcPr>
          <w:p>
            <w:pPr>
              <w:jc w:val="right"/>
            </w:pPr>
            <w:r/>
            <w:r>
              <w:rPr>
                <w:sz w:val="15"/>
              </w:rPr>
              <w:t>5.8x</w:t>
            </w:r>
          </w:p>
        </w:tc>
        <w:tc>
          <w:tcPr>
            <w:tcW w:type="dxa" w:w="1077"/>
          </w:tcPr>
          <w:p>
            <w:pPr>
              <w:jc w:val="right"/>
            </w:pPr>
            <w:r/>
            <w:r>
              <w:rPr>
                <w:sz w:val="15"/>
              </w:rPr>
              <w:t>12x</w:t>
            </w:r>
          </w:p>
        </w:tc>
        <w:tc>
          <w:tcPr>
            <w:tcW w:type="dxa" w:w="850"/>
          </w:tcPr>
          <w:p>
            <w:pPr>
              <w:jc w:val="right"/>
            </w:pPr>
            <w:r/>
            <w:r>
              <w:rPr>
                <w:sz w:val="15"/>
              </w:rPr>
              <w:t>n/m</w:t>
            </w:r>
          </w:p>
        </w:tc>
        <w:tc>
          <w:tcPr>
            <w:tcW w:type="dxa" w:w="1304"/>
          </w:tcPr>
          <w:p>
            <w:pPr>
              <w:jc w:val="right"/>
            </w:pPr>
            <w:r/>
            <w:r>
              <w:rPr>
                <w:sz w:val="15"/>
              </w:rPr>
              <w:t>+81%</w:t>
            </w:r>
          </w:p>
        </w:tc>
        <w:tc>
          <w:tcPr>
            <w:tcW w:type="dxa" w:w="907"/>
          </w:tcPr>
          <w:p>
            <w:pPr>
              <w:jc w:val="right"/>
            </w:pPr>
            <w:r/>
            <w:r>
              <w:rPr>
                <w:sz w:val="15"/>
              </w:rPr>
              <w:t>50%</w:t>
            </w:r>
          </w:p>
        </w:tc>
        <w:tc>
          <w:tcPr>
            <w:tcW w:type="dxa" w:w="850"/>
          </w:tcPr>
          <w:p>
            <w:pPr>
              <w:jc w:val="right"/>
            </w:pPr>
            <w:r/>
            <w:r>
              <w:rPr>
                <w:sz w:val="15"/>
              </w:rPr>
              <w:t>−65%</w:t>
            </w:r>
          </w:p>
        </w:tc>
        <w:tc>
          <w:tcPr>
            <w:tcW w:type="dxa" w:w="1984"/>
          </w:tcPr>
          <w:p>
            <w:pPr>
              <w:jc w:val="right"/>
            </w:pPr>
            <w:r/>
            <w:r>
              <w:rPr>
                <w:sz w:val="15"/>
              </w:rPr>
              <w:t>auto AI SoCs</w:t>
            </w:r>
          </w:p>
        </w:tc>
      </w:tr>
      <w:tr>
        <w:tc>
          <w:tcPr>
            <w:tcW w:type="dxa" w:w="2608"/>
            <w:shd w:val="clear" w:color="auto" w:fill="F2F5F9"/>
          </w:tcPr>
          <w:p>
            <w:r/>
            <w:r>
              <w:rPr>
                <w:b/>
                <w:sz w:val="15"/>
              </w:rPr>
              <w:t>Biren 6082</w:t>
            </w:r>
          </w:p>
        </w:tc>
        <w:tc>
          <w:tcPr>
            <w:tcW w:type="dxa" w:w="964"/>
            <w:shd w:val="clear" w:color="auto" w:fill="F2F5F9"/>
          </w:tcPr>
          <w:p>
            <w:pPr>
              <w:jc w:val="right"/>
            </w:pPr>
            <w:r/>
            <w:r>
              <w:rPr>
                <w:sz w:val="15"/>
              </w:rPr>
              <w:t>37.5x</w:t>
            </w:r>
          </w:p>
        </w:tc>
        <w:tc>
          <w:tcPr>
            <w:tcW w:type="dxa" w:w="1077"/>
            <w:shd w:val="clear" w:color="auto" w:fill="F2F5F9"/>
          </w:tcPr>
          <w:p>
            <w:pPr>
              <w:jc w:val="right"/>
            </w:pPr>
            <w:r/>
            <w:r>
              <w:rPr>
                <w:sz w:val="15"/>
              </w:rPr>
              <w:t>78x</w:t>
            </w:r>
          </w:p>
        </w:tc>
        <w:tc>
          <w:tcPr>
            <w:tcW w:type="dxa" w:w="850"/>
            <w:shd w:val="clear" w:color="auto" w:fill="F2F5F9"/>
          </w:tcPr>
          <w:p>
            <w:pPr>
              <w:jc w:val="right"/>
            </w:pPr>
            <w:r/>
            <w:r>
              <w:rPr>
                <w:sz w:val="15"/>
              </w:rPr>
              <w:t>n/m</w:t>
            </w:r>
          </w:p>
        </w:tc>
        <w:tc>
          <w:tcPr>
            <w:tcW w:type="dxa" w:w="1304"/>
            <w:shd w:val="clear" w:color="auto" w:fill="F2F5F9"/>
          </w:tcPr>
          <w:p>
            <w:pPr>
              <w:jc w:val="right"/>
            </w:pPr>
            <w:r/>
            <w:r>
              <w:rPr>
                <w:sz w:val="15"/>
              </w:rPr>
              <w:t>+1,998%</w:t>
            </w:r>
          </w:p>
        </w:tc>
        <w:tc>
          <w:tcPr>
            <w:tcW w:type="dxa" w:w="907"/>
            <w:shd w:val="clear" w:color="auto" w:fill="F2F5F9"/>
          </w:tcPr>
          <w:p>
            <w:pPr>
              <w:jc w:val="right"/>
            </w:pPr>
            <w:r/>
            <w:r>
              <w:rPr>
                <w:sz w:val="15"/>
              </w:rPr>
              <w:t>43%</w:t>
            </w:r>
          </w:p>
        </w:tc>
        <w:tc>
          <w:tcPr>
            <w:tcW w:type="dxa" w:w="850"/>
            <w:shd w:val="clear" w:color="auto" w:fill="F2F5F9"/>
          </w:tcPr>
          <w:p>
            <w:pPr>
              <w:jc w:val="right"/>
            </w:pPr>
            <w:r/>
            <w:r>
              <w:rPr>
                <w:sz w:val="15"/>
              </w:rPr>
              <w:t>+91%</w:t>
            </w:r>
          </w:p>
        </w:tc>
        <w:tc>
          <w:tcPr>
            <w:tcW w:type="dxa" w:w="1984"/>
            <w:shd w:val="clear" w:color="auto" w:fill="F2F5F9"/>
          </w:tcPr>
          <w:p>
            <w:pPr>
              <w:jc w:val="right"/>
            </w:pPr>
            <w:r/>
            <w:r>
              <w:rPr>
                <w:sz w:val="15"/>
              </w:rPr>
              <w:t>GPU</w:t>
            </w:r>
          </w:p>
        </w:tc>
      </w:tr>
      <w:tr>
        <w:tc>
          <w:tcPr>
            <w:tcW w:type="dxa" w:w="2608"/>
          </w:tcPr>
          <w:p>
            <w:r/>
            <w:r>
              <w:rPr>
                <w:b/>
                <w:sz w:val="15"/>
              </w:rPr>
              <w:t>Iluvatar 9903</w:t>
            </w:r>
          </w:p>
        </w:tc>
        <w:tc>
          <w:tcPr>
            <w:tcW w:type="dxa" w:w="964"/>
          </w:tcPr>
          <w:p>
            <w:pPr>
              <w:jc w:val="right"/>
            </w:pPr>
            <w:r/>
            <w:r>
              <w:rPr>
                <w:sz w:val="15"/>
              </w:rPr>
              <w:t>49x</w:t>
            </w:r>
          </w:p>
        </w:tc>
        <w:tc>
          <w:tcPr>
            <w:tcW w:type="dxa" w:w="1077"/>
          </w:tcPr>
          <w:p>
            <w:pPr>
              <w:jc w:val="right"/>
            </w:pPr>
            <w:r/>
            <w:r>
              <w:rPr>
                <w:sz w:val="15"/>
              </w:rPr>
              <w:t>145x</w:t>
            </w:r>
          </w:p>
        </w:tc>
        <w:tc>
          <w:tcPr>
            <w:tcW w:type="dxa" w:w="850"/>
          </w:tcPr>
          <w:p>
            <w:pPr>
              <w:jc w:val="right"/>
            </w:pPr>
            <w:r/>
            <w:r>
              <w:rPr>
                <w:sz w:val="15"/>
              </w:rPr>
              <w:t>n/m</w:t>
            </w:r>
          </w:p>
        </w:tc>
        <w:tc>
          <w:tcPr>
            <w:tcW w:type="dxa" w:w="1304"/>
          </w:tcPr>
          <w:p>
            <w:pPr>
              <w:jc w:val="right"/>
            </w:pPr>
            <w:r/>
            <w:r>
              <w:rPr>
                <w:sz w:val="15"/>
              </w:rPr>
              <w:t>+192%</w:t>
            </w:r>
          </w:p>
        </w:tc>
        <w:tc>
          <w:tcPr>
            <w:tcW w:type="dxa" w:w="907"/>
          </w:tcPr>
          <w:p>
            <w:pPr>
              <w:jc w:val="right"/>
            </w:pPr>
            <w:r/>
            <w:r>
              <w:rPr>
                <w:sz w:val="15"/>
              </w:rPr>
              <w:t>17%</w:t>
            </w:r>
          </w:p>
        </w:tc>
        <w:tc>
          <w:tcPr>
            <w:tcW w:type="dxa" w:w="850"/>
          </w:tcPr>
          <w:p>
            <w:pPr>
              <w:jc w:val="right"/>
            </w:pPr>
            <w:r/>
            <w:r>
              <w:rPr>
                <w:sz w:val="15"/>
              </w:rPr>
              <w:t>−19%</w:t>
            </w:r>
          </w:p>
        </w:tc>
        <w:tc>
          <w:tcPr>
            <w:tcW w:type="dxa" w:w="1984"/>
          </w:tcPr>
          <w:p>
            <w:pPr>
              <w:jc w:val="right"/>
            </w:pPr>
            <w:r/>
            <w:r>
              <w:rPr>
                <w:sz w:val="15"/>
              </w:rPr>
              <w:t>GPU</w:t>
            </w:r>
          </w:p>
        </w:tc>
      </w:tr>
      <w:tr>
        <w:tc>
          <w:tcPr>
            <w:tcW w:type="dxa" w:w="2608"/>
            <w:shd w:val="clear" w:color="auto" w:fill="F2F5F9"/>
          </w:tcPr>
          <w:p>
            <w:r/>
            <w:r>
              <w:rPr>
                <w:b/>
                <w:sz w:val="15"/>
              </w:rPr>
              <w:t>SENASIC 6675</w:t>
            </w:r>
          </w:p>
        </w:tc>
        <w:tc>
          <w:tcPr>
            <w:tcW w:type="dxa" w:w="964"/>
            <w:shd w:val="clear" w:color="auto" w:fill="F2F5F9"/>
          </w:tcPr>
          <w:p>
            <w:pPr>
              <w:jc w:val="right"/>
            </w:pPr>
            <w:r/>
            <w:r>
              <w:rPr>
                <w:sz w:val="15"/>
              </w:rPr>
              <w:t>14.4x</w:t>
            </w:r>
          </w:p>
        </w:tc>
        <w:tc>
          <w:tcPr>
            <w:tcW w:type="dxa" w:w="1077"/>
            <w:shd w:val="clear" w:color="auto" w:fill="F2F5F9"/>
          </w:tcPr>
          <w:p>
            <w:pPr>
              <w:jc w:val="right"/>
            </w:pPr>
            <w:r/>
            <w:r>
              <w:rPr>
                <w:sz w:val="15"/>
              </w:rPr>
              <w:t>48x</w:t>
            </w:r>
          </w:p>
        </w:tc>
        <w:tc>
          <w:tcPr>
            <w:tcW w:type="dxa" w:w="850"/>
            <w:shd w:val="clear" w:color="auto" w:fill="F2F5F9"/>
          </w:tcPr>
          <w:p>
            <w:pPr>
              <w:jc w:val="right"/>
            </w:pPr>
            <w:r/>
            <w:r>
              <w:rPr>
                <w:sz w:val="15"/>
              </w:rPr>
              <w:t>n/m</w:t>
            </w:r>
          </w:p>
        </w:tc>
        <w:tc>
          <w:tcPr>
            <w:tcW w:type="dxa" w:w="1304"/>
            <w:shd w:val="clear" w:color="auto" w:fill="F2F5F9"/>
          </w:tcPr>
          <w:p>
            <w:pPr>
              <w:jc w:val="right"/>
            </w:pPr>
            <w:r/>
            <w:r>
              <w:rPr>
                <w:sz w:val="15"/>
              </w:rPr>
              <w:t>+37%</w:t>
            </w:r>
          </w:p>
        </w:tc>
        <w:tc>
          <w:tcPr>
            <w:tcW w:type="dxa" w:w="907"/>
            <w:shd w:val="clear" w:color="auto" w:fill="F2F5F9"/>
          </w:tcPr>
          <w:p>
            <w:pPr>
              <w:jc w:val="right"/>
            </w:pPr>
            <w:r/>
            <w:r>
              <w:rPr>
                <w:sz w:val="15"/>
              </w:rPr>
              <w:t>32%</w:t>
            </w:r>
          </w:p>
        </w:tc>
        <w:tc>
          <w:tcPr>
            <w:tcW w:type="dxa" w:w="850"/>
            <w:shd w:val="clear" w:color="auto" w:fill="F2F5F9"/>
          </w:tcPr>
          <w:p>
            <w:pPr>
              <w:jc w:val="right"/>
            </w:pPr>
            <w:r/>
            <w:r>
              <w:rPr>
                <w:sz w:val="15"/>
              </w:rPr>
              <w:t>+29%</w:t>
            </w:r>
          </w:p>
        </w:tc>
        <w:tc>
          <w:tcPr>
            <w:tcW w:type="dxa" w:w="1984"/>
            <w:shd w:val="clear" w:color="auto" w:fill="F2F5F9"/>
          </w:tcPr>
          <w:p>
            <w:pPr>
              <w:jc w:val="right"/>
            </w:pPr>
            <w:r/>
            <w:r>
              <w:rPr>
                <w:sz w:val="15"/>
              </w:rPr>
              <w:t>sensor chips; +127% day one</w:t>
            </w:r>
          </w:p>
        </w:tc>
      </w:tr>
      <w:tr>
        <w:tc>
          <w:tcPr>
            <w:tcW w:type="dxa" w:w="2608"/>
          </w:tcPr>
          <w:p>
            <w:r/>
            <w:r>
              <w:rPr>
                <w:b/>
                <w:sz w:val="15"/>
              </w:rPr>
              <w:t>Gpixel 3277</w:t>
            </w:r>
          </w:p>
        </w:tc>
        <w:tc>
          <w:tcPr>
            <w:tcW w:type="dxa" w:w="964"/>
          </w:tcPr>
          <w:p>
            <w:pPr>
              <w:jc w:val="right"/>
            </w:pPr>
            <w:r/>
            <w:r>
              <w:rPr>
                <w:sz w:val="15"/>
              </w:rPr>
              <w:t>24.5x</w:t>
            </w:r>
          </w:p>
        </w:tc>
        <w:tc>
          <w:tcPr>
            <w:tcW w:type="dxa" w:w="1077"/>
          </w:tcPr>
          <w:p>
            <w:pPr>
              <w:jc w:val="right"/>
            </w:pPr>
            <w:r/>
            <w:r>
              <w:rPr>
                <w:sz w:val="15"/>
              </w:rPr>
              <w:t>35x</w:t>
            </w:r>
          </w:p>
        </w:tc>
        <w:tc>
          <w:tcPr>
            <w:tcW w:type="dxa" w:w="850"/>
          </w:tcPr>
          <w:p>
            <w:pPr>
              <w:jc w:val="right"/>
            </w:pPr>
            <w:r/>
            <w:r>
              <w:rPr>
                <w:sz w:val="15"/>
              </w:rPr>
              <w:t>61x</w:t>
            </w:r>
          </w:p>
        </w:tc>
        <w:tc>
          <w:tcPr>
            <w:tcW w:type="dxa" w:w="1304"/>
          </w:tcPr>
          <w:p>
            <w:pPr>
              <w:jc w:val="right"/>
            </w:pPr>
            <w:r/>
            <w:r>
              <w:rPr>
                <w:sz w:val="15"/>
              </w:rPr>
              <w:t>+78%</w:t>
            </w:r>
          </w:p>
        </w:tc>
        <w:tc>
          <w:tcPr>
            <w:tcW w:type="dxa" w:w="907"/>
          </w:tcPr>
          <w:p>
            <w:pPr>
              <w:jc w:val="right"/>
            </w:pPr>
            <w:r/>
            <w:r>
              <w:rPr>
                <w:sz w:val="15"/>
              </w:rPr>
              <w:t>69%</w:t>
            </w:r>
          </w:p>
        </w:tc>
        <w:tc>
          <w:tcPr>
            <w:tcW w:type="dxa" w:w="850"/>
          </w:tcPr>
          <w:p>
            <w:pPr>
              <w:jc w:val="right"/>
            </w:pPr>
            <w:r/>
            <w:r>
              <w:rPr>
                <w:sz w:val="15"/>
              </w:rPr>
              <w:t>+84%</w:t>
            </w:r>
          </w:p>
        </w:tc>
        <w:tc>
          <w:tcPr>
            <w:tcW w:type="dxa" w:w="1984"/>
          </w:tcPr>
          <w:p>
            <w:pPr>
              <w:jc w:val="right"/>
            </w:pPr>
            <w:r/>
            <w:r>
              <w:rPr>
                <w:sz w:val="15"/>
              </w:rPr>
              <w:t>CMOS sensors, profitable</w:t>
            </w:r>
          </w:p>
        </w:tc>
      </w:tr>
    </w:tbl>
    <w:p>
      <w:pPr>
        <w:spacing w:after="40"/>
      </w:pPr>
    </w:p>
    <w:p>
      <w:pPr>
        <w:pStyle w:val="Heading2"/>
      </w:pPr>
      <w:r>
        <w:t>A-share peers</w:t>
      </w:r>
    </w:p>
    <w:tbl>
      <w:tblPr>
        <w:tblStyle w:val="TableGrid"/>
        <w:tblW w:type="auto" w:w="0"/>
        <w:jc w:val="center"/>
        <w:tblLayout w:type="fixed"/>
        <w:tblLook w:firstColumn="1" w:firstRow="1" w:lastColumn="0" w:lastRow="0" w:noHBand="0" w:noVBand="1" w:val="04A0"/>
      </w:tblPr>
      <w:tblGrid>
        <w:gridCol w:w="2494"/>
        <w:gridCol w:w="1077"/>
        <w:gridCol w:w="1304"/>
        <w:gridCol w:w="1191"/>
        <w:gridCol w:w="1417"/>
        <w:gridCol w:w="964"/>
        <w:gridCol w:w="2211"/>
      </w:tblGrid>
      <w:tr>
        <w:tc>
          <w:tcPr>
            <w:tcW w:type="dxa" w:w="2494"/>
            <w:shd w:val="clear" w:color="auto" w:fill="1F3A5F"/>
          </w:tcPr>
          <w:p>
            <w:r/>
            <w:r>
              <w:rPr>
                <w:b/>
                <w:color w:val="FFFFFF"/>
                <w:sz w:val="16"/>
              </w:rPr>
            </w:r>
          </w:p>
        </w:tc>
        <w:tc>
          <w:tcPr>
            <w:tcW w:type="dxa" w:w="1077"/>
            <w:shd w:val="clear" w:color="auto" w:fill="1F3A5F"/>
          </w:tcPr>
          <w:p>
            <w:pPr>
              <w:jc w:val="right"/>
            </w:pPr>
            <w:r/>
            <w:r>
              <w:rPr>
                <w:b/>
                <w:color w:val="FFFFFF"/>
                <w:sz w:val="16"/>
              </w:rPr>
              <w:t>P/S TTM</w:t>
            </w:r>
          </w:p>
        </w:tc>
        <w:tc>
          <w:tcPr>
            <w:tcW w:type="dxa" w:w="1304"/>
            <w:shd w:val="clear" w:color="auto" w:fill="1F3A5F"/>
          </w:tcPr>
          <w:p>
            <w:pPr>
              <w:jc w:val="right"/>
            </w:pPr>
            <w:r/>
            <w:r>
              <w:rPr>
                <w:b/>
                <w:color w:val="FFFFFF"/>
                <w:sz w:val="16"/>
              </w:rPr>
              <w:t>P/E TTM</w:t>
            </w:r>
          </w:p>
        </w:tc>
        <w:tc>
          <w:tcPr>
            <w:tcW w:type="dxa" w:w="1191"/>
            <w:shd w:val="clear" w:color="auto" w:fill="1F3A5F"/>
          </w:tcPr>
          <w:p>
            <w:pPr>
              <w:jc w:val="right"/>
            </w:pPr>
            <w:r/>
            <w:r>
              <w:rPr>
                <w:b/>
                <w:color w:val="FFFFFF"/>
                <w:sz w:val="16"/>
              </w:rPr>
              <w:t>P/E on 2x 1H26</w:t>
            </w:r>
          </w:p>
        </w:tc>
        <w:tc>
          <w:tcPr>
            <w:tcW w:type="dxa" w:w="1417"/>
            <w:shd w:val="clear" w:color="auto" w:fill="1F3A5F"/>
          </w:tcPr>
          <w:p>
            <w:pPr>
              <w:jc w:val="right"/>
            </w:pPr>
            <w:r/>
            <w:r>
              <w:rPr>
                <w:b/>
                <w:color w:val="FFFFFF"/>
                <w:sz w:val="16"/>
              </w:rPr>
              <w:t>Revenue growth (1H26)</w:t>
            </w:r>
          </w:p>
        </w:tc>
        <w:tc>
          <w:tcPr>
            <w:tcW w:type="dxa" w:w="964"/>
            <w:shd w:val="clear" w:color="auto" w:fill="1F3A5F"/>
          </w:tcPr>
          <w:p>
            <w:pPr>
              <w:jc w:val="right"/>
            </w:pPr>
            <w:r/>
            <w:r>
              <w:rPr>
                <w:b/>
                <w:color w:val="FFFFFF"/>
                <w:sz w:val="16"/>
              </w:rPr>
              <w:t>Gross margin</w:t>
            </w:r>
          </w:p>
        </w:tc>
        <w:tc>
          <w:tcPr>
            <w:tcW w:type="dxa" w:w="2211"/>
            <w:shd w:val="clear" w:color="auto" w:fill="1F3A5F"/>
          </w:tcPr>
          <w:p>
            <w:pPr>
              <w:jc w:val="right"/>
            </w:pPr>
            <w:r/>
            <w:r>
              <w:rPr>
                <w:b/>
                <w:color w:val="FFFFFF"/>
                <w:sz w:val="16"/>
              </w:rPr>
              <w:t>What it is</w:t>
            </w:r>
          </w:p>
        </w:tc>
      </w:tr>
      <w:tr>
        <w:tc>
          <w:tcPr>
            <w:tcW w:type="dxa" w:w="2494"/>
          </w:tcPr>
          <w:p>
            <w:r/>
            <w:r>
              <w:rPr>
                <w:b/>
                <w:sz w:val="16"/>
              </w:rPr>
              <w:t>ESWIN at HK$1.48 to 1.59</w:t>
            </w:r>
          </w:p>
        </w:tc>
        <w:tc>
          <w:tcPr>
            <w:tcW w:type="dxa" w:w="1077"/>
          </w:tcPr>
          <w:p>
            <w:pPr>
              <w:jc w:val="right"/>
            </w:pPr>
            <w:r/>
            <w:r>
              <w:rPr>
                <w:sz w:val="16"/>
              </w:rPr>
              <w:t>11.1 to 11.9x</w:t>
            </w:r>
          </w:p>
        </w:tc>
        <w:tc>
          <w:tcPr>
            <w:tcW w:type="dxa" w:w="1304"/>
          </w:tcPr>
          <w:p>
            <w:pPr>
              <w:jc w:val="right"/>
            </w:pPr>
            <w:r/>
            <w:r>
              <w:rPr>
                <w:sz w:val="16"/>
              </w:rPr>
              <w:t>n/m</w:t>
            </w:r>
          </w:p>
        </w:tc>
        <w:tc>
          <w:tcPr>
            <w:tcW w:type="dxa" w:w="1191"/>
          </w:tcPr>
          <w:p>
            <w:pPr>
              <w:jc w:val="right"/>
            </w:pPr>
            <w:r/>
            <w:r>
              <w:rPr>
                <w:sz w:val="16"/>
              </w:rPr>
              <w:t>n/m</w:t>
            </w:r>
          </w:p>
        </w:tc>
        <w:tc>
          <w:tcPr>
            <w:tcW w:type="dxa" w:w="1417"/>
          </w:tcPr>
          <w:p>
            <w:pPr>
              <w:jc w:val="right"/>
            </w:pPr>
            <w:r/>
            <w:r>
              <w:rPr>
                <w:sz w:val="16"/>
              </w:rPr>
              <w:t>+18% (−28% ex one-off)</w:t>
            </w:r>
          </w:p>
        </w:tc>
        <w:tc>
          <w:tcPr>
            <w:tcW w:type="dxa" w:w="964"/>
          </w:tcPr>
          <w:p>
            <w:pPr>
              <w:jc w:val="right"/>
            </w:pPr>
            <w:r/>
            <w:r>
              <w:rPr>
                <w:sz w:val="16"/>
              </w:rPr>
              <w:t>15 to 19%</w:t>
            </w:r>
          </w:p>
        </w:tc>
        <w:tc>
          <w:tcPr>
            <w:tcW w:type="dxa" w:w="2211"/>
          </w:tcPr>
          <w:p>
            <w:pPr>
              <w:jc w:val="right"/>
            </w:pPr>
            <w:r/>
            <w:r>
              <w:rPr>
                <w:sz w:val="16"/>
              </w:rPr>
            </w:r>
          </w:p>
        </w:tc>
      </w:tr>
      <w:tr>
        <w:tc>
          <w:tcPr>
            <w:tcW w:type="dxa" w:w="2494"/>
            <w:shd w:val="clear" w:color="auto" w:fill="E8EEF5"/>
          </w:tcPr>
          <w:p>
            <w:r/>
            <w:r>
              <w:rPr>
                <w:b/>
                <w:i/>
                <w:color w:val="1F3A5F"/>
                <w:sz w:val="16"/>
              </w:rPr>
              <w:t>Display / HMI</w:t>
            </w:r>
          </w:p>
        </w:tc>
        <w:tc>
          <w:tcPr>
            <w:tcW w:type="dxa" w:w="1077"/>
            <w:shd w:val="clear" w:color="auto" w:fill="E8EEF5"/>
          </w:tcPr>
          <w:p>
            <w:pPr>
              <w:jc w:val="right"/>
            </w:pPr>
            <w:r/>
            <w:r>
              <w:rPr>
                <w:i/>
                <w:color w:val="1F3A5F"/>
                <w:sz w:val="16"/>
              </w:rPr>
            </w:r>
          </w:p>
        </w:tc>
        <w:tc>
          <w:tcPr>
            <w:tcW w:type="dxa" w:w="1304"/>
            <w:shd w:val="clear" w:color="auto" w:fill="E8EEF5"/>
          </w:tcPr>
          <w:p>
            <w:pPr>
              <w:jc w:val="right"/>
            </w:pPr>
            <w:r/>
            <w:r>
              <w:rPr>
                <w:i/>
                <w:color w:val="1F3A5F"/>
                <w:sz w:val="16"/>
              </w:rPr>
            </w:r>
          </w:p>
        </w:tc>
        <w:tc>
          <w:tcPr>
            <w:tcW w:type="dxa" w:w="1191"/>
            <w:shd w:val="clear" w:color="auto" w:fill="E8EEF5"/>
          </w:tcPr>
          <w:p>
            <w:pPr>
              <w:jc w:val="right"/>
            </w:pPr>
            <w:r/>
            <w:r>
              <w:rPr>
                <w:i/>
                <w:color w:val="1F3A5F"/>
                <w:sz w:val="16"/>
              </w:rPr>
            </w:r>
          </w:p>
        </w:tc>
        <w:tc>
          <w:tcPr>
            <w:tcW w:type="dxa" w:w="1417"/>
            <w:shd w:val="clear" w:color="auto" w:fill="E8EEF5"/>
          </w:tcPr>
          <w:p>
            <w:pPr>
              <w:jc w:val="right"/>
            </w:pPr>
            <w:r/>
            <w:r>
              <w:rPr>
                <w:i/>
                <w:color w:val="1F3A5F"/>
                <w:sz w:val="16"/>
              </w:rPr>
            </w:r>
          </w:p>
        </w:tc>
        <w:tc>
          <w:tcPr>
            <w:tcW w:type="dxa" w:w="964"/>
            <w:shd w:val="clear" w:color="auto" w:fill="E8EEF5"/>
          </w:tcPr>
          <w:p>
            <w:pPr>
              <w:jc w:val="right"/>
            </w:pPr>
            <w:r/>
            <w:r>
              <w:rPr>
                <w:i/>
                <w:color w:val="1F3A5F"/>
                <w:sz w:val="16"/>
              </w:rPr>
            </w:r>
          </w:p>
        </w:tc>
        <w:tc>
          <w:tcPr>
            <w:tcW w:type="dxa" w:w="2211"/>
            <w:shd w:val="clear" w:color="auto" w:fill="E8EEF5"/>
          </w:tcPr>
          <w:p>
            <w:pPr>
              <w:jc w:val="right"/>
            </w:pPr>
            <w:r/>
            <w:r>
              <w:rPr>
                <w:i/>
                <w:color w:val="1F3A5F"/>
                <w:sz w:val="16"/>
              </w:rPr>
            </w:r>
          </w:p>
        </w:tc>
      </w:tr>
      <w:tr>
        <w:tc>
          <w:tcPr>
            <w:tcW w:type="dxa" w:w="2494"/>
          </w:tcPr>
          <w:p>
            <w:r/>
            <w:r>
              <w:rPr>
                <w:b/>
                <w:sz w:val="16"/>
              </w:rPr>
              <w:t>Tiandeyu 688252</w:t>
            </w:r>
          </w:p>
        </w:tc>
        <w:tc>
          <w:tcPr>
            <w:tcW w:type="dxa" w:w="1077"/>
          </w:tcPr>
          <w:p>
            <w:pPr>
              <w:jc w:val="right"/>
            </w:pPr>
            <w:r/>
            <w:r>
              <w:rPr>
                <w:sz w:val="16"/>
              </w:rPr>
              <w:t>3.9x</w:t>
            </w:r>
          </w:p>
        </w:tc>
        <w:tc>
          <w:tcPr>
            <w:tcW w:type="dxa" w:w="1304"/>
          </w:tcPr>
          <w:p>
            <w:pPr>
              <w:jc w:val="right"/>
            </w:pPr>
            <w:r/>
            <w:r>
              <w:rPr>
                <w:sz w:val="16"/>
              </w:rPr>
              <w:t>39x</w:t>
            </w:r>
          </w:p>
        </w:tc>
        <w:tc>
          <w:tcPr>
            <w:tcW w:type="dxa" w:w="1191"/>
          </w:tcPr>
          <w:p>
            <w:pPr>
              <w:jc w:val="right"/>
            </w:pPr>
            <w:r/>
            <w:r>
              <w:rPr>
                <w:sz w:val="16"/>
              </w:rPr>
              <w:t>31x</w:t>
            </w:r>
          </w:p>
        </w:tc>
        <w:tc>
          <w:tcPr>
            <w:tcW w:type="dxa" w:w="1417"/>
          </w:tcPr>
          <w:p>
            <w:pPr>
              <w:jc w:val="right"/>
            </w:pPr>
            <w:r/>
            <w:r>
              <w:rPr>
                <w:sz w:val="16"/>
              </w:rPr>
              <w:t>0%</w:t>
            </w:r>
          </w:p>
        </w:tc>
        <w:tc>
          <w:tcPr>
            <w:tcW w:type="dxa" w:w="964"/>
          </w:tcPr>
          <w:p>
            <w:pPr>
              <w:jc w:val="right"/>
            </w:pPr>
            <w:r/>
            <w:r>
              <w:rPr>
                <w:sz w:val="16"/>
              </w:rPr>
              <w:t>25%</w:t>
            </w:r>
          </w:p>
        </w:tc>
        <w:tc>
          <w:tcPr>
            <w:tcW w:type="dxa" w:w="2211"/>
          </w:tcPr>
          <w:p>
            <w:pPr>
              <w:jc w:val="right"/>
            </w:pPr>
            <w:r/>
            <w:r>
              <w:rPr>
                <w:sz w:val="16"/>
              </w:rPr>
              <w:t>display driver ICs</w:t>
            </w:r>
          </w:p>
        </w:tc>
      </w:tr>
      <w:tr>
        <w:tc>
          <w:tcPr>
            <w:tcW w:type="dxa" w:w="2494"/>
            <w:shd w:val="clear" w:color="auto" w:fill="F2F5F9"/>
          </w:tcPr>
          <w:p>
            <w:r/>
            <w:r>
              <w:rPr>
                <w:b/>
                <w:sz w:val="16"/>
              </w:rPr>
              <w:t>Xinxiangwei 688593</w:t>
            </w:r>
          </w:p>
        </w:tc>
        <w:tc>
          <w:tcPr>
            <w:tcW w:type="dxa" w:w="1077"/>
            <w:shd w:val="clear" w:color="auto" w:fill="F2F5F9"/>
          </w:tcPr>
          <w:p>
            <w:pPr>
              <w:jc w:val="right"/>
            </w:pPr>
            <w:r/>
            <w:r>
              <w:rPr>
                <w:sz w:val="16"/>
              </w:rPr>
              <w:t>21.5x</w:t>
            </w:r>
          </w:p>
        </w:tc>
        <w:tc>
          <w:tcPr>
            <w:tcW w:type="dxa" w:w="1304"/>
            <w:shd w:val="clear" w:color="auto" w:fill="F2F5F9"/>
          </w:tcPr>
          <w:p>
            <w:pPr>
              <w:jc w:val="right"/>
            </w:pPr>
            <w:r/>
            <w:r>
              <w:rPr>
                <w:sz w:val="16"/>
              </w:rPr>
              <w:t>n/m (tiny profit)</w:t>
            </w:r>
          </w:p>
        </w:tc>
        <w:tc>
          <w:tcPr>
            <w:tcW w:type="dxa" w:w="1191"/>
            <w:shd w:val="clear" w:color="auto" w:fill="F2F5F9"/>
          </w:tcPr>
          <w:p>
            <w:pPr>
              <w:jc w:val="right"/>
            </w:pPr>
            <w:r/>
            <w:r>
              <w:rPr>
                <w:sz w:val="16"/>
              </w:rPr>
              <w:t>n/m</w:t>
            </w:r>
          </w:p>
        </w:tc>
        <w:tc>
          <w:tcPr>
            <w:tcW w:type="dxa" w:w="1417"/>
            <w:shd w:val="clear" w:color="auto" w:fill="F2F5F9"/>
          </w:tcPr>
          <w:p>
            <w:pPr>
              <w:jc w:val="right"/>
            </w:pPr>
            <w:r/>
            <w:r>
              <w:rPr>
                <w:sz w:val="16"/>
              </w:rPr>
              <w:t>+9%</w:t>
            </w:r>
          </w:p>
        </w:tc>
        <w:tc>
          <w:tcPr>
            <w:tcW w:type="dxa" w:w="964"/>
            <w:shd w:val="clear" w:color="auto" w:fill="F2F5F9"/>
          </w:tcPr>
          <w:p>
            <w:pPr>
              <w:jc w:val="right"/>
            </w:pPr>
            <w:r/>
            <w:r>
              <w:rPr>
                <w:sz w:val="16"/>
              </w:rPr>
              <w:t>16%</w:t>
            </w:r>
          </w:p>
        </w:tc>
        <w:tc>
          <w:tcPr>
            <w:tcW w:type="dxa" w:w="2211"/>
            <w:shd w:val="clear" w:color="auto" w:fill="F2F5F9"/>
          </w:tcPr>
          <w:p>
            <w:pPr>
              <w:jc w:val="right"/>
            </w:pPr>
            <w:r/>
            <w:r>
              <w:rPr>
                <w:sz w:val="16"/>
              </w:rPr>
              <w:t>display driver ICs, barely profitable</w:t>
            </w:r>
          </w:p>
        </w:tc>
      </w:tr>
      <w:tr>
        <w:tc>
          <w:tcPr>
            <w:tcW w:type="dxa" w:w="2494"/>
          </w:tcPr>
          <w:p>
            <w:r/>
            <w:r>
              <w:rPr>
                <w:b/>
                <w:sz w:val="16"/>
              </w:rPr>
              <w:t>Zhongying 300327</w:t>
            </w:r>
          </w:p>
        </w:tc>
        <w:tc>
          <w:tcPr>
            <w:tcW w:type="dxa" w:w="1077"/>
          </w:tcPr>
          <w:p>
            <w:pPr>
              <w:jc w:val="right"/>
            </w:pPr>
            <w:r/>
            <w:r>
              <w:rPr>
                <w:sz w:val="16"/>
              </w:rPr>
              <w:t>6.4x</w:t>
            </w:r>
          </w:p>
        </w:tc>
        <w:tc>
          <w:tcPr>
            <w:tcW w:type="dxa" w:w="1304"/>
          </w:tcPr>
          <w:p>
            <w:pPr>
              <w:jc w:val="right"/>
            </w:pPr>
            <w:r/>
            <w:r>
              <w:rPr>
                <w:sz w:val="16"/>
              </w:rPr>
              <w:t>96x</w:t>
            </w:r>
          </w:p>
        </w:tc>
        <w:tc>
          <w:tcPr>
            <w:tcW w:type="dxa" w:w="1191"/>
          </w:tcPr>
          <w:p>
            <w:pPr>
              <w:jc w:val="right"/>
            </w:pPr>
            <w:r/>
            <w:r>
              <w:rPr>
                <w:sz w:val="16"/>
              </w:rPr>
              <w:t>61x</w:t>
            </w:r>
          </w:p>
        </w:tc>
        <w:tc>
          <w:tcPr>
            <w:tcW w:type="dxa" w:w="1417"/>
          </w:tcPr>
          <w:p>
            <w:pPr>
              <w:jc w:val="right"/>
            </w:pPr>
            <w:r/>
            <w:r>
              <w:rPr>
                <w:sz w:val="16"/>
              </w:rPr>
              <w:t>+11%</w:t>
            </w:r>
          </w:p>
        </w:tc>
        <w:tc>
          <w:tcPr>
            <w:tcW w:type="dxa" w:w="964"/>
          </w:tcPr>
          <w:p>
            <w:pPr>
              <w:jc w:val="right"/>
            </w:pPr>
            <w:r/>
            <w:r>
              <w:rPr>
                <w:sz w:val="16"/>
              </w:rPr>
              <w:t>30%</w:t>
            </w:r>
          </w:p>
        </w:tc>
        <w:tc>
          <w:tcPr>
            <w:tcW w:type="dxa" w:w="2211"/>
          </w:tcPr>
          <w:p>
            <w:pPr>
              <w:jc w:val="right"/>
            </w:pPr>
            <w:r/>
            <w:r>
              <w:rPr>
                <w:sz w:val="16"/>
              </w:rPr>
              <w:t>MCUs and display drivers</w:t>
            </w:r>
          </w:p>
        </w:tc>
      </w:tr>
      <w:tr>
        <w:tc>
          <w:tcPr>
            <w:tcW w:type="dxa" w:w="2494"/>
            <w:shd w:val="clear" w:color="auto" w:fill="F2F5F9"/>
          </w:tcPr>
          <w:p>
            <w:r/>
            <w:r>
              <w:rPr>
                <w:b/>
                <w:sz w:val="16"/>
              </w:rPr>
              <w:t>GalaxyCore 688728</w:t>
            </w:r>
          </w:p>
        </w:tc>
        <w:tc>
          <w:tcPr>
            <w:tcW w:type="dxa" w:w="1077"/>
            <w:shd w:val="clear" w:color="auto" w:fill="F2F5F9"/>
          </w:tcPr>
          <w:p>
            <w:pPr>
              <w:jc w:val="right"/>
            </w:pPr>
            <w:r/>
            <w:r>
              <w:rPr>
                <w:sz w:val="16"/>
              </w:rPr>
              <w:t>4.4x</w:t>
            </w:r>
          </w:p>
        </w:tc>
        <w:tc>
          <w:tcPr>
            <w:tcW w:type="dxa" w:w="1304"/>
            <w:shd w:val="clear" w:color="auto" w:fill="F2F5F9"/>
          </w:tcPr>
          <w:p>
            <w:pPr>
              <w:jc w:val="right"/>
            </w:pPr>
            <w:r/>
            <w:r>
              <w:rPr>
                <w:sz w:val="16"/>
              </w:rPr>
              <w:t>n/m (tiny profit)</w:t>
            </w:r>
          </w:p>
        </w:tc>
        <w:tc>
          <w:tcPr>
            <w:tcW w:type="dxa" w:w="1191"/>
            <w:shd w:val="clear" w:color="auto" w:fill="F2F5F9"/>
          </w:tcPr>
          <w:p>
            <w:pPr>
              <w:jc w:val="right"/>
            </w:pPr>
            <w:r/>
            <w:r>
              <w:rPr>
                <w:sz w:val="16"/>
              </w:rPr>
              <w:t>n/m</w:t>
            </w:r>
          </w:p>
        </w:tc>
        <w:tc>
          <w:tcPr>
            <w:tcW w:type="dxa" w:w="1417"/>
            <w:shd w:val="clear" w:color="auto" w:fill="F2F5F9"/>
          </w:tcPr>
          <w:p>
            <w:pPr>
              <w:jc w:val="right"/>
            </w:pPr>
            <w:r/>
            <w:r>
              <w:rPr>
                <w:sz w:val="16"/>
              </w:rPr>
              <w:t>+14%</w:t>
            </w:r>
          </w:p>
        </w:tc>
        <w:tc>
          <w:tcPr>
            <w:tcW w:type="dxa" w:w="964"/>
            <w:shd w:val="clear" w:color="auto" w:fill="F2F5F9"/>
          </w:tcPr>
          <w:p>
            <w:pPr>
              <w:jc w:val="right"/>
            </w:pPr>
            <w:r/>
            <w:r>
              <w:rPr>
                <w:sz w:val="16"/>
              </w:rPr>
              <w:t>20%</w:t>
            </w:r>
          </w:p>
        </w:tc>
        <w:tc>
          <w:tcPr>
            <w:tcW w:type="dxa" w:w="2211"/>
            <w:shd w:val="clear" w:color="auto" w:fill="F2F5F9"/>
          </w:tcPr>
          <w:p>
            <w:pPr>
              <w:jc w:val="right"/>
            </w:pPr>
            <w:r/>
            <w:r>
              <w:rPr>
                <w:sz w:val="16"/>
              </w:rPr>
              <w:t>image sensors and drivers</w:t>
            </w:r>
          </w:p>
        </w:tc>
      </w:tr>
      <w:tr>
        <w:tc>
          <w:tcPr>
            <w:tcW w:type="dxa" w:w="2494"/>
            <w:shd w:val="clear" w:color="auto" w:fill="E8EEF5"/>
          </w:tcPr>
          <w:p>
            <w:r/>
            <w:r>
              <w:rPr>
                <w:b/>
                <w:i/>
                <w:color w:val="1F3A5F"/>
                <w:sz w:val="16"/>
              </w:rPr>
              <w:t>Application processors / SoCs</w:t>
            </w:r>
          </w:p>
        </w:tc>
        <w:tc>
          <w:tcPr>
            <w:tcW w:type="dxa" w:w="1077"/>
            <w:shd w:val="clear" w:color="auto" w:fill="E8EEF5"/>
          </w:tcPr>
          <w:p>
            <w:pPr>
              <w:jc w:val="right"/>
            </w:pPr>
            <w:r/>
            <w:r>
              <w:rPr>
                <w:i/>
                <w:color w:val="1F3A5F"/>
                <w:sz w:val="16"/>
              </w:rPr>
            </w:r>
          </w:p>
        </w:tc>
        <w:tc>
          <w:tcPr>
            <w:tcW w:type="dxa" w:w="1304"/>
            <w:shd w:val="clear" w:color="auto" w:fill="E8EEF5"/>
          </w:tcPr>
          <w:p>
            <w:pPr>
              <w:jc w:val="right"/>
            </w:pPr>
            <w:r/>
            <w:r>
              <w:rPr>
                <w:i/>
                <w:color w:val="1F3A5F"/>
                <w:sz w:val="16"/>
              </w:rPr>
            </w:r>
          </w:p>
        </w:tc>
        <w:tc>
          <w:tcPr>
            <w:tcW w:type="dxa" w:w="1191"/>
            <w:shd w:val="clear" w:color="auto" w:fill="E8EEF5"/>
          </w:tcPr>
          <w:p>
            <w:pPr>
              <w:jc w:val="right"/>
            </w:pPr>
            <w:r/>
            <w:r>
              <w:rPr>
                <w:i/>
                <w:color w:val="1F3A5F"/>
                <w:sz w:val="16"/>
              </w:rPr>
            </w:r>
          </w:p>
        </w:tc>
        <w:tc>
          <w:tcPr>
            <w:tcW w:type="dxa" w:w="1417"/>
            <w:shd w:val="clear" w:color="auto" w:fill="E8EEF5"/>
          </w:tcPr>
          <w:p>
            <w:pPr>
              <w:jc w:val="right"/>
            </w:pPr>
            <w:r/>
            <w:r>
              <w:rPr>
                <w:i/>
                <w:color w:val="1F3A5F"/>
                <w:sz w:val="16"/>
              </w:rPr>
            </w:r>
          </w:p>
        </w:tc>
        <w:tc>
          <w:tcPr>
            <w:tcW w:type="dxa" w:w="964"/>
            <w:shd w:val="clear" w:color="auto" w:fill="E8EEF5"/>
          </w:tcPr>
          <w:p>
            <w:pPr>
              <w:jc w:val="right"/>
            </w:pPr>
            <w:r/>
            <w:r>
              <w:rPr>
                <w:i/>
                <w:color w:val="1F3A5F"/>
                <w:sz w:val="16"/>
              </w:rPr>
            </w:r>
          </w:p>
        </w:tc>
        <w:tc>
          <w:tcPr>
            <w:tcW w:type="dxa" w:w="2211"/>
            <w:shd w:val="clear" w:color="auto" w:fill="E8EEF5"/>
          </w:tcPr>
          <w:p>
            <w:pPr>
              <w:jc w:val="right"/>
            </w:pPr>
            <w:r/>
            <w:r>
              <w:rPr>
                <w:i/>
                <w:color w:val="1F3A5F"/>
                <w:sz w:val="16"/>
              </w:rPr>
            </w:r>
          </w:p>
        </w:tc>
      </w:tr>
      <w:tr>
        <w:tc>
          <w:tcPr>
            <w:tcW w:type="dxa" w:w="2494"/>
            <w:shd w:val="clear" w:color="auto" w:fill="F2F5F9"/>
          </w:tcPr>
          <w:p>
            <w:r/>
            <w:r>
              <w:rPr>
                <w:b/>
                <w:sz w:val="16"/>
              </w:rPr>
              <w:t>Allwinner 300458</w:t>
            </w:r>
          </w:p>
        </w:tc>
        <w:tc>
          <w:tcPr>
            <w:tcW w:type="dxa" w:w="1077"/>
            <w:shd w:val="clear" w:color="auto" w:fill="F2F5F9"/>
          </w:tcPr>
          <w:p>
            <w:pPr>
              <w:jc w:val="right"/>
            </w:pPr>
            <w:r/>
            <w:r>
              <w:rPr>
                <w:sz w:val="16"/>
              </w:rPr>
              <w:t>9.5x</w:t>
            </w:r>
          </w:p>
        </w:tc>
        <w:tc>
          <w:tcPr>
            <w:tcW w:type="dxa" w:w="1304"/>
            <w:shd w:val="clear" w:color="auto" w:fill="F2F5F9"/>
          </w:tcPr>
          <w:p>
            <w:pPr>
              <w:jc w:val="right"/>
            </w:pPr>
            <w:r/>
            <w:r>
              <w:rPr>
                <w:sz w:val="16"/>
              </w:rPr>
              <w:t>55x</w:t>
            </w:r>
          </w:p>
        </w:tc>
        <w:tc>
          <w:tcPr>
            <w:tcW w:type="dxa" w:w="1191"/>
            <w:shd w:val="clear" w:color="auto" w:fill="F2F5F9"/>
          </w:tcPr>
          <w:p>
            <w:pPr>
              <w:jc w:val="right"/>
            </w:pPr>
            <w:r/>
            <w:r>
              <w:rPr>
                <w:sz w:val="16"/>
              </w:rPr>
              <w:t>33x</w:t>
            </w:r>
          </w:p>
        </w:tc>
        <w:tc>
          <w:tcPr>
            <w:tcW w:type="dxa" w:w="1417"/>
            <w:shd w:val="clear" w:color="auto" w:fill="F2F5F9"/>
          </w:tcPr>
          <w:p>
            <w:pPr>
              <w:jc w:val="right"/>
            </w:pPr>
            <w:r/>
            <w:r>
              <w:rPr>
                <w:sz w:val="16"/>
              </w:rPr>
              <w:t>+41%</w:t>
            </w:r>
          </w:p>
        </w:tc>
        <w:tc>
          <w:tcPr>
            <w:tcW w:type="dxa" w:w="964"/>
            <w:shd w:val="clear" w:color="auto" w:fill="F2F5F9"/>
          </w:tcPr>
          <w:p>
            <w:pPr>
              <w:jc w:val="right"/>
            </w:pPr>
            <w:r/>
            <w:r>
              <w:rPr>
                <w:sz w:val="16"/>
              </w:rPr>
              <w:t>43%</w:t>
            </w:r>
          </w:p>
        </w:tc>
        <w:tc>
          <w:tcPr>
            <w:tcW w:type="dxa" w:w="2211"/>
            <w:shd w:val="clear" w:color="auto" w:fill="F2F5F9"/>
          </w:tcPr>
          <w:p>
            <w:pPr>
              <w:jc w:val="right"/>
            </w:pPr>
            <w:r/>
            <w:r>
              <w:rPr>
                <w:sz w:val="16"/>
              </w:rPr>
              <w:t>SoCs, incl. RISC-V lines</w:t>
            </w:r>
          </w:p>
        </w:tc>
      </w:tr>
      <w:tr>
        <w:tc>
          <w:tcPr>
            <w:tcW w:type="dxa" w:w="2494"/>
          </w:tcPr>
          <w:p>
            <w:r/>
            <w:r>
              <w:rPr>
                <w:b/>
                <w:sz w:val="16"/>
              </w:rPr>
              <w:t>Rockchip 603893</w:t>
            </w:r>
          </w:p>
        </w:tc>
        <w:tc>
          <w:tcPr>
            <w:tcW w:type="dxa" w:w="1077"/>
          </w:tcPr>
          <w:p>
            <w:pPr>
              <w:jc w:val="right"/>
            </w:pPr>
            <w:r/>
            <w:r>
              <w:rPr>
                <w:sz w:val="16"/>
              </w:rPr>
              <w:t>17.2x</w:t>
            </w:r>
          </w:p>
        </w:tc>
        <w:tc>
          <w:tcPr>
            <w:tcW w:type="dxa" w:w="1304"/>
          </w:tcPr>
          <w:p>
            <w:pPr>
              <w:jc w:val="right"/>
            </w:pPr>
            <w:r/>
            <w:r>
              <w:rPr>
                <w:sz w:val="16"/>
              </w:rPr>
              <w:t>66x</w:t>
            </w:r>
          </w:p>
        </w:tc>
        <w:tc>
          <w:tcPr>
            <w:tcW w:type="dxa" w:w="1191"/>
          </w:tcPr>
          <w:p>
            <w:pPr>
              <w:jc w:val="right"/>
            </w:pPr>
            <w:r/>
            <w:r>
              <w:rPr>
                <w:sz w:val="16"/>
              </w:rPr>
              <w:t>52x</w:t>
            </w:r>
          </w:p>
        </w:tc>
        <w:tc>
          <w:tcPr>
            <w:tcW w:type="dxa" w:w="1417"/>
          </w:tcPr>
          <w:p>
            <w:pPr>
              <w:jc w:val="right"/>
            </w:pPr>
            <w:r/>
            <w:r>
              <w:rPr>
                <w:sz w:val="16"/>
              </w:rPr>
              <w:t>+41%</w:t>
            </w:r>
          </w:p>
        </w:tc>
        <w:tc>
          <w:tcPr>
            <w:tcW w:type="dxa" w:w="964"/>
          </w:tcPr>
          <w:p>
            <w:pPr>
              <w:jc w:val="right"/>
            </w:pPr>
            <w:r/>
            <w:r>
              <w:rPr>
                <w:sz w:val="16"/>
              </w:rPr>
              <w:t>46%</w:t>
            </w:r>
          </w:p>
        </w:tc>
        <w:tc>
          <w:tcPr>
            <w:tcW w:type="dxa" w:w="2211"/>
          </w:tcPr>
          <w:p>
            <w:pPr>
              <w:jc w:val="right"/>
            </w:pPr>
            <w:r/>
            <w:r>
              <w:rPr>
                <w:sz w:val="16"/>
              </w:rPr>
              <w:t>SoCs for AIoT / auto</w:t>
            </w:r>
          </w:p>
        </w:tc>
      </w:tr>
      <w:tr>
        <w:tc>
          <w:tcPr>
            <w:tcW w:type="dxa" w:w="2494"/>
            <w:shd w:val="clear" w:color="auto" w:fill="F2F5F9"/>
          </w:tcPr>
          <w:p>
            <w:r/>
            <w:r>
              <w:rPr>
                <w:b/>
                <w:sz w:val="16"/>
              </w:rPr>
              <w:t>Amlogic 688099</w:t>
            </w:r>
          </w:p>
        </w:tc>
        <w:tc>
          <w:tcPr>
            <w:tcW w:type="dxa" w:w="1077"/>
            <w:shd w:val="clear" w:color="auto" w:fill="F2F5F9"/>
          </w:tcPr>
          <w:p>
            <w:pPr>
              <w:jc w:val="right"/>
            </w:pPr>
            <w:r/>
            <w:r>
              <w:rPr>
                <w:sz w:val="16"/>
              </w:rPr>
              <w:t>4.9x</w:t>
            </w:r>
          </w:p>
        </w:tc>
        <w:tc>
          <w:tcPr>
            <w:tcW w:type="dxa" w:w="1304"/>
            <w:shd w:val="clear" w:color="auto" w:fill="F2F5F9"/>
          </w:tcPr>
          <w:p>
            <w:pPr>
              <w:jc w:val="right"/>
            </w:pPr>
            <w:r/>
            <w:r>
              <w:rPr>
                <w:sz w:val="16"/>
              </w:rPr>
              <w:t>39x</w:t>
            </w:r>
          </w:p>
        </w:tc>
        <w:tc>
          <w:tcPr>
            <w:tcW w:type="dxa" w:w="1191"/>
            <w:shd w:val="clear" w:color="auto" w:fill="F2F5F9"/>
          </w:tcPr>
          <w:p>
            <w:pPr>
              <w:jc w:val="right"/>
            </w:pPr>
            <w:r/>
            <w:r>
              <w:rPr>
                <w:sz w:val="16"/>
              </w:rPr>
              <w:t>31x</w:t>
            </w:r>
          </w:p>
        </w:tc>
        <w:tc>
          <w:tcPr>
            <w:tcW w:type="dxa" w:w="1417"/>
            <w:shd w:val="clear" w:color="auto" w:fill="F2F5F9"/>
          </w:tcPr>
          <w:p>
            <w:pPr>
              <w:jc w:val="right"/>
            </w:pPr>
            <w:r/>
            <w:r>
              <w:rPr>
                <w:sz w:val="16"/>
              </w:rPr>
              <w:t>+32%</w:t>
            </w:r>
          </w:p>
        </w:tc>
        <w:tc>
          <w:tcPr>
            <w:tcW w:type="dxa" w:w="964"/>
            <w:shd w:val="clear" w:color="auto" w:fill="F2F5F9"/>
          </w:tcPr>
          <w:p>
            <w:pPr>
              <w:jc w:val="right"/>
            </w:pPr>
            <w:r/>
            <w:r>
              <w:rPr>
                <w:sz w:val="16"/>
              </w:rPr>
              <w:t>39%</w:t>
            </w:r>
          </w:p>
        </w:tc>
        <w:tc>
          <w:tcPr>
            <w:tcW w:type="dxa" w:w="2211"/>
            <w:shd w:val="clear" w:color="auto" w:fill="F2F5F9"/>
          </w:tcPr>
          <w:p>
            <w:pPr>
              <w:jc w:val="right"/>
            </w:pPr>
            <w:r/>
            <w:r>
              <w:rPr>
                <w:sz w:val="16"/>
              </w:rPr>
              <w:t>TV / media SoCs</w:t>
            </w:r>
          </w:p>
        </w:tc>
      </w:tr>
      <w:tr>
        <w:tc>
          <w:tcPr>
            <w:tcW w:type="dxa" w:w="2494"/>
          </w:tcPr>
          <w:p>
            <w:r/>
            <w:r>
              <w:rPr>
                <w:b/>
                <w:sz w:val="16"/>
              </w:rPr>
              <w:t>Ingenic 300223</w:t>
            </w:r>
          </w:p>
        </w:tc>
        <w:tc>
          <w:tcPr>
            <w:tcW w:type="dxa" w:w="1077"/>
          </w:tcPr>
          <w:p>
            <w:pPr>
              <w:jc w:val="right"/>
            </w:pPr>
            <w:r/>
            <w:r>
              <w:rPr>
                <w:sz w:val="16"/>
              </w:rPr>
              <w:t>10.7x</w:t>
            </w:r>
          </w:p>
        </w:tc>
        <w:tc>
          <w:tcPr>
            <w:tcW w:type="dxa" w:w="1304"/>
          </w:tcPr>
          <w:p>
            <w:pPr>
              <w:jc w:val="right"/>
            </w:pPr>
            <w:r/>
            <w:r>
              <w:rPr>
                <w:sz w:val="16"/>
              </w:rPr>
              <w:t>51x</w:t>
            </w:r>
          </w:p>
        </w:tc>
        <w:tc>
          <w:tcPr>
            <w:tcW w:type="dxa" w:w="1191"/>
          </w:tcPr>
          <w:p>
            <w:pPr>
              <w:jc w:val="right"/>
            </w:pPr>
            <w:r/>
            <w:r>
              <w:rPr>
                <w:sz w:val="16"/>
              </w:rPr>
              <w:t>29x</w:t>
            </w:r>
          </w:p>
        </w:tc>
        <w:tc>
          <w:tcPr>
            <w:tcW w:type="dxa" w:w="1417"/>
          </w:tcPr>
          <w:p>
            <w:pPr>
              <w:jc w:val="right"/>
            </w:pPr>
            <w:r/>
            <w:r>
              <w:rPr>
                <w:sz w:val="16"/>
              </w:rPr>
              <w:t>+76%</w:t>
            </w:r>
          </w:p>
        </w:tc>
        <w:tc>
          <w:tcPr>
            <w:tcW w:type="dxa" w:w="964"/>
          </w:tcPr>
          <w:p>
            <w:pPr>
              <w:jc w:val="right"/>
            </w:pPr>
            <w:r/>
            <w:r>
              <w:rPr>
                <w:sz w:val="16"/>
              </w:rPr>
              <w:t>52%</w:t>
            </w:r>
          </w:p>
        </w:tc>
        <w:tc>
          <w:tcPr>
            <w:tcW w:type="dxa" w:w="2211"/>
          </w:tcPr>
          <w:p>
            <w:pPr>
              <w:jc w:val="right"/>
            </w:pPr>
            <w:r/>
            <w:r>
              <w:rPr>
                <w:sz w:val="16"/>
              </w:rPr>
              <w:t>MIPS/RISC-V-style CPU heritage, memory</w:t>
            </w:r>
          </w:p>
        </w:tc>
      </w:tr>
      <w:tr>
        <w:tc>
          <w:tcPr>
            <w:tcW w:type="dxa" w:w="2494"/>
            <w:shd w:val="clear" w:color="auto" w:fill="F2F5F9"/>
          </w:tcPr>
          <w:p>
            <w:r/>
            <w:r>
              <w:rPr>
                <w:b/>
                <w:sz w:val="16"/>
              </w:rPr>
              <w:t>Fortior 688279</w:t>
            </w:r>
          </w:p>
        </w:tc>
        <w:tc>
          <w:tcPr>
            <w:tcW w:type="dxa" w:w="1077"/>
            <w:shd w:val="clear" w:color="auto" w:fill="F2F5F9"/>
          </w:tcPr>
          <w:p>
            <w:pPr>
              <w:jc w:val="right"/>
            </w:pPr>
            <w:r/>
            <w:r>
              <w:rPr>
                <w:sz w:val="16"/>
              </w:rPr>
              <w:t>24.5x</w:t>
            </w:r>
          </w:p>
        </w:tc>
        <w:tc>
          <w:tcPr>
            <w:tcW w:type="dxa" w:w="1304"/>
            <w:shd w:val="clear" w:color="auto" w:fill="F2F5F9"/>
          </w:tcPr>
          <w:p>
            <w:pPr>
              <w:jc w:val="right"/>
            </w:pPr>
            <w:r/>
            <w:r>
              <w:rPr>
                <w:sz w:val="16"/>
              </w:rPr>
              <w:t>78x</w:t>
            </w:r>
          </w:p>
        </w:tc>
        <w:tc>
          <w:tcPr>
            <w:tcW w:type="dxa" w:w="1191"/>
            <w:shd w:val="clear" w:color="auto" w:fill="F2F5F9"/>
          </w:tcPr>
          <w:p>
            <w:pPr>
              <w:jc w:val="right"/>
            </w:pPr>
            <w:r/>
            <w:r>
              <w:rPr>
                <w:sz w:val="16"/>
              </w:rPr>
              <w:t>59x</w:t>
            </w:r>
          </w:p>
        </w:tc>
        <w:tc>
          <w:tcPr>
            <w:tcW w:type="dxa" w:w="1417"/>
            <w:shd w:val="clear" w:color="auto" w:fill="F2F5F9"/>
          </w:tcPr>
          <w:p>
            <w:pPr>
              <w:jc w:val="right"/>
            </w:pPr>
            <w:r/>
            <w:r>
              <w:rPr>
                <w:sz w:val="16"/>
              </w:rPr>
              <w:t>+50%</w:t>
            </w:r>
          </w:p>
        </w:tc>
        <w:tc>
          <w:tcPr>
            <w:tcW w:type="dxa" w:w="964"/>
            <w:shd w:val="clear" w:color="auto" w:fill="F2F5F9"/>
          </w:tcPr>
          <w:p>
            <w:pPr>
              <w:jc w:val="right"/>
            </w:pPr>
            <w:r/>
            <w:r>
              <w:rPr>
                <w:sz w:val="16"/>
              </w:rPr>
              <w:t>52%</w:t>
            </w:r>
          </w:p>
        </w:tc>
        <w:tc>
          <w:tcPr>
            <w:tcW w:type="dxa" w:w="2211"/>
            <w:shd w:val="clear" w:color="auto" w:fill="F2F5F9"/>
          </w:tcPr>
          <w:p>
            <w:pPr>
              <w:jc w:val="right"/>
            </w:pPr>
            <w:r/>
            <w:r>
              <w:rPr>
                <w:sz w:val="16"/>
              </w:rPr>
              <w:t>motor-driver chips (A-share of 1304)</w:t>
            </w:r>
          </w:p>
        </w:tc>
      </w:tr>
      <w:tr>
        <w:tc>
          <w:tcPr>
            <w:tcW w:type="dxa" w:w="2494"/>
          </w:tcPr>
          <w:p>
            <w:r/>
            <w:r>
              <w:rPr>
                <w:b/>
                <w:sz w:val="16"/>
              </w:rPr>
              <w:t>NSING 300077</w:t>
            </w:r>
          </w:p>
        </w:tc>
        <w:tc>
          <w:tcPr>
            <w:tcW w:type="dxa" w:w="1077"/>
          </w:tcPr>
          <w:p>
            <w:pPr>
              <w:jc w:val="right"/>
            </w:pPr>
            <w:r/>
            <w:r>
              <w:rPr>
                <w:sz w:val="16"/>
              </w:rPr>
              <w:t>8.9x</w:t>
            </w:r>
          </w:p>
        </w:tc>
        <w:tc>
          <w:tcPr>
            <w:tcW w:type="dxa" w:w="1304"/>
          </w:tcPr>
          <w:p>
            <w:pPr>
              <w:jc w:val="right"/>
            </w:pPr>
            <w:r/>
            <w:r>
              <w:rPr>
                <w:sz w:val="16"/>
              </w:rPr>
              <w:t>n/m</w:t>
            </w:r>
          </w:p>
        </w:tc>
        <w:tc>
          <w:tcPr>
            <w:tcW w:type="dxa" w:w="1191"/>
          </w:tcPr>
          <w:p>
            <w:pPr>
              <w:jc w:val="right"/>
            </w:pPr>
            <w:r/>
            <w:r>
              <w:rPr>
                <w:sz w:val="16"/>
              </w:rPr>
              <w:t>n/m</w:t>
            </w:r>
          </w:p>
        </w:tc>
        <w:tc>
          <w:tcPr>
            <w:tcW w:type="dxa" w:w="1417"/>
          </w:tcPr>
          <w:p>
            <w:pPr>
              <w:jc w:val="right"/>
            </w:pPr>
            <w:r/>
            <w:r>
              <w:rPr>
                <w:sz w:val="16"/>
              </w:rPr>
              <w:t>+43%</w:t>
            </w:r>
          </w:p>
        </w:tc>
        <w:tc>
          <w:tcPr>
            <w:tcW w:type="dxa" w:w="964"/>
          </w:tcPr>
          <w:p>
            <w:pPr>
              <w:jc w:val="right"/>
            </w:pPr>
            <w:r/>
            <w:r>
              <w:rPr>
                <w:sz w:val="16"/>
              </w:rPr>
              <w:t>21%</w:t>
            </w:r>
          </w:p>
        </w:tc>
        <w:tc>
          <w:tcPr>
            <w:tcW w:type="dxa" w:w="2211"/>
          </w:tcPr>
          <w:p>
            <w:pPr>
              <w:jc w:val="right"/>
            </w:pPr>
            <w:r/>
            <w:r>
              <w:rPr>
                <w:sz w:val="16"/>
              </w:rPr>
              <w:t>MCU / security</w:t>
            </w:r>
          </w:p>
        </w:tc>
      </w:tr>
      <w:tr>
        <w:tc>
          <w:tcPr>
            <w:tcW w:type="dxa" w:w="2494"/>
            <w:shd w:val="clear" w:color="auto" w:fill="F2F5F9"/>
          </w:tcPr>
          <w:p>
            <w:r/>
            <w:r>
              <w:rPr>
                <w:b/>
                <w:sz w:val="16"/>
              </w:rPr>
              <w:t>GigaDevice 603986</w:t>
            </w:r>
          </w:p>
        </w:tc>
        <w:tc>
          <w:tcPr>
            <w:tcW w:type="dxa" w:w="1077"/>
            <w:shd w:val="clear" w:color="auto" w:fill="F2F5F9"/>
          </w:tcPr>
          <w:p>
            <w:pPr>
              <w:jc w:val="right"/>
            </w:pPr>
            <w:r/>
            <w:r>
              <w:rPr>
                <w:sz w:val="16"/>
              </w:rPr>
              <w:t>15.6x</w:t>
            </w:r>
          </w:p>
        </w:tc>
        <w:tc>
          <w:tcPr>
            <w:tcW w:type="dxa" w:w="1304"/>
            <w:shd w:val="clear" w:color="auto" w:fill="F2F5F9"/>
          </w:tcPr>
          <w:p>
            <w:pPr>
              <w:jc w:val="right"/>
            </w:pPr>
            <w:r/>
            <w:r>
              <w:rPr>
                <w:sz w:val="16"/>
              </w:rPr>
              <w:t>33x</w:t>
            </w:r>
          </w:p>
        </w:tc>
        <w:tc>
          <w:tcPr>
            <w:tcW w:type="dxa" w:w="1191"/>
            <w:shd w:val="clear" w:color="auto" w:fill="F2F5F9"/>
          </w:tcPr>
          <w:p>
            <w:pPr>
              <w:jc w:val="right"/>
            </w:pPr>
            <w:r/>
            <w:r>
              <w:rPr>
                <w:sz w:val="16"/>
              </w:rPr>
              <w:t>19x</w:t>
            </w:r>
          </w:p>
        </w:tc>
        <w:tc>
          <w:tcPr>
            <w:tcW w:type="dxa" w:w="1417"/>
            <w:shd w:val="clear" w:color="auto" w:fill="F2F5F9"/>
          </w:tcPr>
          <w:p>
            <w:pPr>
              <w:jc w:val="right"/>
            </w:pPr>
            <w:r/>
            <w:r>
              <w:rPr>
                <w:sz w:val="16"/>
              </w:rPr>
              <w:t>+179%</w:t>
            </w:r>
          </w:p>
        </w:tc>
        <w:tc>
          <w:tcPr>
            <w:tcW w:type="dxa" w:w="964"/>
            <w:shd w:val="clear" w:color="auto" w:fill="F2F5F9"/>
          </w:tcPr>
          <w:p>
            <w:pPr>
              <w:jc w:val="right"/>
            </w:pPr>
            <w:r/>
            <w:r>
              <w:rPr>
                <w:sz w:val="16"/>
              </w:rPr>
              <w:t>63%</w:t>
            </w:r>
          </w:p>
        </w:tc>
        <w:tc>
          <w:tcPr>
            <w:tcW w:type="dxa" w:w="2211"/>
            <w:shd w:val="clear" w:color="auto" w:fill="F2F5F9"/>
          </w:tcPr>
          <w:p>
            <w:pPr>
              <w:jc w:val="right"/>
            </w:pPr>
            <w:r/>
            <w:r>
              <w:rPr>
                <w:sz w:val="16"/>
              </w:rPr>
              <w:t>memory / MCU</w:t>
            </w:r>
          </w:p>
        </w:tc>
      </w:tr>
      <w:tr>
        <w:tc>
          <w:tcPr>
            <w:tcW w:type="dxa" w:w="2494"/>
          </w:tcPr>
          <w:p>
            <w:r/>
            <w:r>
              <w:rPr>
                <w:b/>
                <w:sz w:val="16"/>
              </w:rPr>
              <w:t>OmniVision 603501</w:t>
            </w:r>
          </w:p>
        </w:tc>
        <w:tc>
          <w:tcPr>
            <w:tcW w:type="dxa" w:w="1077"/>
          </w:tcPr>
          <w:p>
            <w:pPr>
              <w:jc w:val="right"/>
            </w:pPr>
            <w:r/>
            <w:r>
              <w:rPr>
                <w:sz w:val="16"/>
              </w:rPr>
              <w:t>3.5x</w:t>
            </w:r>
          </w:p>
        </w:tc>
        <w:tc>
          <w:tcPr>
            <w:tcW w:type="dxa" w:w="1304"/>
          </w:tcPr>
          <w:p>
            <w:pPr>
              <w:jc w:val="right"/>
            </w:pPr>
            <w:r/>
            <w:r>
              <w:rPr>
                <w:sz w:val="16"/>
              </w:rPr>
              <w:t>31x</w:t>
            </w:r>
          </w:p>
        </w:tc>
        <w:tc>
          <w:tcPr>
            <w:tcW w:type="dxa" w:w="1191"/>
          </w:tcPr>
          <w:p>
            <w:pPr>
              <w:jc w:val="right"/>
            </w:pPr>
            <w:r/>
            <w:r>
              <w:rPr>
                <w:sz w:val="16"/>
              </w:rPr>
              <w:t>41x</w:t>
            </w:r>
          </w:p>
        </w:tc>
        <w:tc>
          <w:tcPr>
            <w:tcW w:type="dxa" w:w="1417"/>
          </w:tcPr>
          <w:p>
            <w:pPr>
              <w:jc w:val="right"/>
            </w:pPr>
            <w:r/>
            <w:r>
              <w:rPr>
                <w:sz w:val="16"/>
              </w:rPr>
              <w:t>0%</w:t>
            </w:r>
          </w:p>
        </w:tc>
        <w:tc>
          <w:tcPr>
            <w:tcW w:type="dxa" w:w="964"/>
          </w:tcPr>
          <w:p>
            <w:pPr>
              <w:jc w:val="right"/>
            </w:pPr>
            <w:r/>
            <w:r>
              <w:rPr>
                <w:sz w:val="16"/>
              </w:rPr>
              <w:t>29%</w:t>
            </w:r>
          </w:p>
        </w:tc>
        <w:tc>
          <w:tcPr>
            <w:tcW w:type="dxa" w:w="2211"/>
          </w:tcPr>
          <w:p>
            <w:pPr>
              <w:jc w:val="right"/>
            </w:pPr>
            <w:r/>
            <w:r>
              <w:rPr>
                <w:sz w:val="16"/>
              </w:rPr>
              <w:t>image sensors</w:t>
            </w:r>
          </w:p>
        </w:tc>
      </w:tr>
      <w:tr>
        <w:tc>
          <w:tcPr>
            <w:tcW w:type="dxa" w:w="2494"/>
            <w:shd w:val="clear" w:color="auto" w:fill="E8EEF5"/>
          </w:tcPr>
          <w:p>
            <w:r/>
            <w:r>
              <w:rPr>
                <w:b/>
                <w:i/>
                <w:color w:val="1F3A5F"/>
                <w:sz w:val="16"/>
              </w:rPr>
              <w:t>AI compute (for reference)</w:t>
            </w:r>
          </w:p>
        </w:tc>
        <w:tc>
          <w:tcPr>
            <w:tcW w:type="dxa" w:w="1077"/>
            <w:shd w:val="clear" w:color="auto" w:fill="E8EEF5"/>
          </w:tcPr>
          <w:p>
            <w:pPr>
              <w:jc w:val="right"/>
            </w:pPr>
            <w:r/>
            <w:r>
              <w:rPr>
                <w:i/>
                <w:color w:val="1F3A5F"/>
                <w:sz w:val="16"/>
              </w:rPr>
            </w:r>
          </w:p>
        </w:tc>
        <w:tc>
          <w:tcPr>
            <w:tcW w:type="dxa" w:w="1304"/>
            <w:shd w:val="clear" w:color="auto" w:fill="E8EEF5"/>
          </w:tcPr>
          <w:p>
            <w:pPr>
              <w:jc w:val="right"/>
            </w:pPr>
            <w:r/>
            <w:r>
              <w:rPr>
                <w:i/>
                <w:color w:val="1F3A5F"/>
                <w:sz w:val="16"/>
              </w:rPr>
            </w:r>
          </w:p>
        </w:tc>
        <w:tc>
          <w:tcPr>
            <w:tcW w:type="dxa" w:w="1191"/>
            <w:shd w:val="clear" w:color="auto" w:fill="E8EEF5"/>
          </w:tcPr>
          <w:p>
            <w:pPr>
              <w:jc w:val="right"/>
            </w:pPr>
            <w:r/>
            <w:r>
              <w:rPr>
                <w:i/>
                <w:color w:val="1F3A5F"/>
                <w:sz w:val="16"/>
              </w:rPr>
            </w:r>
          </w:p>
        </w:tc>
        <w:tc>
          <w:tcPr>
            <w:tcW w:type="dxa" w:w="1417"/>
            <w:shd w:val="clear" w:color="auto" w:fill="E8EEF5"/>
          </w:tcPr>
          <w:p>
            <w:pPr>
              <w:jc w:val="right"/>
            </w:pPr>
            <w:r/>
            <w:r>
              <w:rPr>
                <w:i/>
                <w:color w:val="1F3A5F"/>
                <w:sz w:val="16"/>
              </w:rPr>
            </w:r>
          </w:p>
        </w:tc>
        <w:tc>
          <w:tcPr>
            <w:tcW w:type="dxa" w:w="964"/>
            <w:shd w:val="clear" w:color="auto" w:fill="E8EEF5"/>
          </w:tcPr>
          <w:p>
            <w:pPr>
              <w:jc w:val="right"/>
            </w:pPr>
            <w:r/>
            <w:r>
              <w:rPr>
                <w:i/>
                <w:color w:val="1F3A5F"/>
                <w:sz w:val="16"/>
              </w:rPr>
            </w:r>
          </w:p>
        </w:tc>
        <w:tc>
          <w:tcPr>
            <w:tcW w:type="dxa" w:w="2211"/>
            <w:shd w:val="clear" w:color="auto" w:fill="E8EEF5"/>
          </w:tcPr>
          <w:p>
            <w:pPr>
              <w:jc w:val="right"/>
            </w:pPr>
            <w:r/>
            <w:r>
              <w:rPr>
                <w:i/>
                <w:color w:val="1F3A5F"/>
                <w:sz w:val="16"/>
              </w:rPr>
            </w:r>
          </w:p>
        </w:tc>
      </w:tr>
      <w:tr>
        <w:tc>
          <w:tcPr>
            <w:tcW w:type="dxa" w:w="2494"/>
          </w:tcPr>
          <w:p>
            <w:r/>
            <w:r>
              <w:rPr>
                <w:b/>
                <w:sz w:val="16"/>
              </w:rPr>
              <w:t>Cambricon 688256 / Hygon 688041</w:t>
            </w:r>
          </w:p>
        </w:tc>
        <w:tc>
          <w:tcPr>
            <w:tcW w:type="dxa" w:w="1077"/>
          </w:tcPr>
          <w:p>
            <w:pPr>
              <w:jc w:val="right"/>
            </w:pPr>
            <w:r/>
            <w:r>
              <w:rPr>
                <w:sz w:val="16"/>
              </w:rPr>
              <w:t>68x / 30x</w:t>
            </w:r>
          </w:p>
        </w:tc>
        <w:tc>
          <w:tcPr>
            <w:tcW w:type="dxa" w:w="1304"/>
          </w:tcPr>
          <w:p>
            <w:pPr>
              <w:jc w:val="right"/>
            </w:pPr>
            <w:r/>
            <w:r>
              <w:rPr>
                <w:sz w:val="16"/>
              </w:rPr>
              <w:t>197x / 175x</w:t>
            </w:r>
          </w:p>
        </w:tc>
        <w:tc>
          <w:tcPr>
            <w:tcW w:type="dxa" w:w="1191"/>
          </w:tcPr>
          <w:p>
            <w:pPr>
              <w:jc w:val="right"/>
            </w:pPr>
            <w:r/>
            <w:r>
              <w:rPr>
                <w:sz w:val="16"/>
              </w:rPr>
              <w:t>142x / 152x</w:t>
            </w:r>
          </w:p>
        </w:tc>
        <w:tc>
          <w:tcPr>
            <w:tcW w:type="dxa" w:w="1417"/>
          </w:tcPr>
          <w:p>
            <w:pPr>
              <w:jc w:val="right"/>
            </w:pPr>
            <w:r/>
            <w:r>
              <w:rPr>
                <w:sz w:val="16"/>
              </w:rPr>
              <w:t>+108% / +67%</w:t>
            </w:r>
          </w:p>
        </w:tc>
        <w:tc>
          <w:tcPr>
            <w:tcW w:type="dxa" w:w="964"/>
          </w:tcPr>
          <w:p>
            <w:pPr>
              <w:jc w:val="right"/>
            </w:pPr>
            <w:r/>
            <w:r>
              <w:rPr>
                <w:sz w:val="16"/>
              </w:rPr>
              <w:t>55% / 55%</w:t>
            </w:r>
          </w:p>
        </w:tc>
        <w:tc>
          <w:tcPr>
            <w:tcW w:type="dxa" w:w="2211"/>
          </w:tcPr>
          <w:p>
            <w:pPr>
              <w:jc w:val="right"/>
            </w:pPr>
            <w:r/>
            <w:r>
              <w:rPr>
                <w:sz w:val="16"/>
              </w:rPr>
              <w:t>the A-share AI premium</w:t>
            </w:r>
          </w:p>
        </w:tc>
      </w:tr>
    </w:tbl>
    <w:p>
      <w:pPr>
        <w:spacing w:after="40"/>
      </w:pPr>
    </w:p>
    <w:p>
      <w:pPr>
        <w:pStyle w:val="Heading2"/>
      </w:pPr>
      <w:r>
        <w:t>How we read the tables</w:t>
      </w:r>
    </w:p>
    <w:p>
      <w:pPr>
        <w:spacing w:after="80"/>
      </w:pPr>
      <w:r>
        <w:rPr>
          <w:i w:val="0"/>
        </w:rPr>
        <w:t>First, the business it is. Display driver and TCON companies trade at 3 to 4 times sales wherever they are listed and profitable: Novatek 3.3x, Himax 3.0x, Parade 2.7x, Tiandeyu 3.9x. The one loss-making display-chip name in Hong Kong, Viewtrix, gets 9.7x with revenue falling 30%, and that is a stock that opened up 92% in May and has given most of it back. ESWIN's HMI and multimedia lines, RMB2.0bn of 2025 revenue at a 16 to 18% margin and shrinking in 1Q26, belong in that group.</w:t>
      </w:r>
    </w:p>
    <w:p>
      <w:pPr>
        <w:spacing w:after="80"/>
      </w:pPr>
      <w:r>
        <w:rPr>
          <w:i w:val="0"/>
        </w:rPr>
        <w:t>Second, the story it is telling. The Hong Kong AI-chip names trade at 13 to 14x sales (Horizon, Axera) up to 38 to 49x (Biren, Iluvatar), and Black Sesame at 6x. ESWIN at 11 to 12x sales sits inside that range, which is the basis of the 'reasonable' argument. But those multiples are on businesses growing 80 to 2,000%, with the profitable or near-profitable ones (Horizon, 66% margin) at the bottom of the range. ESWIN's computing and connectivity lines were RMB383m of 2025 revenue, and the 1Q26 jump was one deal.</w:t>
      </w:r>
    </w:p>
    <w:p>
      <w:pPr>
        <w:spacing w:after="80"/>
      </w:pPr>
      <w:r>
        <w:rPr>
          <w:i w:val="0"/>
        </w:rPr>
        <w:t>Third, the fair measure. Because the margins are so different, price to gross profit is the honest comparison. ESWIN at 57 to 61x gross profit sits with Axera (55x), Viewtrix (67x) and Biren (78x), and far above Horizon (20x), Fortior (24x), GigaDevice (30x) or OmniVision (9x). Horizon has a 66% margin and RMB4.3bn of revenue; ESWIN has a 19% margin.</w:t>
      </w:r>
    </w:p>
    <w:p>
      <w:pPr>
        <w:spacing w:after="80"/>
      </w:pPr>
      <w:r>
        <w:rPr>
          <w:i w:val="0"/>
        </w:rPr>
        <w:t>What it should trade at. Sum of the parts: the display business (RMB2.0bn of revenue) at 3 to 4x sales is RMB6 to 8bn; be generous and use 6x for a Hong Kong listing and it is RMB12bn. The RISC-V computing and connectivity business on a RMB500 to 700m underlying run-rate at the Horizon/Axera 13x is RMB7 to 9bn, or at Black Sesame's 6x about RMB3.5 to 4bn. Cash net of debt is slightly negative before the raise. That gives RMB10 to 17bn for the company before the IPO money, RMB12 to 19bn after it, which is HK$14 to 22bn or HK$0.65 to 1.00 a share on 21.99bn shares. Using the generous 6x on the display side adds another HK$0.25 or so. The range is HK$1.48 to 1.59, i.e. HK$32.5 to 35.0bn. To justify HK$1.48 you need to put the loss-making AI-chip multiple on the whole company, display drivers included, and assume the RISC-V lines keep growing at 1Q26's headline rate without the one-off.</w:t>
      </w:r>
    </w:p>
    <w:p>
      <w:pPr>
        <w:pStyle w:val="Heading1"/>
      </w:pPr>
      <w:r>
        <w:t>4. The deal, and what to notice</w:t>
      </w:r>
    </w:p>
    <w:p>
      <w:pPr>
        <w:pStyle w:val="ListBullet"/>
        <w:spacing w:after="40"/>
      </w:pPr>
      <w:r>
        <w:t>Market cap. Several outlets (etnet's IPO sheet among them) quote HK$15.0 to 16.1bn. That is the H-share class (the 1.57bn new shares plus 8.59bn unlisted shares that convert). The prospectus's own table puts the whole company at HK$32,548m to 34,967m. Anyone valuing it off the smaller number is off by a factor of two.</w:t>
      </w:r>
    </w:p>
    <w:p>
      <w:pPr>
        <w:pStyle w:val="ListBullet"/>
        <w:spacing w:after="40"/>
      </w:pPr>
      <w:r>
        <w:t>Float. The offer is 7.14% of the company. Cornerstones take 47 to 50% of it, locked six months. So about 785m shares, HK$1.16bn, roughly 3.6% of the company, trade freely on day one. That is small enough to squeeze on a good day and to gap on a bad one. Then 8.59bn unlisted shares (38% of the company) convert to H shares after listing and come free at month twelve under PRC lock-up rules, with the cornerstones free at month six.</w:t>
      </w:r>
    </w:p>
    <w:p>
      <w:pPr>
        <w:pStyle w:val="ListBullet"/>
        <w:spacing w:after="40"/>
      </w:pPr>
      <w:r>
        <w:t>Cornerstone composition. HK$1,161m: Beijing E-Town and Hefei state funds HK$521m (45%), GBA Homeland HK$118m, two of the company's own packaging suppliers (Tongfu Micro and Chipmore) HK$230m (20%), the sponsor's asset-management affiliate HK$100m (needed a Rule 10.04 waiver as a close associate of an existing CITIC shareholder), and three arm's-length financial names for HK$193m. BOE is not in the book. No global long-only fund is in the book.</w:t>
      </w:r>
    </w:p>
    <w:p>
      <w:pPr>
        <w:pStyle w:val="ListBullet"/>
        <w:spacing w:after="40"/>
      </w:pPr>
      <w:r>
        <w:t>Pricing history. Series A (2020) RMB0.43 a share, B (2021) RMB0.59, C (2021) RMB1.00, D (June 2023) RMB1.14, and a further RMB250m Series D tranche in April 2025 at the same RMB1.14. The offer is 16% above a price first set in 2023. The 'RMB35bn unicorn' tag in the press is a ranking estimate, not a priced round; the Series D implies about RMB23bn.</w:t>
      </w:r>
    </w:p>
    <w:p>
      <w:pPr>
        <w:pStyle w:val="ListBullet"/>
        <w:spacing w:after="40"/>
      </w:pPr>
      <w:r>
        <w:t>Redemption rights held by ESWIN Group are suspended, not cancelled; they come back if the listing does not complete. The company's own redemption obligations were terminated in 2022, so there is no fair-value line in the P&amp;L (the adjusted loss adds back only share-based pay and listing costs).</w:t>
      </w:r>
    </w:p>
    <w:p>
      <w:pPr>
        <w:pStyle w:val="ListBullet"/>
        <w:spacing w:after="40"/>
      </w:pPr>
      <w:r>
        <w:t>No greenshoe and no stabilising manager; the only size mechanism is a 15% upsize option, which adds stock if demand is strong. The book runs seven days to 6 Oct across the National Day holiday. Brokers are lending at 0% with 90% loan ratios to fill it.</w:t>
      </w:r>
    </w:p>
    <w:p>
      <w:pPr>
        <w:pStyle w:val="ListBullet"/>
        <w:spacing w:after="40"/>
      </w:pPr>
      <w:r>
        <w:t>It lists on the market-cap/revenue test (Rule 8.05(3)), which it passes on BOE display-chip revenue. It did not use Chapter 18C.</w:t>
      </w:r>
    </w:p>
    <w:p>
      <w:pPr>
        <w:pStyle w:val="ListBullet"/>
        <w:spacing w:after="40"/>
      </w:pPr>
      <w:r>
        <w:t>Continuing connected transactions with ESWIN Group are small (leases, trademarks, property management). ESWIN Material, the group's silicon-wafer company, is separately listed on STAR and is described as non-competing.</w:t>
      </w:r>
    </w:p>
    <w:p>
      <w:pPr>
        <w:pStyle w:val="Heading1"/>
      </w:pPr>
      <w:r>
        <w:t>5. What others are saying</w:t>
      </w:r>
    </w:p>
    <w:p>
      <w:pPr>
        <w:pStyle w:val="ListBullet"/>
        <w:spacing w:after="40"/>
      </w:pPr>
      <w:r>
        <w:t>Brokers: no subscribe or avoid call in print as of tonight, day two of a seven-day book (辉立, 耀才, 艾德, 尊嘉, 华盛, 富途 all silent). These usually land in the last three days. Day-one margin HK$360m, 1.44x covered (同花顺); day two about 2.9x (华盛). For scale, this year's hot chip books closed at 400x to 5,000x (Viewtrix 3,560x, SENASIC 5,145x, Biren 2,348x); the dull ones (OmniVision 9x, Axera 105x) are the ones trading below issue.</w:t>
      </w:r>
    </w:p>
    <w:p>
      <w:pPr>
        <w:pStyle w:val="ListBullet"/>
        <w:spacing w:after="40"/>
      </w:pPr>
      <w:r>
        <w:t>One view doing the rounds, and the one to test: that the stock deserves a premium for scarcity as Hong Kong's first RISC-V listing but is priced within the chip-design sector's reasonable range. On price to sales that holds: 11 to 12x against Horizon 13x, Axera 14x, Fortior 12x, Rockchip 17x. Two things cut against it. The scarcity applies to 16 to 19% of the revenue (RMB454m of RISC-V chip sales, a 1.2% market share), not to the display business that is 82% of it. And on gross profit, which is the measure that adjusts for a 19% margin, it is at 57 to 61x, the top end of the sector, with Axera and Biren. So 'reasonable' depends on whether you value it as an AI-chip company or as what its accounts say it is.</w:t>
      </w:r>
    </w:p>
    <w:p>
      <w:pPr>
        <w:pStyle w:val="ListBullet"/>
        <w:spacing w:after="40"/>
      </w:pPr>
      <w:r>
        <w:t>Sceptical press. 观点网's piece frames it as 'the RISC-V story and the financial worries on the same stage' and calls it 'new-product ramp or revenue cliff': if the automotive and robotics customers scale, execution is unproven; if they do not, the concentration stays. 界面 ran 'dependent on a mysterious major customer, independence in question'. 虎嗅 picked up the flat Series D (a 2025 tranche at the 2023 price). The Sina IPO preview from March set out the cumulative RMB6bn of losses, the BOE dependence and the SMIC prepayment terms.</w:t>
      </w:r>
    </w:p>
    <w:p>
      <w:pPr>
        <w:pStyle w:val="ListBullet"/>
        <w:spacing w:after="40"/>
      </w:pPr>
      <w:r>
        <w:t>Retail (雪球). The post you sent is representative: 'high risk, high return', bearish on balance, on the basis of the loss history, negative operating cash flow, 'existential' funding dependence, BOE holding 'absolute dominance' over the revenue line, forced prepayment to SMIC, and RISC-V's immaturity versus ARM. The bull points it concedes are the 39% RISC-V market CAGR, the 130-plus commercialised solutions and Wang Dongsheng's record. 知乎 threads exist but are not readable off-platform.</w:t>
      </w:r>
    </w:p>
    <w:p>
      <w:pPr>
        <w:pStyle w:val="ListBullet"/>
        <w:spacing w:after="40"/>
      </w:pPr>
      <w:r>
        <w:t>Cornerstone read. Half the book, and it is state funds, the company's own suppliers and the sponsor's affiliate. That is the shape of a book that was not filled by independent institutional demand. Temasek-style anchors, global long-onlys and BOE itself are absent.</w:t>
      </w:r>
    </w:p>
    <w:p>
      <w:pPr>
        <w:pStyle w:val="ListBullet"/>
        <w:spacing w:after="40"/>
      </w:pPr>
      <w:r>
        <w:t>Tape. Hong Kong chip IPOs this year have been a strong trade for the profitable and the GPU names (GigaDevice +188%, Montage +175%, Biren +91%, Gpixel +84% since listing) and a poor one for the loss-making mid-caps with quiet books (Axera −19%, Iluvatar −19%, NSING −26%, OmniVision −33%). Black Sesame, the 2024 auto-AI-chip IPO, is −65%. Today's four debuts from last week's note: Kinwong +10%, Direct Drive +7%, RoboTechnik −5%, Red Avenue −9%.</w:t>
      </w:r>
    </w:p>
    <w:p>
      <w:pPr>
        <w:pStyle w:val="Heading1"/>
      </w:pPr>
      <w:r>
        <w:t>6. Our view</w:t>
      </w:r>
    </w:p>
    <w:p>
      <w:pPr>
        <w:pStyle w:val="ListBullet"/>
        <w:spacing w:after="40"/>
      </w:pPr>
      <w:r>
        <w:rPr>
          <w:b/>
        </w:rPr>
        <w:t xml:space="preserve">Fundamentals: </w:t>
      </w:r>
      <w:r>
        <w:t>a real company with real engineering and a credible founder, but the business that pays the bills is a low-margin display-chip supplier to one customer, with prices falling 44% in two years, and the improvement in the loss line has come from cutting R&amp;D and people. The RISC-V computing business is promising and still small, and its best quarter was one deal.</w:t>
      </w:r>
    </w:p>
    <w:p>
      <w:pPr>
        <w:pStyle w:val="ListBullet"/>
        <w:spacing w:after="40"/>
      </w:pPr>
      <w:r>
        <w:rPr>
          <w:b/>
        </w:rPr>
        <w:t xml:space="preserve">Valuation: </w:t>
      </w:r>
      <w:r>
        <w:t>expensive on any measure except price to sales against the loss-making AI-chip shelf. 11 to 12x sales and 57 to 61x gross profit for 19% margins and RMB1.2bn of adjusted losses. Fair value on a sum of the parts is HK$0.65 to 1.00 a share; the floor is HK$1.48.</w:t>
      </w:r>
    </w:p>
    <w:p>
      <w:pPr>
        <w:pStyle w:val="ListBullet"/>
        <w:spacing w:after="40"/>
      </w:pPr>
      <w:r>
        <w:rPr>
          <w:b/>
        </w:rPr>
        <w:t xml:space="preserve">Deal: </w:t>
      </w:r>
      <w:r>
        <w:t>a 7% float with half of it pre-placed to state and supply-chain money, no greenshoe, brokers lending at 0%, and a 38% unlisted-share conversion that comes free in a year. The company needed the cash (14 months on hand) and the sponsor priced a small float to get the deal done.</w:t>
      </w:r>
    </w:p>
    <w:p>
      <w:pPr>
        <w:pStyle w:val="ListBullet"/>
        <w:spacing w:after="40"/>
      </w:pPr>
      <w:r>
        <w:rPr>
          <w:b/>
        </w:rPr>
        <w:t xml:space="preserve">Bottom line: </w:t>
      </w:r>
      <w:r>
        <w:t>we would not own it at the range. As a debut trade it comes down to demand in the last two days of the book (5 to 6 Oct) and the 8 Oct grey market: a book still in low double digits prices at HK$1.48 and trades like Axera; a late surge to triple digits and the 3.6% float could squeeze it on day one. We would sell any strength, and look again after the FY26 results in March and the cornerstone unlock in April 2027, when we will know whether the automotive and AI SoC orders became revenue and the HMI margin found a floor.</w:t>
      </w:r>
    </w:p>
    <w:p>
      <w:pPr>
        <w:pStyle w:val="Heading2"/>
      </w:pPr>
      <w:r>
        <w:t>Dates</w:t>
      </w:r>
    </w:p>
    <w:p>
      <w:pPr>
        <w:pStyle w:val="ListBullet"/>
        <w:spacing w:after="40"/>
      </w:pPr>
      <w:r>
        <w:t>6 Oct (noon): book closes. 7 Oct: pricing. 8 Oct: allotment results; grey market 16:15 to 18:30. 9 Oct: listing. Six months: cornerstone lock-up ends (9 Apr 2027). Twelve months: all pre-IPO shares, including the 8.59bn converted unlisted shares, free to sell (9 Oct 2027).</w:t>
      </w:r>
    </w:p>
    <w:p>
      <w:pPr>
        <w:spacing w:after="80"/>
      </w:pPr>
      <w:r>
        <w:rPr>
          <w:i/>
          <w:sz w:val="17"/>
        </w:rPr>
        <w:t>Sources and method. Prospectus dated 28 Sep 2026 (HKEXnews) for all deal terms, financials, customer and cornerstone facts. Peer prices and reported financials from the Tencent and Eastmoney feeds at the 29 Sep close (A-share, H-share, US); Taiwan names from stockanalysis.com at the 29 Sep close. H-share price to gross profit is computed from reported gross profit (TTM). Margin data: 同花顺 (day one) and the 华盛 live board (day two). Press as cited (观点网, 界面, 虎嗅, 新浪, 21财经, 智通). The 雪球 post is the one supplied (user 3338215700). Retail views beyond that are not reachable off-platform and are not claimed.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JhengHe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