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SHEIN &amp; Mech-Mind — HK IPO Desk Note</w:t>
      </w:r>
    </w:p>
    <w:p>
      <w:r>
        <w:rPr>
          <w:i/>
          <w:color w:val="606060"/>
          <w:sz w:val="19"/>
        </w:rPr>
        <w:t>Both list Monday 1 September 2026  ·  Note date: 27 August 2026  ·  Returns quoted vs offer price unless stated</w:t>
      </w:r>
    </w:p>
    <w:p>
      <w:pPr>
        <w:pStyle w:val="Heading1"/>
      </w:pPr>
      <w:r>
        <w:t>1. SHEIN (625 HK)</w:t>
      </w:r>
    </w:p>
    <w:p>
      <w:pPr>
        <w:pStyle w:val="Heading2"/>
      </w:pPr>
      <w:r>
        <w:t>The deal</w:t>
      </w:r>
    </w:p>
    <w:p>
      <w:pPr>
        <w:pStyle w:val="ListBullet"/>
      </w:pPr>
      <w:r>
        <w:t xml:space="preserve">Raising ~US$1.7bn at roughly </w:t>
      </w:r>
      <w:r>
        <w:rPr>
          <w:b/>
        </w:rPr>
        <w:t>US$26.5bn</w:t>
      </w:r>
      <w:r>
        <w:t xml:space="preserve"> valuation. Guidance is pricing just above midpoint (~HK$48.56); formal price 31 Aug.</w:t>
      </w:r>
    </w:p>
    <w:p>
      <w:pPr>
        <w:pStyle w:val="ListBullet"/>
      </w:pPr>
      <w:r>
        <w:t>Third listing attempt; valuation cut repeatedly: US$100bn peak in 2022 → US$35bn target at launch → ~US$26.5bn now.</w:t>
      </w:r>
    </w:p>
    <w:p>
      <w:pPr>
        <w:pStyle w:val="Heading2"/>
      </w:pPr>
      <w:r>
        <w:t>The structural point, explained (the “upside-down IPO”)</w:t>
      </w:r>
    </w:p>
    <w:p>
      <w:pPr>
        <w:pStyle w:val="ListBullet"/>
      </w:pPr>
      <w:r>
        <w:t xml:space="preserve">SHEIN's 2022–23 fundraises (Series D and D+, at US$66–100bn valuations) came with </w:t>
      </w:r>
      <w:r>
        <w:rPr>
          <w:b/>
        </w:rPr>
        <w:t>anti-dilution ratchets</w:t>
      </w:r>
      <w:r>
        <w:t xml:space="preserve">: if SHEIN lists below those investors' entry price, the company must compensate them so their effective cost resets down to the IPO price. The D+ round is </w:t>
      </w:r>
      <w:r>
        <w:rPr>
          <w:b/>
        </w:rPr>
        <w:t>full ratchet</w:t>
      </w:r>
      <w:r>
        <w:t xml:space="preserve"> — the harshest form, a complete repricing.</w:t>
      </w:r>
    </w:p>
    <w:p>
      <w:pPr>
        <w:pStyle w:val="ListBullet"/>
      </w:pPr>
      <w:r>
        <w:t xml:space="preserve">Listing at US$26.5bn — 60–75% below their entry — triggers those clauses in size: roughly </w:t>
      </w:r>
      <w:r>
        <w:rPr>
          <w:b/>
        </w:rPr>
        <w:t>US$2.2bn in cash adjustments plus ~19.6m free extra shares</w:t>
      </w:r>
      <w:r>
        <w:t xml:space="preserve">, and a further </w:t>
      </w:r>
      <w:r>
        <w:rPr>
          <w:b/>
        </w:rPr>
        <w:t>~US$1.33bn in separately negotiated payments</w:t>
      </w:r>
      <w:r>
        <w:t xml:space="preserve"> to the same investors (Boyu, Tiger, General Atlantic, Mubadala, etc.).</w:t>
      </w:r>
    </w:p>
    <w:p>
      <w:pPr>
        <w:pStyle w:val="ListBullet"/>
      </w:pPr>
      <w:r>
        <w:t xml:space="preserve">Total ≈ </w:t>
      </w:r>
      <w:r>
        <w:rPr>
          <w:b/>
        </w:rPr>
        <w:t>US$3.5bn — about twice what the IPO raises</w:t>
      </w:r>
      <w:r>
        <w:t>. On listing day, more money flows out to old investors than in from new ones; hence Breakingviews' “upside-down IPO”.</w:t>
      </w:r>
    </w:p>
    <w:p>
      <w:pPr>
        <w:pStyle w:val="ListBullet"/>
      </w:pPr>
      <w:r>
        <w:t>Why it matters: (1) it drains ~24% of the US$14.7bn net cash underpinning the value case; (2) the extra shares dilute new investors at pricing; (3) these holders were made whole by contract, not conviction — once lockups roll off they are natural sellers with a reset cost base sitting at your entry price.</w:t>
      </w:r>
    </w:p>
    <w:p>
      <w:pPr>
        <w:pStyle w:val="Heading2"/>
      </w:pPr>
      <w:r>
        <w:t>Fundamentals</w:t>
      </w:r>
    </w:p>
    <w:p>
      <w:pPr>
        <w:pStyle w:val="ListBullet"/>
      </w:pPr>
      <w:r>
        <w:t xml:space="preserve">2025 revenue US$41.8bn, up only 8%. Net profit US$2.1bn, </w:t>
      </w:r>
      <w:r>
        <w:rPr>
          <w:b/>
        </w:rPr>
        <w:t>down 39%</w:t>
      </w:r>
      <w:r>
        <w:t>.</w:t>
      </w:r>
    </w:p>
    <w:p>
      <w:pPr>
        <w:pStyle w:val="ListBullet"/>
      </w:pPr>
      <w:r>
        <w:t>Q1 2026 worse: revenue +1%, small net loss. Cause is the US killing the de minimis exemption — US revenue fell 14%, fulfilment costs jumped ~5 points of order value.</w:t>
      </w:r>
    </w:p>
    <w:p>
      <w:pPr>
        <w:pStyle w:val="ListBullet"/>
      </w:pPr>
      <w:r>
        <w:t>Net cash ~US$14.7bn (before the ~US$3.5bn ratchet payout above).</w:t>
      </w:r>
    </w:p>
    <w:p>
      <w:pPr>
        <w:pStyle w:val="Heading2"/>
      </w:pPr>
      <w:r>
        <w:t>What's its edge — and is it intact?</w:t>
      </w:r>
    </w:p>
    <w:p>
      <w:pPr>
        <w:pStyle w:val="ListBullet"/>
      </w:pPr>
      <w:r>
        <w:t xml:space="preserve">The real moat is the </w:t>
      </w:r>
      <w:r>
        <w:rPr>
          <w:b/>
        </w:rPr>
        <w:t>on-demand supply chain</w:t>
      </w:r>
      <w:r>
        <w:t>: ~7,500 contract factories producing initial runs of just 100–200 units, scaling only what sells. Inventory turns ~10x a year versus 2–3x for Zara/H&amp;M, on a 36-day cycle. Nobody else runs fast fashion with essentially no inventory risk — this is why it earns a 68% gross margin at US$8 price points.</w:t>
      </w:r>
    </w:p>
    <w:p>
      <w:pPr>
        <w:pStyle w:val="ListBullet"/>
      </w:pPr>
      <w:r>
        <w:t xml:space="preserve">But the moat is </w:t>
      </w:r>
      <w:r>
        <w:rPr>
          <w:b/>
        </w:rPr>
        <w:t>geography-dependent</w:t>
      </w:r>
      <w:r>
        <w:t>: it works because production sits in China. Tariffs force localized warehousing and sourcing (Brazil, Turkey, EU DCs), which dilutes exactly the arbitrage that makes the model special — while Temu and Amazon Haul copy the playbook with deeper pockets.</w:t>
      </w:r>
    </w:p>
    <w:p>
      <w:pPr>
        <w:pStyle w:val="Heading2"/>
      </w:pPr>
      <w:r>
        <w:t>The ceiling (the xueqiu thesis — we agree with it)</w:t>
      </w:r>
    </w:p>
    <w:p>
      <w:r>
        <w:t xml:space="preserve">The xueqiu piece (“SHEIN上市，TEMU的利润账终于能算了”) makes the sharpest argument on this deal: SHEIN's prospectus is the first audited proof that low-price cross-border e-commerce is structurally profitable — but the same numbers show the model has a </w:t>
      </w:r>
      <w:r>
        <w:rPr>
          <w:b/>
        </w:rPr>
        <w:t>built-in ceiling</w:t>
      </w:r>
      <w:r>
        <w:t>:</w:t>
      </w:r>
    </w:p>
    <w:p>
      <w:pPr>
        <w:pStyle w:val="ListBullet"/>
      </w:pPr>
      <w:r>
        <w:rPr>
          <w:b/>
        </w:rPr>
        <w:t>Frequency is capped by the category.</w:t>
      </w:r>
      <w:r>
        <w:t xml:space="preserve"> Fashion buyers order ~4 times a year at ~US$39 a basket, and no amount of spend changes that. So growth can only come from new users — and with 273m active users across ~160 markets, the cheap users are already acquired.</w:t>
      </w:r>
    </w:p>
    <w:p>
      <w:pPr>
        <w:pStyle w:val="ListBullet"/>
      </w:pPr>
      <w:r>
        <w:rPr>
          <w:b/>
        </w:rPr>
        <w:t>Because frequency is fixed, marketing never dilutes.</w:t>
      </w:r>
      <w:r>
        <w:t xml:space="preserve"> Marketing ratio rose from 10.7% to 14.8% of revenue while growth collapsed: spend +48.9% YoY bought only +8% revenue. SHEIN is buying growth it is not getting — the ratio is structural, not a phase.</w:t>
      </w:r>
    </w:p>
    <w:p>
      <w:pPr>
        <w:pStyle w:val="ListBullet"/>
      </w:pPr>
      <w:r>
        <w:rPr>
          <w:b/>
        </w:rPr>
        <w:t>Fulfilment economics are going the wrong way.</w:t>
      </w:r>
      <w:r>
        <w:t xml:space="preserve"> US$17.7 per order = 45.6% of basket value, pushed to 47.7% once de minimis died. The fix — local warehouses and local inventory — breaks the zero-inventory model that is the moat in the first place.</w:t>
      </w:r>
    </w:p>
    <w:p>
      <w:pPr>
        <w:pStyle w:val="ListBullet"/>
      </w:pPr>
      <w:r>
        <w:rPr>
          <w:b/>
        </w:rPr>
        <w:t>The category cap is also a strategy cap.</w:t>
      </w:r>
      <w:r>
        <w:t xml:space="preserve"> The on-demand supply chain is uniquely suited to fashion; extending into general merchandise means fighting Temu and Amazon head-on without the supply-chain edge.</w:t>
      </w:r>
    </w:p>
    <w:p>
      <w:pPr>
        <w:pStyle w:val="ListBullet"/>
      </w:pPr>
      <w:r>
        <w:rPr>
          <w:b/>
        </w:rPr>
        <w:t>Conclusion we endorse:</w:t>
      </w:r>
      <w:r>
        <w:t xml:space="preserve"> the prospectus validates the economics (~4.1% operating margin at ~US$50bn GMV) but growth is structurally bounded. SHEIN is the proof of concept; </w:t>
      </w:r>
      <w:r>
        <w:rPr>
          <w:b/>
        </w:rPr>
        <w:t>TEMU is the beneficiary</w:t>
      </w:r>
      <w:r>
        <w:t xml:space="preserve"> — multi-category means 10+ orders/user/year potential, a platform take-rate, and a local-fulfilment pivot already underway. At 13x earnings the market is pricing SHEIN's ceiling roughly correctly: fair, not mispriced.</w:t>
      </w:r>
    </w:p>
    <w:p>
      <w:pPr>
        <w:pStyle w:val="Heading2"/>
      </w:pPr>
      <w:r>
        <w:t>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b/>
              </w:rPr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</w:rPr>
              <w:t>Trailing P/E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b/>
              </w:rPr>
              <w:t>P/S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b/>
              </w:rPr>
              <w:t>EV/Sales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</w:rPr>
              <w:t>Rev growth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SHEIN @ ~US$26.5bn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12.9x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0.63x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~0.35x (ex-cash, post-ratchet)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+8% '25, +1% Q1'26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sz w:val="19"/>
              </w:rPr>
              <w:t>PDD (the real comp)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9.5x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1.9x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0.9x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~10%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sz w:val="19"/>
              </w:rPr>
              <w:t>H&amp;M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21.7x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1.3x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low single digit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sz w:val="19"/>
              </w:rPr>
              <w:t>Zalando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61.6x (17x fwd)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~0.5x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~0.5x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modest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Inditex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28.9x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4.5x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4.4x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~7%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sz w:val="19"/>
              </w:rPr>
              <w:t>Fast Retailing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42.6x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5.8x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5.4x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~13%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Reference: Bloomberg Intelligence fair value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US$22–25bn — the deal prices above it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Sentiment and flow — both weak</w:t>
      </w:r>
    </w:p>
    <w:p>
      <w:pPr>
        <w:pStyle w:val="ListBullet"/>
      </w:pPr>
      <w:r>
        <w:t xml:space="preserve">Retail margin book only </w:t>
      </w:r>
      <w:r>
        <w:rPr>
          <w:b/>
        </w:rPr>
        <w:t>~3x covered</w:t>
      </w:r>
      <w:r>
        <w:t>; a mid-cap appliance deal the same week did 188x. Retail passed.</w:t>
      </w:r>
    </w:p>
    <w:p>
      <w:pPr>
        <w:pStyle w:val="ListBullet"/>
      </w:pPr>
      <w:r>
        <w:t>Institutional book “covered” day one, but no multiple leaked; buyers are existing shareholders and China-focused funds. Cornerstones (Tencent, Boyu, Taikang — 21% of deal) read supportive, not enthusiastic.</w:t>
      </w:r>
    </w:p>
    <w:p>
      <w:pPr>
        <w:pStyle w:val="ListBullet"/>
      </w:pPr>
      <w:r>
        <w:t>Analyst tone cautious across the board: uSMART's Dickie Wong “not that positive… growth has slowed a lot”; Coresight sees ~2% growth in 2026.</w:t>
      </w:r>
    </w:p>
    <w:p>
      <w:pPr>
        <w:pStyle w:val="ListBullet"/>
      </w:pPr>
      <w:r>
        <w:t xml:space="preserve">Flow catch: SHEIN has weighted voting rights, so no Stock Connect fast-entry — </w:t>
      </w:r>
      <w:r>
        <w:rPr>
          <w:b/>
        </w:rPr>
        <w:t>southbound money is locked out until ~March 2027</w:t>
      </w:r>
      <w:r>
        <w:t>.</w:t>
      </w:r>
    </w:p>
    <w:p>
      <w:pPr>
        <w:pStyle w:val="Heading2"/>
      </w:pPr>
      <w:r>
        <w:t>Our view</w:t>
      </w:r>
    </w:p>
    <w:p>
      <w:pPr>
        <w:pStyle w:val="ListBullet"/>
      </w:pPr>
      <w:r>
        <w:t>No pop expected — flat to ±5% debut, then a heavy tape.</w:t>
      </w:r>
    </w:p>
    <w:p>
      <w:pPr>
        <w:pStyle w:val="ListBullet"/>
      </w:pPr>
      <w:r>
        <w:t>No catalyst until H2 results prove the tariff hit is digested, or the Connect window opens in March 2027.</w:t>
      </w:r>
    </w:p>
    <w:p>
      <w:pPr>
        <w:pStyle w:val="ListBullet"/>
      </w:pPr>
      <w:r>
        <w:t xml:space="preserve">The cleaner expression of the validated-economics thesis is </w:t>
      </w:r>
      <w:r>
        <w:rPr>
          <w:b/>
        </w:rPr>
        <w:t>long PDD</w:t>
      </w:r>
      <w:r>
        <w:t xml:space="preserve"> — it owns the ceiling-free version of the model.</w:t>
      </w:r>
    </w:p>
    <w:p>
      <w:pPr>
        <w:pStyle w:val="Heading1"/>
      </w:pPr>
      <w:r>
        <w:t>2. Mech-Mind Robotics (9615 HK)</w:t>
      </w:r>
    </w:p>
    <w:p>
      <w:pPr>
        <w:pStyle w:val="Heading2"/>
      </w:pPr>
      <w:r>
        <w:t>The deal</w:t>
      </w:r>
    </w:p>
    <w:p>
      <w:pPr>
        <w:pStyle w:val="ListBullet"/>
      </w:pPr>
      <w:r>
        <w:t>3D vision + AI software for industrial robots — the “eyes and brain”, not the robot itself.</w:t>
      </w:r>
    </w:p>
    <w:p>
      <w:pPr>
        <w:pStyle w:val="ListBullet"/>
      </w:pPr>
      <w:r>
        <w:t>Raising ~HK$2.3bn at HK$95.30–101.70, market cap ~HK$12.7bn (~US$1.6bn); will price at the top.</w:t>
      </w:r>
    </w:p>
    <w:p>
      <w:pPr>
        <w:pStyle w:val="ListBullet"/>
      </w:pPr>
      <w:r>
        <w:t xml:space="preserve">Cornerstones take </w:t>
      </w:r>
      <w:r>
        <w:rPr>
          <w:b/>
        </w:rPr>
        <w:t>64% of the deal</w:t>
      </w:r>
      <w:r>
        <w:t xml:space="preserve"> — Baillie Gifford US$60m lead, plus Taikang, Jane Street, E Fund, and a </w:t>
      </w:r>
      <w:r>
        <w:rPr>
          <w:b/>
        </w:rPr>
        <w:t>BYD subsidiary</w:t>
      </w:r>
      <w:r>
        <w:t xml:space="preserve"> (customer validation inside the book). Post-cornerstone free float ~7% of market cap.</w:t>
      </w:r>
    </w:p>
    <w:p>
      <w:pPr>
        <w:pStyle w:val="ListBullet"/>
      </w:pPr>
      <w:r>
        <w:t xml:space="preserve">Retail margin book </w:t>
      </w:r>
      <w:r>
        <w:rPr>
          <w:b/>
        </w:rPr>
        <w:t>518x covered</w:t>
      </w:r>
      <w:r>
        <w:t xml:space="preserve"> with a day still to go.</w:t>
      </w:r>
    </w:p>
    <w:p>
      <w:pPr>
        <w:pStyle w:val="Heading2"/>
      </w:pPr>
      <w:r>
        <w:t>Fundamentals</w:t>
      </w:r>
    </w:p>
    <w:p>
      <w:pPr>
        <w:pStyle w:val="ListBullet"/>
      </w:pPr>
      <w:r>
        <w:t xml:space="preserve">Revenue growing ~45%/year and accelerating — </w:t>
      </w:r>
      <w:r>
        <w:rPr>
          <w:b/>
        </w:rPr>
        <w:t>Q1 2026 +73%</w:t>
      </w:r>
      <w:r>
        <w:t>.</w:t>
      </w:r>
    </w:p>
    <w:p>
      <w:pPr>
        <w:pStyle w:val="ListBullet"/>
      </w:pPr>
      <w:r>
        <w:t xml:space="preserve">Gross margin </w:t>
      </w:r>
      <w:r>
        <w:rPr>
          <w:b/>
        </w:rPr>
        <w:t>65%</w:t>
      </w:r>
      <w:r>
        <w:t>, software-like; hardware robot peers run 20–40%.</w:t>
      </w:r>
    </w:p>
    <w:p>
      <w:pPr>
        <w:pStyle w:val="ListBullet"/>
      </w:pPr>
      <w:r>
        <w:t>Half of revenue now overseas (Japan, US, Europe) at better margins than domestic.</w:t>
      </w:r>
    </w:p>
    <w:p>
      <w:pPr>
        <w:pStyle w:val="ListBullet"/>
      </w:pPr>
      <w:r>
        <w:t>Adjusted loss shrinking fast (RMB 334m → 109m → 33m in Q1), though still loss-making; 80% of sales via system integrators; pre-deal cash was thin — the IPO was needed, not optional.</w:t>
      </w:r>
    </w:p>
    <w:p>
      <w:pPr>
        <w:pStyle w:val="Heading2"/>
      </w:pPr>
      <w:r>
        <w:t>What's its edge — does it deserve the premium?</w:t>
      </w:r>
    </w:p>
    <w:p>
      <w:pPr>
        <w:pStyle w:val="ListBullet"/>
      </w:pPr>
      <w:r>
        <w:rPr>
          <w:b/>
        </w:rPr>
        <w:t>Category leader by a wide margin</w:t>
      </w:r>
      <w:r>
        <w:t>: &gt;27% global share by shipments in AI-powered 3D vision components — more than the next four competitors combined, and #1 in China, Japan and North America simultaneously. In a fragmented, young market that is a real scarcity claim.</w:t>
      </w:r>
    </w:p>
    <w:p>
      <w:pPr>
        <w:pStyle w:val="ListBullet"/>
      </w:pPr>
      <w:r>
        <w:rPr>
          <w:b/>
        </w:rPr>
        <w:t>Full-stack and data-compounding</w:t>
      </w:r>
      <w:r>
        <w:t>: it makes the camera (Mech-Eye), the software (Mech-Vision) and the AI model (Mech-GPT), all self-developed and trained on data from 27,000+ deployed units across 1,600 customers. Repeat customers already generate 86% of revenue — real stickiness, and an installed-base data flywheel a new entrant cannot shortcut.</w:t>
      </w:r>
    </w:p>
    <w:p>
      <w:pPr>
        <w:pStyle w:val="ListBullet"/>
      </w:pPr>
      <w:r>
        <w:rPr>
          <w:b/>
        </w:rPr>
        <w:t>Scarcity on the exchange itself</w:t>
      </w:r>
      <w:r>
        <w:t>: no other listed pure-play on robot perception exists. UBTech/Dobot/Rokae sell bodies, Horizon sells auto chips — Mech-Mind is the only “picks and shovels on every robot's eyes” ticket in HK, and scarcity names get paid in this market.</w:t>
      </w:r>
    </w:p>
    <w:p>
      <w:pPr>
        <w:pStyle w:val="ListBullet"/>
      </w:pPr>
      <w:r>
        <w:t xml:space="preserve">Honest caveat: the moat is share + data + integration speed, </w:t>
      </w:r>
      <w:r>
        <w:rPr>
          <w:b/>
        </w:rPr>
        <w:t>not patents or locked-in contracts</w:t>
      </w:r>
      <w:r>
        <w:t xml:space="preserve"> — Keyence and Cognex could push down into the niche, and 80% integrator-channel dependence means it does not fully own its customer relationships. It deserves a premium; whether it deserves the top-of-market premium is the whole debate.</w:t>
      </w:r>
    </w:p>
    <w:p>
      <w:pPr>
        <w:pStyle w:val="Heading2"/>
      </w:pPr>
      <w:r>
        <w:t>Is the secular trend good? Yes, genuinely</w:t>
      </w:r>
    </w:p>
    <w:p>
      <w:pPr>
        <w:pStyle w:val="ListBullet"/>
      </w:pPr>
      <w:r>
        <w:t xml:space="preserve">3D vision penetration on China's industrial robots is only </w:t>
      </w:r>
      <w:r>
        <w:rPr>
          <w:b/>
        </w:rPr>
        <w:t>~7% today</w:t>
      </w:r>
      <w:r>
        <w:t>, rising — early innings of a real adoption curve (GGII: 6.75% 2025 → 8.24% 2026e).</w:t>
      </w:r>
    </w:p>
    <w:p>
      <w:pPr>
        <w:pStyle w:val="ListBullet"/>
      </w:pPr>
      <w:r>
        <w:t>Every humanoid program (UBTech on BYD lines, Unitree, Tesla Optimus) needs vision systems — a direct tailwind for exactly what it sells.</w:t>
      </w:r>
    </w:p>
    <w:p>
      <w:pPr>
        <w:pStyle w:val="ListBullet"/>
      </w:pPr>
      <w:r>
        <w:t>The risk is China supply-side, not demand: price wars have started in humanoids, the NDRC has warned on overcrowding, and Lenovo Capital expects a shakeout of ~370 robotics startups. Mech-Mind's 65% margin says it is escaping commoditization so far — but the IPO price already assumes that continues.</w:t>
      </w:r>
    </w:p>
    <w:p>
      <w:pPr>
        <w:pStyle w:val="Heading2"/>
      </w:pPr>
      <w:r>
        <w:t>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</w:rPr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b/>
              </w:rPr>
              <w:t>Trailing P/S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b/>
              </w:rPr>
              <w:t>Rev growth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b/>
              </w:rPr>
              <w:t>Note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Mech-Mind @ range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28–30x</w:t>
            </w:r>
            <w:r>
              <w:rPr>
                <w:sz w:val="19"/>
              </w:rPr>
              <w:t xml:space="preserve"> (~24x on Q1 run-rate)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+45% '25, +73% Q1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most expensive robotics name anywhere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Rokae 3752 (live benchmark)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~29x</w:t>
            </w:r>
            <w:r>
              <w:rPr>
                <w:sz w:val="19"/>
              </w:rPr>
              <w:t xml:space="preserve"> (~19x on H1-26 annualized)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+127% H1'26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IPO'd at 17x in July, +69% since, turned profitable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UBTech 9880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18.4x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+53%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below its 2023 issue price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Horizon Robotics 9660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16.5x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+58%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–36% off high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Keyence (quality anchor, profitable)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15.8x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+17%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Dobot 2432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13.7x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+61%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–55% over 1 year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Cognex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9.5x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+17%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Geek+ 2590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3.8x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+32%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39% below issue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RoboSense 2498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</w:r>
            <w:r>
              <w:rPr>
                <w:sz w:val="19"/>
              </w:rPr>
              <w:t>3.5x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+28%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–52% over 1 year</w:t>
            </w:r>
          </w:p>
        </w:tc>
      </w:tr>
    </w:tbl>
    <w:p/>
    <w:p>
      <w:pPr>
        <w:pStyle w:val="ListBullet"/>
      </w:pPr>
      <w:r>
        <w:rPr>
          <w:b/>
        </w:rPr>
        <w:t>Rokae is a peer — but a complement, not a competitor</w:t>
      </w:r>
      <w:r>
        <w:t xml:space="preserve"> (Rokae builds the arms; Mech-Mind builds the vision that guides them). And it is the key to the pricing: Rokae listed seven weeks ago at 17x, ran +69% on a July profit alert, and now trades at ~29x — </w:t>
      </w:r>
      <w:r>
        <w:rPr>
          <w:b/>
        </w:rPr>
        <w:t>exactly Mech-Mind's ask, with Mech-Mind carrying triple Rokae's gross margin</w:t>
      </w:r>
      <w:r>
        <w:t>. The syndicate priced this deal off Rokae's current level, not the older comps.</w:t>
      </w:r>
    </w:p>
    <w:p>
      <w:pPr>
        <w:pStyle w:val="ListBullet"/>
      </w:pPr>
      <w:r>
        <w:t xml:space="preserve">The same scoreboard cuts the other way: </w:t>
      </w:r>
      <w:r>
        <w:rPr>
          <w:b/>
        </w:rPr>
        <w:t>Seer 6106</w:t>
      </w:r>
      <w:r>
        <w:t xml:space="preserve">, a near-identical June debut at HK$101.60, doubled in month one then collapsed to </w:t>
      </w:r>
      <w:r>
        <w:rPr>
          <w:b/>
        </w:rPr>
        <w:t>36% below issue</w:t>
      </w:r>
      <w:r>
        <w:t>.</w:t>
      </w:r>
    </w:p>
    <w:p>
      <w:pPr>
        <w:pStyle w:val="Heading2"/>
      </w:pPr>
      <w:r>
        <w:t>Our view</w:t>
      </w:r>
    </w:p>
    <w:p>
      <w:pPr>
        <w:pStyle w:val="ListBullet"/>
      </w:pPr>
      <w:r>
        <w:rPr>
          <w:b/>
        </w:rPr>
        <w:t>It will pop</w:t>
      </w:r>
      <w:r>
        <w:t xml:space="preserve">: ~7% float + 518x book + sector momentum + Everbright's strategist publicly calling it the better of the two debuts. Grey market Monday evening confirms; </w:t>
      </w:r>
      <w:r>
        <w:rPr>
          <w:b/>
        </w:rPr>
        <w:t>+20–60% day 1 is plausible</w:t>
      </w:r>
      <w:r>
        <w:t>.</w:t>
      </w:r>
    </w:p>
    <w:p>
      <w:pPr>
        <w:pStyle w:val="ListBullet"/>
      </w:pPr>
      <w:r>
        <w:rPr>
          <w:b/>
        </w:rPr>
        <w:t>Keeping the pop depends entirely on the first earnings print.</w:t>
      </w:r>
      <w:r>
        <w:t xml:space="preserve"> Rokae held because it delivered profit acceleration three weeks post-listing; Seer delivered nothing and round-tripped. Mech-Mind has the cohort's best shot at the Rokae path — but at 29x sales there is zero room for a miss.</w:t>
      </w:r>
    </w:p>
    <w:p>
      <w:pPr>
        <w:pStyle w:val="ListBullet"/>
      </w:pPr>
      <w:r>
        <w:t xml:space="preserve">Trade it as a debut flip unless consciously underwriting that print. Diarize </w:t>
      </w:r>
      <w:r>
        <w:rPr>
          <w:b/>
        </w:rPr>
        <w:t>March 2027</w:t>
      </w:r>
      <w:r>
        <w:t>: cornerstone + pre-IPO lockups (~35% of the company, all sitting on big gains) expire into a tiny float, roughly when southbound eligibility could arrive as the offset.</w:t>
      </w:r>
    </w:p>
    <w:p>
      <w:pPr>
        <w:pStyle w:val="Heading1"/>
      </w:pPr>
      <w:r>
        <w:t>3. Bottom line</w:t>
      </w:r>
    </w:p>
    <w:p>
      <w:pPr>
        <w:pStyle w:val="ListBullet"/>
      </w:pPr>
      <w:r>
        <w:rPr>
          <w:b/>
        </w:rPr>
        <w:t>SHEIN</w:t>
      </w:r>
      <w:r>
        <w:t xml:space="preserve"> — fairly priced but cold book, no growth, ratchet leakage at the door, a structural ceiling on the model, and the southbound bid locked out until March. Skip the debut; play the theme through PDD.</w:t>
      </w:r>
    </w:p>
    <w:p>
      <w:pPr>
        <w:pStyle w:val="ListBullet"/>
      </w:pPr>
      <w:r>
        <w:rPr>
          <w:b/>
        </w:rPr>
        <w:t>Mech-Mind</w:t>
      </w:r>
      <w:r>
        <w:t xml:space="preserve"> — expensive but genuinely best-in-cohort, and mechanically built to pop. Participate for the debut, take profit into strength, hold only if you believe the Q1 acceleration is real.</w:t>
      </w:r>
    </w:p>
    <w:p>
      <w:pPr>
        <w:pStyle w:val="ListBullet"/>
      </w:pPr>
      <w:r>
        <w:t>Same-day listings split liquidity, and the contrast should show immediately: the cheap deal flat, the expensive one flying.</w:t>
      </w:r>
    </w:p>
    <w:p>
      <w:pPr>
        <w:pStyle w:val="Heading2"/>
      </w:pPr>
      <w:r>
        <w:t>Dates to watch</w:t>
      </w:r>
    </w:p>
    <w:p>
      <w:pPr>
        <w:pStyle w:val="ListBullet"/>
      </w:pPr>
      <w:r>
        <w:t>28 Aug noon — Mech-Mind final price  ·  31 Aug — SHEIN formal price, both allotments, grey market 16:15–18:30  ·  1 Sep — debuts  ·  ~mid-Sep — SHEIN HSCI fast entry  ·  H2-26 prints  ·  Mar 2027 — Mech-Mind unlock + both names' southbound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