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4C2B5" w14:textId="77777777" w:rsidR="001779E3" w:rsidRDefault="001779E3" w:rsidP="001779E3">
      <w:pPr>
        <w:rPr>
          <w:rFonts w:ascii="Arial" w:eastAsiaTheme="minorEastAsia" w:hAnsi="Arial" w:cs="Arial"/>
          <w:b/>
          <w:bCs/>
          <w:color w:val="FF0000"/>
          <w:sz w:val="20"/>
          <w:szCs w:val="20"/>
          <w:u w:val="single"/>
        </w:rPr>
        <w:spacing w:after="90" w:before="0" w:line="240" w:lineRule="auto"/>
        <w:keepLines/>
        <w:keepNext/>
      </w:pPr>
      <w:r>
        <w:rPr>
          <w:rFonts w:ascii="Arial" w:hAnsi="Arial" w:cs="Arial"/>
          <w:b/>
          <w:bCs/>
          <w:color w:val="153D63"/>
          <w:sz w:val="20"/>
          <w:szCs w:val="20"/>
          <w:u w:val="single"/>
        </w:rPr>
        <w:t>Upcoming IPO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85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PHIP candidates | 13 October 2026 close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1760"/>
        <w:gridCol w:w="750"/>
        <w:gridCol w:w="950"/>
        <w:gridCol w:w="1560"/>
        <w:gridCol w:w="900"/>
        <w:gridCol w:w="2052"/>
      </w:tblGrid>
      <w:tr>
        <w:trPr>
          <w:cantSplit/>
          <w:tblHeader/>
        </w:trPr>
        <w:tc>
          <w:tcPr>
            <w:tcW w:w="200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Name</w:t>
            </w:r>
          </w:p>
        </w:tc>
        <w:tc>
          <w:tcPr>
            <w:tcW w:w="176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Sector</w:t>
            </w:r>
          </w:p>
        </w:tc>
        <w:tc>
          <w:tcPr>
            <w:tcW w:w="75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Deal size</w:t>
            </w:r>
          </w:p>
        </w:tc>
        <w:tc>
          <w:tcPr>
            <w:tcW w:w="95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A-share</w:t>
            </w:r>
          </w:p>
        </w:tc>
        <w:tc>
          <w:tcPr>
            <w:tcW w:w="156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Timetable</w:t>
            </w:r>
          </w:p>
        </w:tc>
        <w:tc>
          <w:tcPr>
            <w:tcW w:w="90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Green-</w:t>
              <w:br/>
              <w:t xml:space="preserve">shoe</w:t>
            </w:r>
          </w:p>
        </w:tc>
        <w:tc>
          <w:tcPr>
            <w:tcW w:w="2052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Sponsor</w:t>
            </w:r>
          </w:p>
        </w:tc>
      </w:tr>
      <w:tr>
        <w:trPr>
          <w:cantSplit/>
        </w:trPr>
        <w:tc>
          <w:tcPr>
            <w:tcW w:w="20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Microintelligence</w:t>
            </w:r>
          </w:p>
        </w:tc>
        <w:tc>
          <w:tcPr>
            <w:tcW w:w="17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Industrial AI</w:t>
              <w:br/>
              <w:t xml:space="preserve">robot automation</w:t>
            </w:r>
          </w:p>
        </w:tc>
        <w:tc>
          <w:tcPr>
            <w:tcW w:w="7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9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None</w:t>
            </w:r>
          </w:p>
        </w:tc>
        <w:tc>
          <w:tcPr>
            <w:tcW w:w="15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PHIP 9 Oct</w:t>
              <w:br/>
              <w:t xml:space="preserve">Offer TBA</w:t>
            </w:r>
          </w:p>
        </w:tc>
        <w:tc>
          <w:tcPr>
            <w:tcW w:w="9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052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Orient Capital</w:t>
            </w:r>
          </w:p>
        </w:tc>
      </w:tr>
      <w:tr>
        <w:trPr>
          <w:cantSplit/>
        </w:trPr>
        <w:tc>
          <w:tcPr>
            <w:tcW w:w="20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Tinci Materials</w:t>
            </w:r>
          </w:p>
        </w:tc>
        <w:tc>
          <w:tcPr>
            <w:tcW w:w="17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Electrolyte /</w:t>
              <w:br/>
              <w:t xml:space="preserve">battery materials</w:t>
            </w:r>
          </w:p>
        </w:tc>
        <w:tc>
          <w:tcPr>
            <w:tcW w:w="7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9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002709 SZ</w:t>
            </w:r>
          </w:p>
        </w:tc>
        <w:tc>
          <w:tcPr>
            <w:tcW w:w="15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PHIP 5 Oct</w:t>
              <w:br/>
              <w:t xml:space="preserve">Offer TBA</w:t>
            </w:r>
          </w:p>
        </w:tc>
        <w:tc>
          <w:tcPr>
            <w:tcW w:w="9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052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J.P. Morgan</w:t>
              <w:br/>
              <w:t xml:space="preserve">CITIC Securities</w:t>
              <w:br/>
              <w:t xml:space="preserve">GF Capital</w:t>
            </w:r>
          </w:p>
        </w:tc>
      </w:tr>
      <w:tr>
        <w:trPr>
          <w:cantSplit/>
        </w:trPr>
        <w:tc>
          <w:tcPr>
            <w:tcW w:w="20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Dongshan Precision</w:t>
            </w:r>
          </w:p>
        </w:tc>
        <w:tc>
          <w:tcPr>
            <w:tcW w:w="17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PCB / AI optical</w:t>
              <w:br/>
              <w:t xml:space="preserve">transceivers</w:t>
            </w:r>
          </w:p>
        </w:tc>
        <w:tc>
          <w:tcPr>
            <w:tcW w:w="7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9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002384 SZ</w:t>
            </w:r>
          </w:p>
        </w:tc>
        <w:tc>
          <w:tcPr>
            <w:tcW w:w="15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PHIP 11 Oct</w:t>
              <w:br/>
              <w:t xml:space="preserve">Offer TBA</w:t>
            </w:r>
          </w:p>
        </w:tc>
        <w:tc>
          <w:tcPr>
            <w:tcW w:w="9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052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UBS</w:t>
              <w:br/>
              <w:t xml:space="preserve">Haitong International</w:t>
              <w:br/>
              <w:t xml:space="preserve">GF Capital / CITIC</w:t>
            </w:r>
          </w:p>
        </w:tc>
      </w:tr>
      <w:tr>
        <w:trPr>
          <w:cantSplit/>
        </w:trPr>
        <w:tc>
          <w:tcPr>
            <w:tcW w:w="20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Slender West Lake Cultural Tourism</w:t>
            </w:r>
          </w:p>
        </w:tc>
        <w:tc>
          <w:tcPr>
            <w:tcW w:w="17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Yangzhou scenic</w:t>
              <w:br/>
              <w:t xml:space="preserve">boat / bus concessions</w:t>
            </w:r>
          </w:p>
        </w:tc>
        <w:tc>
          <w:tcPr>
            <w:tcW w:w="7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9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None</w:t>
            </w:r>
          </w:p>
        </w:tc>
        <w:tc>
          <w:tcPr>
            <w:tcW w:w="15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PHIP 7 Oct</w:t>
              <w:br/>
              <w:t xml:space="preserve">Offer TBA</w:t>
            </w:r>
          </w:p>
        </w:tc>
        <w:tc>
          <w:tcPr>
            <w:tcW w:w="9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052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China Everbright</w:t>
              <w:br/>
              <w:t xml:space="preserve">Capital</w:t>
            </w:r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100" w:before="90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PHIP dates are filing dates. Offer price, size, greenshoe and named cornerstone terms remain pending.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9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Some key points:</w:t>
      </w:r>
    </w:p>
    <w:p w14:paraId="52FB51E6" w14:textId="77777777" w:rsidR="001779E3" w:rsidRDefault="001779E3" w:rsidP="001779E3">
      <w:pPr>
        <w:rPr>
          <w:rFonts w:ascii="Arial" w:hAnsi="Arial" w:cs="Arial"/>
          <w:color w:val="FF0000"/>
          <w:sz w:val="20"/>
          <w:szCs w:val="20"/>
        </w:rPr>
        <w:spacing w:after="80" w:before="90" w:line="240" w:lineRule="auto"/>
        <w:keepLines/>
        <w:keepNext/>
      </w:pPr>
      <w:r>
        <w:rPr>
          <w:rFonts w:ascii="Arial" w:hAnsi="Arial" w:cs="Arial"/>
          <w:b/>
          <w:bCs/>
          <w:color w:val="FF0000"/>
          <w:sz w:val="20"/>
          <w:szCs w:val="20"/>
        </w:rPr>
        <w:t>Microintelligence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Good - industrial embodied AI with real sales.</w:t>
      </w:r>
      <w:r>
        <w:rPr>
          <w:rFonts w:ascii="Arial" w:hAnsi="Arial" w:cs="Arial"/>
          <w:color w:val="153D63"/>
          <w:sz w:val="20"/>
          <w:szCs w:val="20"/>
        </w:rPr>
        <w:t xml:space="preserve"> No.1 in China's embodied intelligent industrial robots (20% FY2025 share), but only 0.3% of the broader industrial AI equipment market. The attraction is a small specialist becoming a scalable supplier; the ranking does not establish dominance across robotics.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Potential - turn installations into repeatable products.</w:t>
      </w:r>
      <w:r>
        <w:rPr>
          <w:rFonts w:ascii="Arial" w:hAnsi="Arial" w:cs="Arial"/>
          <w:color w:val="153D63"/>
          <w:sz w:val="20"/>
          <w:szCs w:val="20"/>
        </w:rPr>
        <w:t xml:space="preserve"> Robots were 61% of five-month 2026 sales, growing 40% at 54.8% gross margin. Agilebot adds motion control to its vision software. Reusing systems across factories could spread heavy R&amp;D costs and lift profit; repeat orders and lower delivery cost are the evidence to watch.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Bad - the earnings inflection is weaker than it looks.</w:t>
      </w:r>
      <w:r>
        <w:rPr>
          <w:rFonts w:ascii="Arial" w:hAnsi="Arial" w:cs="Arial"/>
          <w:color w:val="153D63"/>
          <w:sz w:val="20"/>
          <w:szCs w:val="20"/>
        </w:rPr>
        <w:t xml:space="preserve"> Reported five-month profit tripled to RMB22.5m, but operating profit rose only 1.8%; RMB16.6m redemption-interest expense disappeared. Operating cash was just RMB12.7m and collection took 188 days. Customers' factory capex and cash collection still determine whether growth pays.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Valuation - keep the AI premium tied to operating profit.</w:t>
      </w:r>
      <w:r>
        <w:rPr>
          <w:rFonts w:ascii="Arial" w:hAnsi="Arial" w:cs="Arial"/>
          <w:color w:val="153D63"/>
          <w:sz w:val="20"/>
          <w:szCs w:val="20"/>
        </w:rPr>
        <w:t xml:space="preserve"> Each RMB1bn of offer equity value means 48.7x reported LTM earnings or 17.1x adjusted LTM earnings, to May 2026. Those are separate bases, neither a forward estimate. Mech-Mind is the closest H-share vision/AI reference; Estun gives a profitable industrial-robot benchmark.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800"/>
        <w:gridCol w:w="1450"/>
        <w:gridCol w:w="1150"/>
        <w:gridCol w:w="1150"/>
        <w:gridCol w:w="2422"/>
      </w:tblGrid>
      <w:tr>
        <w:trPr>
          <w:cantSplit/>
          <w:tblHeader/>
        </w:trPr>
        <w:tc>
          <w:tcPr>
            <w:tcW w:w="3800" w:type="dxa"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Company</w:t>
            </w:r>
          </w:p>
        </w:tc>
        <w:tc>
          <w:tcPr>
            <w:tcW w:w="14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13 Oct close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</w:t>
              <w:br/>
              <w:t xml:space="preserve">P/E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FY2027E</w:t>
              <w:br/>
              <w:t xml:space="preserve">P/E</w:t>
            </w:r>
          </w:p>
        </w:tc>
        <w:tc>
          <w:tcPr>
            <w:tcW w:w="2422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Broker / date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Microintelligence H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Offer pending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Mech-Mind H (09615 HK)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HK$80.000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Estimate n/c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Estun H (02715 HK)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HK$12.850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37.5x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26.6x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17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Soochow 30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OPT A (688686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RMB115.81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56.6x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41.8x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18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China Post 31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TZTEK A (688003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RMB66.68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76.0x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48.6x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hyperlink r:id="rId19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Huaxin 23 Sep</w:t>
              </w:r>
            </w:hyperlink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4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Mech-Mind: closest H vision/AI reference, still loss-making; Estun: industrial robots, with valuation gains in profit. OPT/TZTEK: A-share vision/inspection peers.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Sources: </w:t>
      </w:r>
      <w:hyperlink r:id="rId20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PHIP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21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Xueqiu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22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Mech-Mind H1</w:t>
        </w:r>
      </w:hyperlink>
    </w:p>
    <w:p w14:paraId="52FB51E6" w14:textId="77777777" w:rsidR="001779E3" w:rsidRDefault="001779E3" w:rsidP="001779E3">
      <w:pPr>
        <w:rPr>
          <w:rFonts w:ascii="Arial" w:hAnsi="Arial" w:cs="Arial"/>
          <w:color w:val="FF0000"/>
          <w:sz w:val="20"/>
          <w:szCs w:val="20"/>
        </w:rPr>
        <w:spacing w:after="80" w:before="90" w:line="240" w:lineRule="auto"/>
        <w:keepLines/>
        <w:keepNext/>
      </w:pPr>
      <w:r>
        <w:rPr>
          <w:rFonts w:ascii="Arial" w:hAnsi="Arial" w:cs="Arial"/>
          <w:b/>
          <w:bCs/>
          <w:color w:val="FF0000"/>
          <w:sz w:val="20"/>
          <w:szCs w:val="20"/>
        </w:rPr>
        <w:t>Tinci Materials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Good - global electrolyte leader, with cycle exposure.</w:t>
      </w:r>
      <w:r>
        <w:rPr>
          <w:rFonts w:ascii="Arial" w:hAnsi="Arial" w:cs="Arial"/>
          <w:color w:val="153D63"/>
          <w:sz w:val="20"/>
          <w:szCs w:val="20"/>
        </w:rPr>
        <w:t xml:space="preserve"> No.1 by FY2025 shipments, with 36% share. Integrated LiPF6/LiFSI production gives a cost advantage. EV/energy-storage demand supports volume; electrolyte and salt prices drive earnings more directly than AI or solid-state themes.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Potential - volume and overseas customers can extend recovery.</w:t>
      </w:r>
      <w:r>
        <w:rPr>
          <w:rFonts w:ascii="Arial" w:hAnsi="Arial" w:cs="Arial"/>
          <w:color w:val="153D63"/>
          <w:sz w:val="20"/>
          <w:szCs w:val="20"/>
        </w:rPr>
        <w:t xml:space="preserve"> H1 owner profit reached RMB2.86bn (+968%), with 33.5% gross margin. Yet Q2 margin fell to 29.3% and profit fell 27% QoQ: new competing supply threatens pricing even if shipments grow.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Bad - profit has outrun cash.</w:t>
      </w:r>
      <w:r>
        <w:rPr>
          <w:rFonts w:ascii="Arial" w:hAnsi="Arial" w:cs="Arial"/>
          <w:color w:val="153D63"/>
          <w:sz w:val="20"/>
          <w:szCs w:val="20"/>
        </w:rPr>
        <w:t xml:space="preserve"> H1 operating cash was RMB397m, only 14% of owner profit. Inventory rose 59% but turnover improved to 38.6 days, consistent with greater scale. RMB12.15bn receivables/bills make customer credit the more pressing concern.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Valuation - low P/E relies on recovered margins.</w:t>
      </w:r>
      <w:r>
        <w:rPr>
          <w:rFonts w:ascii="Arial" w:hAnsi="Arial" w:cs="Arial"/>
          <w:color w:val="153D63"/>
          <w:sz w:val="20"/>
          <w:szCs w:val="20"/>
        </w:rPr>
        <w:t xml:space="preserve"> A shares are 10.7x/8.9x FY2026E/FY2027E; Capchem is 20.8x/15.5x. The FY2026 forecast needs RMB3.38bn H2 profit, above H1. Test sustainable profit per tonne and H-issue dilution before buying the discount.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800"/>
        <w:gridCol w:w="1450"/>
        <w:gridCol w:w="1150"/>
        <w:gridCol w:w="1150"/>
        <w:gridCol w:w="2422"/>
      </w:tblGrid>
      <w:tr>
        <w:trPr>
          <w:cantSplit/>
          <w:tblHeader/>
        </w:trPr>
        <w:tc>
          <w:tcPr>
            <w:tcW w:w="3800" w:type="dxa"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Company</w:t>
            </w:r>
          </w:p>
        </w:tc>
        <w:tc>
          <w:tcPr>
            <w:tcW w:w="14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13 Oct close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</w:t>
              <w:br/>
              <w:t xml:space="preserve">P/E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FY2027E</w:t>
              <w:br/>
              <w:t xml:space="preserve">P/E</w:t>
            </w:r>
          </w:p>
        </w:tc>
        <w:tc>
          <w:tcPr>
            <w:tcW w:w="2422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Broker / date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Tinci Materials H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Offer pending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Tinci A (002709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RMB32.80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10.7x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8.9x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23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Soochow 20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Capchem A (300037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RMB61.55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20.8x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15.5x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24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Soochow 13 Oct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Ruitai A (301238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RMB16.16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Estimate n/c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Do-Fluoride A (002407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RMB27.92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Estimate n/c</w:t>
            </w:r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4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Capchem/Ruitai: direct electrolyte peers; Do-Fluoride: upstream LiPF6 cycle. No clean H-listed electrolyte comparable.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Sources: </w:t>
      </w:r>
      <w:hyperlink r:id="rId25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PHIP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26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H1 accounts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27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Xueqiu</w:t>
        </w:r>
      </w:hyperlink>
    </w:p>
    <w:p w14:paraId="52FB51E6" w14:textId="77777777" w:rsidR="001779E3" w:rsidRDefault="001779E3" w:rsidP="001779E3">
      <w:pPr>
        <w:rPr>
          <w:rFonts w:ascii="Arial" w:hAnsi="Arial" w:cs="Arial"/>
          <w:color w:val="FF0000"/>
          <w:sz w:val="20"/>
          <w:szCs w:val="20"/>
        </w:rPr>
        <w:spacing w:after="80" w:before="90" w:line="240" w:lineRule="auto"/>
        <w:keepLines/>
        <w:keepNext/>
      </w:pPr>
      <w:r>
        <w:rPr>
          <w:rFonts w:ascii="Arial" w:hAnsi="Arial" w:cs="Arial"/>
          <w:b/>
          <w:bCs/>
          <w:color w:val="FF0000"/>
          <w:sz w:val="20"/>
          <w:szCs w:val="20"/>
        </w:rPr>
        <w:t>Dongshan Precision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Good - the clearest AI hardware exposure here.</w:t>
      </w:r>
      <w:r>
        <w:rPr>
          <w:rFonts w:ascii="Arial" w:hAnsi="Arial" w:cs="Arial"/>
          <w:color w:val="153D63"/>
          <w:sz w:val="20"/>
          <w:szCs w:val="20"/>
        </w:rPr>
        <w:t xml:space="preserve"> Global No.3 PCB supplier (4.2% FY2025 share) and No.2 FPC (24.5%); Source Photonics is No.7 in optics (2.9%). Established PCB scale, with room for AI optical share gains.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Potential - 800G/1.6T modules and AI PCBs can improve earnings mix.</w:t>
      </w:r>
      <w:r>
        <w:rPr>
          <w:rFonts w:ascii="Arial" w:hAnsi="Arial" w:cs="Arial"/>
          <w:color w:val="153D63"/>
          <w:sz w:val="20"/>
          <w:szCs w:val="20"/>
        </w:rPr>
        <w:t xml:space="preserve"> Optics reached 19.2% of H1 revenue; owner profit rose 290% to RMB2.96bn. FY2025 had only Q4 Source Photonics consolidation, so the growth headline includes acquisition effects.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Bad - consumer exposure and expansion cash needs remain.</w:t>
      </w:r>
      <w:r>
        <w:rPr>
          <w:rFonts w:ascii="Arial" w:hAnsi="Arial" w:cs="Arial"/>
          <w:color w:val="153D63"/>
          <w:sz w:val="20"/>
          <w:szCs w:val="20"/>
        </w:rPr>
        <w:t xml:space="preserve"> FPC was 36.5% of H1 sales. Operating cash of RMB2.38bn covered less than half of RMB5.48bn investing outflow. AI capex, module yields and export access determine whether the expansion pays.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Valuation - the AI ramp is already expected.</w:t>
      </w:r>
      <w:r>
        <w:rPr>
          <w:rFonts w:ascii="Arial" w:hAnsi="Arial" w:cs="Arial"/>
          <w:color w:val="153D63"/>
          <w:sz w:val="20"/>
          <w:szCs w:val="20"/>
        </w:rPr>
        <w:t xml:space="preserve"> A shares are 35.4x/16.8x FY2026E/FY2027E; InnoLight 25.9x/13.9x; Kinwong H 30.0x/17.8x. Dongshan's FY2027 multiple assumes 110% profit growth. Compare the H offer with Kinwong H's lower FY2026 multiple, as well as the A-share discount.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800"/>
        <w:gridCol w:w="1450"/>
        <w:gridCol w:w="1150"/>
        <w:gridCol w:w="1150"/>
        <w:gridCol w:w="2422"/>
      </w:tblGrid>
      <w:tr>
        <w:trPr>
          <w:cantSplit/>
          <w:tblHeader/>
        </w:trPr>
        <w:tc>
          <w:tcPr>
            <w:tcW w:w="3800" w:type="dxa"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Company</w:t>
            </w:r>
          </w:p>
        </w:tc>
        <w:tc>
          <w:tcPr>
            <w:tcW w:w="14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13 Oct close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</w:t>
              <w:br/>
              <w:t xml:space="preserve">P/E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FY2027E</w:t>
              <w:br/>
              <w:t xml:space="preserve">P/E</w:t>
            </w:r>
          </w:p>
        </w:tc>
        <w:tc>
          <w:tcPr>
            <w:tcW w:w="2422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Broker / date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Dongshan Precision H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Offer pending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Kinwong H (03228 HK)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HK$71.750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30.0x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17.8x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28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Guosen 18 Sep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Kinwong A (603228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RMB98.51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48.0x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28.6x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29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Guosen 18 Sep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Dongshan A (002384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RMB139.75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35.4x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16.8x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30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Shanghai 28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Shennan A (002916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RMB337.24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38.8x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25.0x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31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Pacific 17 Sep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InnoLight A (300308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RMB735.00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25.9x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13.9x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hyperlink r:id="rId32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Capital 23 Sep</w:t>
              </w:r>
            </w:hyperlink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4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Kinwong/Shennan: PCB; InnoLight: optics. Kinwong H is 37.5% below its A line after FX. Segment references, not whole-group equivalents.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Sources: </w:t>
      </w:r>
      <w:hyperlink r:id="rId33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PHIP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34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H1 accounts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35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Xueqiu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36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Niuniu/Moomoo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37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8 Oct IR</w:t>
        </w:r>
      </w:hyperlink>
    </w:p>
    <w:p w14:paraId="52FB51E6" w14:textId="77777777" w:rsidR="001779E3" w:rsidRDefault="001779E3" w:rsidP="001779E3">
      <w:pPr>
        <w:rPr>
          <w:rFonts w:ascii="Arial" w:hAnsi="Arial" w:cs="Arial"/>
          <w:color w:val="FF0000"/>
          <w:sz w:val="20"/>
          <w:szCs w:val="20"/>
        </w:rPr>
        <w:spacing w:after="80" w:before="90" w:line="240" w:lineRule="auto"/>
        <w:keepLines/>
        <w:keepNext/>
      </w:pPr>
      <w:r>
        <w:rPr>
          <w:rFonts w:ascii="Arial" w:hAnsi="Arial" w:cs="Arial"/>
          <w:b/>
          <w:bCs/>
          <w:color w:val="FF0000"/>
          <w:sz w:val="20"/>
          <w:szCs w:val="20"/>
        </w:rPr>
        <w:t>Slender West Lake Cultural Tourism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Good - a local concession with strong ticket cash.</w:t>
      </w:r>
      <w:r>
        <w:rPr>
          <w:rFonts w:ascii="Arial" w:hAnsi="Arial" w:cs="Arial"/>
          <w:color w:val="153D63"/>
          <w:sz w:val="20"/>
          <w:szCs w:val="20"/>
        </w:rPr>
        <w:t xml:space="preserve"> No.2 in Jiangsu water tourism (18.5% FY2025 boat-ticket revenue share), versus 1.2% nationally. H1 gross margin was 63.9%; RMB49m operating cash exceeded RMB34.7m owner profit. Local rights support earnings quality.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Bad - the growth boost is fading.</w:t>
      </w:r>
      <w:r>
        <w:rPr>
          <w:rFonts w:ascii="Arial" w:hAnsi="Arial" w:cs="Arial"/>
          <w:color w:val="153D63"/>
          <w:sz w:val="20"/>
          <w:szCs w:val="20"/>
        </w:rPr>
        <w:t xml:space="preserve"> H1 revenue and owner profit both fell 1.6%. Night shows supplied 88% of FY2025 revenue growth, but H1 night-show revenue fell 3%. Weather and holidays create seasonality; H1 profit cannot simply be doubled.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Potential - higher spending per visitor.</w:t>
      </w:r>
      <w:r>
        <w:rPr>
          <w:rFonts w:ascii="Arial" w:hAnsi="Arial" w:cs="Arial"/>
          <w:color w:val="153D63"/>
          <w:sz w:val="20"/>
          <w:szCs w:val="20"/>
        </w:rPr>
        <w:t xml:space="preserve"> New routes, charters and night shows can add earnings beyond visitor growth. Asset-light management could expand outside Yangzhou, but is only 3.1% of H1 sales. A national-platform valuation needs evidence of profitable replication.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Valuation - finite rights limit the premium.</w:t>
      </w:r>
      <w:r>
        <w:rPr>
          <w:rFonts w:ascii="Arial" w:hAnsi="Arial" w:cs="Arial"/>
          <w:color w:val="153D63"/>
          <w:sz w:val="20"/>
          <w:szCs w:val="20"/>
        </w:rPr>
        <w:t xml:space="preserve"> Core boat rights expire September 2035; renewal preference is conditional. Each RMB1bn offer equity value is 21.0x owner LTM earnings to June 2026. Lijiang/Jiuhua are 15-20x FY2026E. A premium requires new growth or credible dividends.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800"/>
        <w:gridCol w:w="1450"/>
        <w:gridCol w:w="1150"/>
        <w:gridCol w:w="1150"/>
        <w:gridCol w:w="2422"/>
      </w:tblGrid>
      <w:tr>
        <w:trPr>
          <w:cantSplit/>
          <w:tblHeader/>
        </w:trPr>
        <w:tc>
          <w:tcPr>
            <w:tcW w:w="3800" w:type="dxa"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Company</w:t>
            </w:r>
          </w:p>
        </w:tc>
        <w:tc>
          <w:tcPr>
            <w:tcW w:w="14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13 Oct close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</w:t>
              <w:br/>
              <w:t xml:space="preserve">P/E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FY2027E</w:t>
              <w:br/>
              <w:t xml:space="preserve">P/E</w:t>
            </w:r>
          </w:p>
        </w:tc>
        <w:tc>
          <w:tcPr>
            <w:tcW w:w="2422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Broker / date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Slender West Lake H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Offer pending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China Travel HK (00308 HK)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HK$1.145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24.5x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18.3x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38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Citi 02 Sep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Lijiang A (002033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RMB8.31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20.0x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18.9x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39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BOCI 24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Jiuhua A (603199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RMB31.86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14.8x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12.4x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40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Pacific 20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Changbai A (603099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RMB45.85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85.5x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71.9x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hyperlink r:id="rId41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Soochow 26 Aug</w:t>
              </w:r>
            </w:hyperlink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4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China Travel: H scenic-operator reference, with hotels/transport. A peers match scenic transport more closely; Changbai's multiple is a thematic outlier.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Sources: </w:t>
      </w:r>
      <w:hyperlink r:id="rId42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PHIP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43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Xueqiu</w:t>
        </w:r>
      </w:hyperlink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60" w:before="100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Valuation basis: 13 October closing prices. Forward P/E uses selected broker full-year attributable profit, not consensus; FY ends December. A-line quoted total market value / profit; H-line price x total shares / profit, converting RMB estimates at 1HK$ = RMB0.85753 (13 Oct official parity). These are line-implied valuations, not combined A+H market caps. Broker/date links lead to forecasts; Citi is via EtNet. n/c = no verified full-year estimate. H offers need price and post-issue shares; interim profit is not annualised.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Market data: </w:t>
      </w:r>
      <w:hyperlink r:id="rId44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Closing quotes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45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HK final daily bars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46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FX parity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47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HKEX PHIP register</w:t>
        </w:r>
      </w:hyperlink>
    </w:p>
    <w:sectPr w:rsidR="001779E3" w:rsidRPr="001779E3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CE49E4"/>
    <w:multiLevelType w:val="hybridMultilevel"/>
    <w:tmpl w:val="87B829EE"/>
    <w:lvl w:ilvl="0" w:tplc="6E682264">
      <w:start w:val="2"/>
      <w:numFmt w:val="bullet"/>
      <w:lvlText w:val="-"/>
      <w:lvlJc w:val="left"/>
      <w:pPr>
        <w:ind w:left="720" w:hanging="360"/>
      </w:pPr>
      <w:rPr>
        <w:rFonts w:ascii="Arial" w:eastAsia="DengXi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659386">
    <w:abstractNumId w:val="8"/>
  </w:num>
  <w:num w:numId="2" w16cid:durableId="248775921">
    <w:abstractNumId w:val="6"/>
  </w:num>
  <w:num w:numId="3" w16cid:durableId="1014383259">
    <w:abstractNumId w:val="5"/>
  </w:num>
  <w:num w:numId="4" w16cid:durableId="223570614">
    <w:abstractNumId w:val="4"/>
  </w:num>
  <w:num w:numId="5" w16cid:durableId="1252543603">
    <w:abstractNumId w:val="7"/>
  </w:num>
  <w:num w:numId="6" w16cid:durableId="1064109539">
    <w:abstractNumId w:val="3"/>
  </w:num>
  <w:num w:numId="7" w16cid:durableId="2063360551">
    <w:abstractNumId w:val="2"/>
  </w:num>
  <w:num w:numId="8" w16cid:durableId="732773102">
    <w:abstractNumId w:val="1"/>
  </w:num>
  <w:num w:numId="9" w16cid:durableId="1621374489">
    <w:abstractNumId w:val="0"/>
  </w:num>
  <w:num w:numId="10" w16cid:durableId="166226859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5EC"/>
    <w:rsid w:val="0015074B"/>
    <w:rsid w:val="001779E3"/>
    <w:rsid w:val="0029639D"/>
    <w:rsid w:val="00326F90"/>
    <w:rsid w:val="00AA1D8D"/>
    <w:rsid w:val="00AD06F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98ACF3"/>
  <w14:defaultImageDpi w14:val="300"/>
  <w15:docId w15:val="{19D0C469-DB53-4FEC-B251-DC57C00C4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Microsoft JhengHe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1779E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xueqiu.com/3075122481/410597135" TargetMode="External"/><Relationship Id="rId13" Type="http://schemas.openxmlformats.org/officeDocument/2006/relationships/hyperlink" Target="https://www.xueqiu.com/3075122481/411479979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xueqiu.com/3075122481/411316419" TargetMode="External"/><Relationship Id="rId12" Type="http://schemas.openxmlformats.org/officeDocument/2006/relationships/hyperlink" Target="https://www.xueqiu.com/4649754500/411783600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xueqiu.com/5710624967/411734921" TargetMode="External"/><Relationship Id="rId11" Type="http://schemas.openxmlformats.org/officeDocument/2006/relationships/hyperlink" Target="https://www.huxiu.com/article/4881452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xueqiu.com/8991898356/36580652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xueqiu.com/3773859662/392911431" TargetMode="External"/><Relationship Id="rId14" Type="http://schemas.openxmlformats.org/officeDocument/2006/relationships/hyperlink" Target="https://www.xueqiu.com/3338215700/357866037" TargetMode="External"/><Relationship Id="rId17" Type="http://schemas.openxmlformats.org/officeDocument/2006/relationships/hyperlink" Target="https://pdf.dfcfw.com/pdf/H3_AP202608301828746890_1.pdf" TargetMode="External"/><Relationship Id="rId18" Type="http://schemas.openxmlformats.org/officeDocument/2006/relationships/hyperlink" Target="https://pdf.dfcfw.com/pdf/H3_AP202608311828803718_1.pdf" TargetMode="External"/><Relationship Id="rId19" Type="http://schemas.openxmlformats.org/officeDocument/2006/relationships/hyperlink" Target="https://pdf.dfcfw.com/pdf/H3_AP202609241829841491_1.pdf" TargetMode="External"/><Relationship Id="rId20" Type="http://schemas.openxmlformats.org/officeDocument/2006/relationships/hyperlink" Target="https://www1.hkexnews.hk/app/sehk/2026/108374/documents/sehk26100901432.pdf" TargetMode="External"/><Relationship Id="rId21" Type="http://schemas.openxmlformats.org/officeDocument/2006/relationships/hyperlink" Target="https://www.xueqiu.com/2854806290/411774788" TargetMode="External"/><Relationship Id="rId22" Type="http://schemas.openxmlformats.org/officeDocument/2006/relationships/hyperlink" Target="https://en.prnasia.com/releases/apac/mech-mind-robotics-announces-first-interim-results-since-listing-revenue-and-orders-both-grow-robot-brain-breakthroughs-open-up-industrial-scale-growth-potential-549532.shtml" TargetMode="External"/><Relationship Id="rId23" Type="http://schemas.openxmlformats.org/officeDocument/2006/relationships/hyperlink" Target="https://pdf.dfcfw.com/pdf/H3_AP202608201828222175_1.pdf" TargetMode="External"/><Relationship Id="rId24" Type="http://schemas.openxmlformats.org/officeDocument/2006/relationships/hyperlink" Target="https://pdf.dfcfw.com/pdf/H3_AP202610131830389630_1.pdf" TargetMode="External"/><Relationship Id="rId25" Type="http://schemas.openxmlformats.org/officeDocument/2006/relationships/hyperlink" Target="https://www1.hkexnews.hk/app/sehk/2026/108340/documents/sehk26100500008.pdf" TargetMode="External"/><Relationship Id="rId26" Type="http://schemas.openxmlformats.org/officeDocument/2006/relationships/hyperlink" Target="https://static.cninfo.com.cn/finalpage/2026-08-21/1225486883.PDF" TargetMode="External"/><Relationship Id="rId27" Type="http://schemas.openxmlformats.org/officeDocument/2006/relationships/hyperlink" Target="https://www.xueqiu.com/1136209912/405415499" TargetMode="External"/><Relationship Id="rId28" Type="http://schemas.openxmlformats.org/officeDocument/2006/relationships/hyperlink" Target="https://pdf.dfcfw.com/pdf/H3_AP202609221829741062_1.pdf" TargetMode="External"/><Relationship Id="rId29" Type="http://schemas.openxmlformats.org/officeDocument/2006/relationships/hyperlink" Target="https://pdf.dfcfw.com/pdf/H3_AP202609221829741062_1.pdf" TargetMode="External"/><Relationship Id="rId30" Type="http://schemas.openxmlformats.org/officeDocument/2006/relationships/hyperlink" Target="https://pdf.dfcfw.com/pdf/H3_AP202609021828932204_1.pdf" TargetMode="External"/><Relationship Id="rId31" Type="http://schemas.openxmlformats.org/officeDocument/2006/relationships/hyperlink" Target="https://pdf.dfcfw.com/pdf/H3_AP202609171829502414_1.pdf" TargetMode="External"/><Relationship Id="rId32" Type="http://schemas.openxmlformats.org/officeDocument/2006/relationships/hyperlink" Target="https://pdf.dfcfw.com/pdf/H3_AP202609231829795170_1.pdf" TargetMode="External"/><Relationship Id="rId33" Type="http://schemas.openxmlformats.org/officeDocument/2006/relationships/hyperlink" Target="https://www1.hkexnews.hk/app/sehk/2026/108550/documents/sehk26101100054.pdf" TargetMode="External"/><Relationship Id="rId34" Type="http://schemas.openxmlformats.org/officeDocument/2006/relationships/hyperlink" Target="https://static.cninfo.com.cn/finalpage/2026-08-22/1225491182.PDF" TargetMode="External"/><Relationship Id="rId35" Type="http://schemas.openxmlformats.org/officeDocument/2006/relationships/hyperlink" Target="https://www.xueqiu.com/1704677271/411624200" TargetMode="External"/><Relationship Id="rId36" Type="http://schemas.openxmlformats.org/officeDocument/2006/relationships/hyperlink" Target="https://www.moomoo.com/hans/community/feed/strategically-position-in-leading-stocks-within-niche-segments-while-firmly-116788764803078" TargetMode="External"/><Relationship Id="rId37" Type="http://schemas.openxmlformats.org/officeDocument/2006/relationships/hyperlink" Target="https://stock.cfi.cn/p20261008003057.html" TargetMode="External"/><Relationship Id="rId38" Type="http://schemas.openxmlformats.org/officeDocument/2006/relationships/hyperlink" Target="https://etnet.com.hk/www/sc/stocks/realtime/quote_profit.php?code=00308" TargetMode="External"/><Relationship Id="rId39" Type="http://schemas.openxmlformats.org/officeDocument/2006/relationships/hyperlink" Target="https://pdf.dfcfw.com/pdf/H3_AP202608241828360069_1.pdf" TargetMode="External"/><Relationship Id="rId40" Type="http://schemas.openxmlformats.org/officeDocument/2006/relationships/hyperlink" Target="https://pdf.dfcfw.com/pdf/H3_AP202608231828341893_1.pdf" TargetMode="External"/><Relationship Id="rId41" Type="http://schemas.openxmlformats.org/officeDocument/2006/relationships/hyperlink" Target="https://pdf.dfcfw.com/pdf/H3_AP202608271828505027_1.pdf" TargetMode="External"/><Relationship Id="rId42" Type="http://schemas.openxmlformats.org/officeDocument/2006/relationships/hyperlink" Target="https://www1.hkexnews.hk/app/sehk/2026/108373/documents/sehk26100700090.pdf" TargetMode="External"/><Relationship Id="rId43" Type="http://schemas.openxmlformats.org/officeDocument/2006/relationships/hyperlink" Target="https://xueqiu.com/6620276709/381993167" TargetMode="External"/><Relationship Id="rId44" Type="http://schemas.openxmlformats.org/officeDocument/2006/relationships/hyperlink" Target="https://qt.gtimg.cn/q=sz002709,sz300037,sz002384,sh688686,sh688003,sh603099,sz002033,sh603199,sz301238,sz002407,sz002916,sh603228,sz300308,hk02715,hk03228,hk09615,hk00308" TargetMode="External"/><Relationship Id="rId45" Type="http://schemas.openxmlformats.org/officeDocument/2006/relationships/hyperlink" Target="https://web.ifzq.gtimg.cn/appstock/app/kline/kline?param=hk03228,day,2026-10-01,2026-10-13,20" TargetMode="External"/><Relationship Id="rId46" Type="http://schemas.openxmlformats.org/officeDocument/2006/relationships/hyperlink" Target="https://www.safe.gov.cn/AppStructured/hlw/RMBQuery.do?COLLCC=546877760" TargetMode="External"/><Relationship Id="rId47" Type="http://schemas.openxmlformats.org/officeDocument/2006/relationships/hyperlink" Target="https://www1.hkexnews.hk/ncms/json/eds/appactive_appphip_sehk_e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9133a70-897c-4909-bbcd-cb29bcf187fc}" enabled="1" method="Standard" siteId="{4f5ffafc-2407-4998-9cda-2524c60b901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5</Pages>
  <Words>778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Tam, Kenny (GM/HK)</cp:lastModifiedBy>
  <cp:revision>2</cp:revision>
  <dcterms:created xsi:type="dcterms:W3CDTF">2026-10-13T09:37:00Z</dcterms:created>
  <dcterms:modified xsi:type="dcterms:W3CDTF">2026-10-13T09:37:00Z</dcterms:modified>
  <cp:category/>
</cp:coreProperties>
</file>