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0"/>
        </w:rPr>
        <w:t>套路回撥: is the day-one pop allocation, or fundamentals?</w:t>
      </w:r>
    </w:p>
    <w:p>
      <w:pPr>
        <w:spacing w:after="200"/>
      </w:pPr>
      <w:r>
        <w:rPr>
          <w:b w:val="0"/>
          <w:i/>
          <w:sz w:val="19"/>
        </w:rPr>
        <w:t>HK IPO book, 519 Main Board deals 2021–2026, as of 2026-09-23. Every figure below is computed from the book; the sources for anything read from outside it are listed at the end.</w:t>
      </w:r>
    </w:p>
    <w:p>
      <w:pPr>
        <w:spacing w:after="120"/>
      </w:pPr>
      <w:r>
        <w:rPr>
          <w:b/>
          <w:i w:val="0"/>
          <w:sz w:val="24"/>
        </w:rPr>
        <w:t>The short answer</w:t>
      </w:r>
    </w:p>
    <w:p>
      <w:pPr>
        <w:spacing w:after="120"/>
      </w:pPr>
      <w:r>
        <w:rPr>
          <w:b w:val="0"/>
          <w:i w:val="0"/>
          <w:sz w:val="21"/>
        </w:rPr>
        <w:t>Yes, and it can be shown rather than suspected. 25 of the 27 deals on the list sit in a cluster of exactly 27 deals in the whole book where the international book was filled to between 0.85x and 0.99x. That cluster has the smallest deals in the book (median HK$198m against HK$2,483m for the hot cohort), a modest public book (median 70.5x against 747.9x), and yet it opens like the hottest deals in the market: median open +35.5% against +30.8% for deals with ten times the demand. The pop is not demand and it is not fundamentals. It is the share of the deal that retail was allowed to have.</w:t>
      </w:r>
    </w:p>
    <w:p>
      <w:pPr>
        <w:spacing w:after="120"/>
      </w:pPr>
      <w:r>
        <w:rPr>
          <w:b w:val="0"/>
          <w:i w:val="0"/>
          <w:sz w:val="21"/>
        </w:rPr>
        <w:t>The mechanism is written in every prospectus. The PN18 clawback, which lifts the public tranche to 30/40/50% of the deal when the public book is 15x/50x/100x covered, applies only "if the International Offering is fully subscribed or oversubscribed". At 0.99x it is not. The coordinators are then free to reallocate the placing shortfall "in such proportions as they deem appropriate", and they pass retail the shortfall and nothing more. The result, measured across every deal with a 100x-plus public book under the old rules: retail received a median 50.0% of the deal when the placing was covered and 16.7% when it was left 1–15% short. Same demand, a third of the shares, and ~100–170 chosen placees holding the rest.</w:t>
      </w:r>
    </w:p>
    <w:p>
      <w:pPr>
        <w:spacing w:after="120"/>
      </w:pPr>
      <w:r>
        <w:rPr>
          <w:b w:val="0"/>
          <w:i w:val="0"/>
          <w:sz w:val="21"/>
        </w:rPr>
        <w:t>Two of the 27 are not this. MIDEA GROUP (0300) had an international book of 8.06x; CENTRALCHINA MT (9982) had an international book of 0.72x. Midea's 0.11x in the database was a parse error (the number came from the clawback rule table, not from the subscription result); its placing was 8.06x covered with 236 placees and its 5% retail allocation is a big-cap norm. CentralChina's placing was genuinely 0.72x with a 5x public book: a weak deal, not a starved one, and it fell.</w:t>
      </w:r>
    </w:p>
    <w:p>
      <w:pPr>
        <w:spacing w:after="120"/>
      </w:pPr>
      <w:r>
        <w:rPr>
          <w:b/>
          <w:i w:val="0"/>
          <w:sz w:val="24"/>
        </w:rPr>
        <w:t>1. The data had to be fixed first</w:t>
      </w:r>
    </w:p>
    <w:p>
      <w:pPr>
        <w:spacing w:after="120"/>
      </w:pPr>
      <w:r>
        <w:rPr>
          <w:b w:val="0"/>
          <w:i w:val="0"/>
          <w:sz w:val="21"/>
        </w:rPr>
        <w:t>The international multiple could not be taken on trust. For 20 of the 27 the evidence stored beside it in the database quoted the PUBLIC offer's table ("No. of successful applications … Subscription level 337.57 times"), so the number needed proving. Each allotment announcement was re-read from its own INTERNATIONAL OFFERING section, anchored on the placee count, for all 519 deals. The values held for 24 of the 27; Midea's was wrong (0.11x, read from the clawback rule table; the real figure is 8.06x); three 2021–23 notices written in prose (Deyun, Huaibei, CentralChina) could not be re-read and keep their earlier figure. The cluster survived the check: 27 deals with a placing between 0.85x and 0.99x, placee counts between 32 and 218 (median 120), and a final public share of the offering that the same notices state directly (median 15.1%).</w:t>
      </w:r>
    </w:p>
    <w:tbl>
      <w:tblPr>
        <w:tblStyle w:val="TableGrid"/>
        <w:tblW w:type="auto" w:w="0"/>
        <w:tblLook w:firstColumn="1" w:firstRow="1" w:lastColumn="0" w:lastRow="0" w:noHBand="0" w:noVBand="1" w:val="04A0"/>
      </w:tblPr>
      <w:tblGrid>
        <w:gridCol w:w="712"/>
        <w:gridCol w:w="712"/>
        <w:gridCol w:w="712"/>
        <w:gridCol w:w="712"/>
        <w:gridCol w:w="712"/>
        <w:gridCol w:w="712"/>
        <w:gridCol w:w="712"/>
        <w:gridCol w:w="712"/>
        <w:gridCol w:w="712"/>
        <w:gridCol w:w="712"/>
        <w:gridCol w:w="712"/>
        <w:gridCol w:w="712"/>
        <w:gridCol w:w="712"/>
        <w:gridCol w:w="712"/>
      </w:tblGrid>
      <w:tr>
        <w:tc>
          <w:tcPr>
            <w:tcW w:type="dxa" w:w="1928"/>
          </w:tcPr>
          <w:p>
            <w:r/>
            <w:r>
              <w:rPr>
                <w:b/>
                <w:sz w:val="15"/>
              </w:rPr>
              <w:t>Deal</w:t>
            </w:r>
          </w:p>
        </w:tc>
        <w:tc>
          <w:tcPr>
            <w:tcW w:type="dxa" w:w="964"/>
          </w:tcPr>
          <w:p>
            <w:r/>
            <w:r>
              <w:rPr>
                <w:b/>
                <w:sz w:val="15"/>
              </w:rPr>
              <w:t>Listed</w:t>
            </w:r>
          </w:p>
        </w:tc>
        <w:tc>
          <w:tcPr>
            <w:tcW w:type="dxa" w:w="794"/>
          </w:tcPr>
          <w:p>
            <w:r/>
            <w:r>
              <w:rPr>
                <w:b/>
                <w:sz w:val="15"/>
              </w:rPr>
              <w:t>Size HK$m</w:t>
            </w:r>
          </w:p>
        </w:tc>
        <w:tc>
          <w:tcPr>
            <w:tcW w:type="dxa" w:w="737"/>
          </w:tcPr>
          <w:p>
            <w:r/>
            <w:r>
              <w:rPr>
                <w:b/>
                <w:sz w:val="15"/>
              </w:rPr>
              <w:t>Public</w:t>
            </w:r>
          </w:p>
        </w:tc>
        <w:tc>
          <w:tcPr>
            <w:tcW w:type="dxa" w:w="624"/>
          </w:tcPr>
          <w:p>
            <w:r/>
            <w:r>
              <w:rPr>
                <w:b/>
                <w:sz w:val="15"/>
              </w:rPr>
              <w:t>Intl</w:t>
            </w:r>
          </w:p>
        </w:tc>
        <w:tc>
          <w:tcPr>
            <w:tcW w:type="dxa" w:w="680"/>
          </w:tcPr>
          <w:p>
            <w:r/>
            <w:r>
              <w:rPr>
                <w:b/>
                <w:sz w:val="15"/>
              </w:rPr>
              <w:t>Placees</w:t>
            </w:r>
          </w:p>
        </w:tc>
        <w:tc>
          <w:tcPr>
            <w:tcW w:type="dxa" w:w="737"/>
          </w:tcPr>
          <w:p>
            <w:r/>
            <w:r>
              <w:rPr>
                <w:b/>
                <w:sz w:val="15"/>
              </w:rPr>
              <w:t>Retail %</w:t>
            </w:r>
          </w:p>
        </w:tc>
        <w:tc>
          <w:tcPr>
            <w:tcW w:type="dxa" w:w="567"/>
          </w:tcPr>
          <w:p>
            <w:r/>
            <w:r>
              <w:rPr>
                <w:b/>
                <w:sz w:val="15"/>
              </w:rPr>
              <w:t>Claw</w:t>
            </w:r>
          </w:p>
        </w:tc>
        <w:tc>
          <w:tcPr>
            <w:tcW w:type="dxa" w:w="680"/>
          </w:tcPr>
          <w:p>
            <w:r/>
            <w:r>
              <w:rPr>
                <w:b/>
                <w:sz w:val="15"/>
              </w:rPr>
              <w:t>Grey</w:t>
            </w:r>
          </w:p>
        </w:tc>
        <w:tc>
          <w:tcPr>
            <w:tcW w:type="dxa" w:w="680"/>
          </w:tcPr>
          <w:p>
            <w:r/>
            <w:r>
              <w:rPr>
                <w:b/>
                <w:sz w:val="15"/>
              </w:rPr>
              <w:t>Open</w:t>
            </w:r>
          </w:p>
        </w:tc>
        <w:tc>
          <w:tcPr>
            <w:tcW w:type="dxa" w:w="680"/>
          </w:tcPr>
          <w:p>
            <w:r/>
            <w:r>
              <w:rPr>
                <w:b/>
                <w:sz w:val="15"/>
              </w:rPr>
              <w:t>Close</w:t>
            </w:r>
          </w:p>
        </w:tc>
        <w:tc>
          <w:tcPr>
            <w:tcW w:type="dxa" w:w="850"/>
          </w:tcPr>
          <w:p>
            <w:r/>
            <w:r>
              <w:rPr>
                <w:b/>
                <w:sz w:val="15"/>
              </w:rPr>
              <w:t>Open→close</w:t>
            </w:r>
          </w:p>
        </w:tc>
        <w:tc>
          <w:tcPr>
            <w:tcW w:type="dxa" w:w="794"/>
          </w:tcPr>
          <w:p>
            <w:r/>
            <w:r>
              <w:rPr>
                <w:b/>
                <w:sz w:val="15"/>
              </w:rPr>
              <w:t>Vol/retail</w:t>
            </w:r>
          </w:p>
        </w:tc>
        <w:tc>
          <w:tcPr>
            <w:tcW w:type="dxa" w:w="680"/>
          </w:tcPr>
          <w:p>
            <w:r/>
            <w:r>
              <w:rPr>
                <w:b/>
                <w:sz w:val="15"/>
              </w:rPr>
              <w:t>HSI d1</w:t>
            </w:r>
          </w:p>
        </w:tc>
      </w:tr>
      <w:tr>
        <w:tc>
          <w:tcPr>
            <w:tcW w:type="dxa" w:w="1928"/>
          </w:tcPr>
          <w:p>
            <w:r/>
            <w:r>
              <w:rPr>
                <w:sz w:val="15"/>
              </w:rPr>
              <w:t>9982 CENTRALCHINA MT</w:t>
            </w:r>
          </w:p>
        </w:tc>
        <w:tc>
          <w:tcPr>
            <w:tcW w:type="dxa" w:w="964"/>
          </w:tcPr>
          <w:p>
            <w:pPr>
              <w:jc w:val="right"/>
            </w:pPr>
            <w:r/>
            <w:r>
              <w:rPr>
                <w:sz w:val="15"/>
              </w:rPr>
              <w:t>2021-05-31</w:t>
            </w:r>
          </w:p>
        </w:tc>
        <w:tc>
          <w:tcPr>
            <w:tcW w:type="dxa" w:w="794"/>
          </w:tcPr>
          <w:p>
            <w:pPr>
              <w:jc w:val="right"/>
            </w:pPr>
            <w:r/>
            <w:r>
              <w:rPr>
                <w:sz w:val="15"/>
              </w:rPr>
              <w:t>984</w:t>
            </w:r>
          </w:p>
        </w:tc>
        <w:tc>
          <w:tcPr>
            <w:tcW w:type="dxa" w:w="737"/>
          </w:tcPr>
          <w:p>
            <w:pPr>
              <w:jc w:val="right"/>
            </w:pPr>
            <w:r/>
            <w:r>
              <w:rPr>
                <w:sz w:val="15"/>
              </w:rPr>
              <w:t>5.0x</w:t>
            </w:r>
          </w:p>
        </w:tc>
        <w:tc>
          <w:tcPr>
            <w:tcW w:type="dxa" w:w="624"/>
          </w:tcPr>
          <w:p>
            <w:pPr>
              <w:jc w:val="right"/>
            </w:pPr>
            <w:r/>
            <w:r>
              <w:rPr>
                <w:sz w:val="15"/>
              </w:rPr>
              <w:t>0.72x</w:t>
            </w:r>
          </w:p>
        </w:tc>
        <w:tc>
          <w:tcPr>
            <w:tcW w:type="dxa" w:w="680"/>
          </w:tcPr>
          <w:p>
            <w:pPr>
              <w:jc w:val="right"/>
            </w:pPr>
            <w:r/>
            <w:r>
              <w:rPr>
                <w:sz w:val="15"/>
              </w:rPr>
              <w:t>137</w:t>
            </w:r>
          </w:p>
        </w:tc>
        <w:tc>
          <w:tcPr>
            <w:tcW w:type="dxa" w:w="737"/>
          </w:tcPr>
          <w:p>
            <w:pPr>
              <w:jc w:val="right"/>
            </w:pPr>
            <w:r/>
            <w:r>
              <w:rPr>
                <w:sz w:val="15"/>
              </w:rPr>
              <w:t>—</w:t>
            </w:r>
          </w:p>
        </w:tc>
        <w:tc>
          <w:tcPr>
            <w:tcW w:type="dxa" w:w="567"/>
          </w:tcPr>
          <w:p>
            <w:pPr>
              <w:jc w:val="right"/>
            </w:pPr>
            <w:r/>
            <w:r>
              <w:rPr>
                <w:sz w:val="15"/>
              </w:rPr>
              <w:t>—</w:t>
            </w:r>
          </w:p>
        </w:tc>
        <w:tc>
          <w:tcPr>
            <w:tcW w:type="dxa" w:w="680"/>
          </w:tcPr>
          <w:p>
            <w:pPr>
              <w:jc w:val="right"/>
            </w:pPr>
            <w:r/>
            <w:r>
              <w:rPr>
                <w:sz w:val="15"/>
              </w:rPr>
              <w:t>-14.0%</w:t>
            </w:r>
          </w:p>
        </w:tc>
        <w:tc>
          <w:tcPr>
            <w:tcW w:type="dxa" w:w="680"/>
          </w:tcPr>
          <w:p>
            <w:pPr>
              <w:jc w:val="right"/>
            </w:pPr>
            <w:r/>
            <w:r>
              <w:rPr>
                <w:sz w:val="15"/>
              </w:rPr>
              <w:t>-16.7%</w:t>
            </w:r>
          </w:p>
        </w:tc>
        <w:tc>
          <w:tcPr>
            <w:tcW w:type="dxa" w:w="680"/>
          </w:tcPr>
          <w:p>
            <w:pPr>
              <w:jc w:val="right"/>
            </w:pPr>
            <w:r/>
            <w:r>
              <w:rPr>
                <w:sz w:val="15"/>
              </w:rPr>
              <w:t>-12.0%</w:t>
            </w:r>
          </w:p>
        </w:tc>
        <w:tc>
          <w:tcPr>
            <w:tcW w:type="dxa" w:w="850"/>
          </w:tcPr>
          <w:p>
            <w:pPr>
              <w:jc w:val="right"/>
            </w:pPr>
            <w:r/>
            <w:r>
              <w:rPr>
                <w:sz w:val="15"/>
              </w:rPr>
              <w:t>+5.6%</w:t>
            </w:r>
          </w:p>
        </w:tc>
        <w:tc>
          <w:tcPr>
            <w:tcW w:type="dxa" w:w="794"/>
          </w:tcPr>
          <w:p>
            <w:pPr>
              <w:jc w:val="right"/>
            </w:pPr>
            <w:r/>
            <w:r>
              <w:rPr>
                <w:sz w:val="15"/>
              </w:rPr>
              <w:t>—</w:t>
            </w:r>
          </w:p>
        </w:tc>
        <w:tc>
          <w:tcPr>
            <w:tcW w:type="dxa" w:w="680"/>
          </w:tcPr>
          <w:p>
            <w:pPr>
              <w:jc w:val="right"/>
            </w:pPr>
            <w:r/>
            <w:r>
              <w:rPr>
                <w:sz w:val="15"/>
              </w:rPr>
              <w:t>+0.09%</w:t>
            </w:r>
          </w:p>
        </w:tc>
      </w:tr>
      <w:tr>
        <w:tc>
          <w:tcPr>
            <w:tcW w:type="dxa" w:w="1928"/>
          </w:tcPr>
          <w:p>
            <w:r/>
            <w:r>
              <w:rPr>
                <w:sz w:val="15"/>
              </w:rPr>
              <w:t>2881 WUHAN YOUJI</w:t>
            </w:r>
          </w:p>
        </w:tc>
        <w:tc>
          <w:tcPr>
            <w:tcW w:type="dxa" w:w="964"/>
          </w:tcPr>
          <w:p>
            <w:pPr>
              <w:jc w:val="right"/>
            </w:pPr>
            <w:r/>
            <w:r>
              <w:rPr>
                <w:sz w:val="15"/>
              </w:rPr>
              <w:t>2024-06-18</w:t>
            </w:r>
          </w:p>
        </w:tc>
        <w:tc>
          <w:tcPr>
            <w:tcW w:type="dxa" w:w="794"/>
          </w:tcPr>
          <w:p>
            <w:pPr>
              <w:jc w:val="right"/>
            </w:pPr>
            <w:r/>
            <w:r>
              <w:rPr>
                <w:sz w:val="15"/>
              </w:rPr>
              <w:t>101</w:t>
            </w:r>
          </w:p>
        </w:tc>
        <w:tc>
          <w:tcPr>
            <w:tcW w:type="dxa" w:w="737"/>
          </w:tcPr>
          <w:p>
            <w:pPr>
              <w:jc w:val="right"/>
            </w:pPr>
            <w:r/>
            <w:r>
              <w:rPr>
                <w:sz w:val="15"/>
              </w:rPr>
              <w:t>337.6x</w:t>
            </w:r>
          </w:p>
        </w:tc>
        <w:tc>
          <w:tcPr>
            <w:tcW w:type="dxa" w:w="624"/>
          </w:tcPr>
          <w:p>
            <w:pPr>
              <w:jc w:val="right"/>
            </w:pPr>
            <w:r/>
            <w:r>
              <w:rPr>
                <w:sz w:val="15"/>
              </w:rPr>
              <w:t>0.92x</w:t>
            </w:r>
          </w:p>
        </w:tc>
        <w:tc>
          <w:tcPr>
            <w:tcW w:type="dxa" w:w="680"/>
          </w:tcPr>
          <w:p>
            <w:pPr>
              <w:jc w:val="right"/>
            </w:pPr>
            <w:r/>
            <w:r>
              <w:rPr>
                <w:sz w:val="15"/>
              </w:rPr>
              <w:t>120</w:t>
            </w:r>
          </w:p>
        </w:tc>
        <w:tc>
          <w:tcPr>
            <w:tcW w:type="dxa" w:w="737"/>
          </w:tcPr>
          <w:p>
            <w:pPr>
              <w:jc w:val="right"/>
            </w:pPr>
            <w:r/>
            <w:r>
              <w:rPr>
                <w:sz w:val="15"/>
              </w:rPr>
              <w:t>17.8%</w:t>
            </w:r>
          </w:p>
        </w:tc>
        <w:tc>
          <w:tcPr>
            <w:tcW w:type="dxa" w:w="567"/>
          </w:tcPr>
          <w:p>
            <w:pPr>
              <w:jc w:val="right"/>
            </w:pPr>
            <w:r/>
            <w:r>
              <w:rPr>
                <w:sz w:val="15"/>
              </w:rPr>
              <w:t>—</w:t>
            </w:r>
          </w:p>
        </w:tc>
        <w:tc>
          <w:tcPr>
            <w:tcW w:type="dxa" w:w="680"/>
          </w:tcPr>
          <w:p>
            <w:pPr>
              <w:jc w:val="right"/>
            </w:pPr>
            <w:r/>
            <w:r>
              <w:rPr>
                <w:sz w:val="15"/>
              </w:rPr>
              <w:t>+71.6%</w:t>
            </w:r>
          </w:p>
        </w:tc>
        <w:tc>
          <w:tcPr>
            <w:tcW w:type="dxa" w:w="680"/>
          </w:tcPr>
          <w:p>
            <w:pPr>
              <w:jc w:val="right"/>
            </w:pPr>
            <w:r/>
            <w:r>
              <w:rPr>
                <w:sz w:val="15"/>
              </w:rPr>
              <w:t>+79.6%</w:t>
            </w:r>
          </w:p>
        </w:tc>
        <w:tc>
          <w:tcPr>
            <w:tcW w:type="dxa" w:w="680"/>
          </w:tcPr>
          <w:p>
            <w:pPr>
              <w:jc w:val="right"/>
            </w:pPr>
            <w:r/>
            <w:r>
              <w:rPr>
                <w:sz w:val="15"/>
              </w:rPr>
              <w:t>+27.6%</w:t>
            </w:r>
          </w:p>
        </w:tc>
        <w:tc>
          <w:tcPr>
            <w:tcW w:type="dxa" w:w="850"/>
          </w:tcPr>
          <w:p>
            <w:pPr>
              <w:jc w:val="right"/>
            </w:pPr>
            <w:r/>
            <w:r>
              <w:rPr>
                <w:sz w:val="15"/>
              </w:rPr>
              <w:t>-28.9%</w:t>
            </w:r>
          </w:p>
        </w:tc>
        <w:tc>
          <w:tcPr>
            <w:tcW w:type="dxa" w:w="794"/>
          </w:tcPr>
          <w:p>
            <w:pPr>
              <w:jc w:val="right"/>
            </w:pPr>
            <w:r/>
            <w:r>
              <w:rPr>
                <w:sz w:val="15"/>
              </w:rPr>
              <w:t>2.9x</w:t>
            </w:r>
          </w:p>
        </w:tc>
        <w:tc>
          <w:tcPr>
            <w:tcW w:type="dxa" w:w="680"/>
          </w:tcPr>
          <w:p>
            <w:pPr>
              <w:jc w:val="right"/>
            </w:pPr>
            <w:r/>
            <w:r>
              <w:rPr>
                <w:sz w:val="15"/>
              </w:rPr>
              <w:t>-0.11%</w:t>
            </w:r>
          </w:p>
        </w:tc>
      </w:tr>
      <w:tr>
        <w:tc>
          <w:tcPr>
            <w:tcW w:type="dxa" w:w="1928"/>
          </w:tcPr>
          <w:p>
            <w:r/>
            <w:r>
              <w:rPr>
                <w:sz w:val="15"/>
              </w:rPr>
              <w:t>1333 BRETON</w:t>
            </w:r>
          </w:p>
        </w:tc>
        <w:tc>
          <w:tcPr>
            <w:tcW w:type="dxa" w:w="964"/>
          </w:tcPr>
          <w:p>
            <w:pPr>
              <w:jc w:val="right"/>
            </w:pPr>
            <w:r/>
            <w:r>
              <w:rPr>
                <w:sz w:val="15"/>
              </w:rPr>
              <w:t>2025-05-07</w:t>
            </w:r>
          </w:p>
        </w:tc>
        <w:tc>
          <w:tcPr>
            <w:tcW w:type="dxa" w:w="794"/>
          </w:tcPr>
          <w:p>
            <w:pPr>
              <w:jc w:val="right"/>
            </w:pPr>
            <w:r/>
            <w:r>
              <w:rPr>
                <w:sz w:val="15"/>
              </w:rPr>
              <w:t>234</w:t>
            </w:r>
          </w:p>
        </w:tc>
        <w:tc>
          <w:tcPr>
            <w:tcW w:type="dxa" w:w="737"/>
          </w:tcPr>
          <w:p>
            <w:pPr>
              <w:jc w:val="right"/>
            </w:pPr>
            <w:r/>
            <w:r>
              <w:rPr>
                <w:sz w:val="15"/>
              </w:rPr>
              <w:t>198.7x</w:t>
            </w:r>
          </w:p>
        </w:tc>
        <w:tc>
          <w:tcPr>
            <w:tcW w:type="dxa" w:w="624"/>
          </w:tcPr>
          <w:p>
            <w:pPr>
              <w:jc w:val="right"/>
            </w:pPr>
            <w:r/>
            <w:r>
              <w:rPr>
                <w:sz w:val="15"/>
              </w:rPr>
              <w:t>0.92x</w:t>
            </w:r>
          </w:p>
        </w:tc>
        <w:tc>
          <w:tcPr>
            <w:tcW w:type="dxa" w:w="680"/>
          </w:tcPr>
          <w:p>
            <w:pPr>
              <w:jc w:val="right"/>
            </w:pPr>
            <w:r/>
            <w:r>
              <w:rPr>
                <w:sz w:val="15"/>
              </w:rPr>
              <w:t>108</w:t>
            </w:r>
          </w:p>
        </w:tc>
        <w:tc>
          <w:tcPr>
            <w:tcW w:type="dxa" w:w="737"/>
          </w:tcPr>
          <w:p>
            <w:pPr>
              <w:jc w:val="right"/>
            </w:pPr>
            <w:r/>
            <w:r>
              <w:rPr>
                <w:sz w:val="15"/>
              </w:rPr>
              <w:t>20.0%</w:t>
            </w:r>
          </w:p>
        </w:tc>
        <w:tc>
          <w:tcPr>
            <w:tcW w:type="dxa" w:w="567"/>
          </w:tcPr>
          <w:p>
            <w:pPr>
              <w:jc w:val="right"/>
            </w:pPr>
            <w:r/>
            <w:r>
              <w:rPr>
                <w:sz w:val="15"/>
              </w:rPr>
              <w:t>NO</w:t>
            </w:r>
          </w:p>
        </w:tc>
        <w:tc>
          <w:tcPr>
            <w:tcW w:type="dxa" w:w="680"/>
          </w:tcPr>
          <w:p>
            <w:pPr>
              <w:jc w:val="right"/>
            </w:pPr>
            <w:r/>
            <w:r>
              <w:rPr>
                <w:sz w:val="15"/>
              </w:rPr>
              <w:t>+43.3%</w:t>
            </w:r>
          </w:p>
        </w:tc>
        <w:tc>
          <w:tcPr>
            <w:tcW w:type="dxa" w:w="680"/>
          </w:tcPr>
          <w:p>
            <w:pPr>
              <w:jc w:val="right"/>
            </w:pPr>
            <w:r/>
            <w:r>
              <w:rPr>
                <w:sz w:val="15"/>
              </w:rPr>
              <w:t>+61.1%</w:t>
            </w:r>
          </w:p>
        </w:tc>
        <w:tc>
          <w:tcPr>
            <w:tcW w:type="dxa" w:w="680"/>
          </w:tcPr>
          <w:p>
            <w:pPr>
              <w:jc w:val="right"/>
            </w:pPr>
            <w:r/>
            <w:r>
              <w:rPr>
                <w:sz w:val="15"/>
              </w:rPr>
              <w:t>+38.3%</w:t>
            </w:r>
          </w:p>
        </w:tc>
        <w:tc>
          <w:tcPr>
            <w:tcW w:type="dxa" w:w="850"/>
          </w:tcPr>
          <w:p>
            <w:pPr>
              <w:jc w:val="right"/>
            </w:pPr>
            <w:r/>
            <w:r>
              <w:rPr>
                <w:sz w:val="15"/>
              </w:rPr>
              <w:t>-14.1%</w:t>
            </w:r>
          </w:p>
        </w:tc>
        <w:tc>
          <w:tcPr>
            <w:tcW w:type="dxa" w:w="794"/>
          </w:tcPr>
          <w:p>
            <w:pPr>
              <w:jc w:val="right"/>
            </w:pPr>
            <w:r/>
            <w:r>
              <w:rPr>
                <w:sz w:val="15"/>
              </w:rPr>
              <w:t>3.2x</w:t>
            </w:r>
          </w:p>
        </w:tc>
        <w:tc>
          <w:tcPr>
            <w:tcW w:type="dxa" w:w="680"/>
          </w:tcPr>
          <w:p>
            <w:pPr>
              <w:jc w:val="right"/>
            </w:pPr>
            <w:r/>
            <w:r>
              <w:rPr>
                <w:sz w:val="15"/>
              </w:rPr>
              <w:t>+0.13%</w:t>
            </w:r>
          </w:p>
        </w:tc>
      </w:tr>
      <w:tr>
        <w:tc>
          <w:tcPr>
            <w:tcW w:type="dxa" w:w="1928"/>
          </w:tcPr>
          <w:p>
            <w:r/>
            <w:r>
              <w:rPr>
                <w:sz w:val="15"/>
              </w:rPr>
              <w:t>2625 JIANGSU HORIZON</w:t>
            </w:r>
          </w:p>
        </w:tc>
        <w:tc>
          <w:tcPr>
            <w:tcW w:type="dxa" w:w="964"/>
          </w:tcPr>
          <w:p>
            <w:pPr>
              <w:jc w:val="right"/>
            </w:pPr>
            <w:r/>
            <w:r>
              <w:rPr>
                <w:sz w:val="15"/>
              </w:rPr>
              <w:t>2025-03-31</w:t>
            </w:r>
          </w:p>
        </w:tc>
        <w:tc>
          <w:tcPr>
            <w:tcW w:type="dxa" w:w="794"/>
          </w:tcPr>
          <w:p>
            <w:pPr>
              <w:jc w:val="right"/>
            </w:pPr>
            <w:r/>
            <w:r>
              <w:rPr>
                <w:sz w:val="15"/>
              </w:rPr>
              <w:t>134</w:t>
            </w:r>
          </w:p>
        </w:tc>
        <w:tc>
          <w:tcPr>
            <w:tcW w:type="dxa" w:w="737"/>
          </w:tcPr>
          <w:p>
            <w:pPr>
              <w:jc w:val="right"/>
            </w:pPr>
            <w:r/>
            <w:r>
              <w:rPr>
                <w:sz w:val="15"/>
              </w:rPr>
              <w:t>47.0x</w:t>
            </w:r>
          </w:p>
        </w:tc>
        <w:tc>
          <w:tcPr>
            <w:tcW w:type="dxa" w:w="624"/>
          </w:tcPr>
          <w:p>
            <w:pPr>
              <w:jc w:val="right"/>
            </w:pPr>
            <w:r/>
            <w:r>
              <w:rPr>
                <w:sz w:val="15"/>
              </w:rPr>
              <w:t>0.93x</w:t>
            </w:r>
          </w:p>
        </w:tc>
        <w:tc>
          <w:tcPr>
            <w:tcW w:type="dxa" w:w="680"/>
          </w:tcPr>
          <w:p>
            <w:pPr>
              <w:jc w:val="right"/>
            </w:pPr>
            <w:r/>
            <w:r>
              <w:rPr>
                <w:sz w:val="15"/>
              </w:rPr>
              <w:t>130</w:t>
            </w:r>
          </w:p>
        </w:tc>
        <w:tc>
          <w:tcPr>
            <w:tcW w:type="dxa" w:w="737"/>
          </w:tcPr>
          <w:p>
            <w:pPr>
              <w:jc w:val="right"/>
            </w:pPr>
            <w:r/>
            <w:r>
              <w:rPr>
                <w:sz w:val="15"/>
              </w:rPr>
              <w:t>16.6%</w:t>
            </w:r>
          </w:p>
        </w:tc>
        <w:tc>
          <w:tcPr>
            <w:tcW w:type="dxa" w:w="567"/>
          </w:tcPr>
          <w:p>
            <w:pPr>
              <w:jc w:val="right"/>
            </w:pPr>
            <w:r/>
            <w:r>
              <w:rPr>
                <w:sz w:val="15"/>
              </w:rPr>
              <w:t>NO</w:t>
            </w:r>
          </w:p>
        </w:tc>
        <w:tc>
          <w:tcPr>
            <w:tcW w:type="dxa" w:w="680"/>
          </w:tcPr>
          <w:p>
            <w:pPr>
              <w:jc w:val="right"/>
            </w:pPr>
            <w:r/>
            <w:r>
              <w:rPr>
                <w:sz w:val="15"/>
              </w:rPr>
              <w:t>+28.8%</w:t>
            </w:r>
          </w:p>
        </w:tc>
        <w:tc>
          <w:tcPr>
            <w:tcW w:type="dxa" w:w="680"/>
          </w:tcPr>
          <w:p>
            <w:pPr>
              <w:jc w:val="right"/>
            </w:pPr>
            <w:r/>
            <w:r>
              <w:rPr>
                <w:sz w:val="15"/>
              </w:rPr>
              <w:t>+37.6%</w:t>
            </w:r>
          </w:p>
        </w:tc>
        <w:tc>
          <w:tcPr>
            <w:tcW w:type="dxa" w:w="680"/>
          </w:tcPr>
          <w:p>
            <w:pPr>
              <w:jc w:val="right"/>
            </w:pPr>
            <w:r/>
            <w:r>
              <w:rPr>
                <w:sz w:val="15"/>
              </w:rPr>
              <w:t>+0.0%</w:t>
            </w:r>
          </w:p>
        </w:tc>
        <w:tc>
          <w:tcPr>
            <w:tcW w:type="dxa" w:w="850"/>
          </w:tcPr>
          <w:p>
            <w:pPr>
              <w:jc w:val="right"/>
            </w:pPr>
            <w:r/>
            <w:r>
              <w:rPr>
                <w:sz w:val="15"/>
              </w:rPr>
              <w:t>-27.3%</w:t>
            </w:r>
          </w:p>
        </w:tc>
        <w:tc>
          <w:tcPr>
            <w:tcW w:type="dxa" w:w="794"/>
          </w:tcPr>
          <w:p>
            <w:pPr>
              <w:jc w:val="right"/>
            </w:pPr>
            <w:r/>
            <w:r>
              <w:rPr>
                <w:sz w:val="15"/>
              </w:rPr>
              <w:t>3.1x</w:t>
            </w:r>
          </w:p>
        </w:tc>
        <w:tc>
          <w:tcPr>
            <w:tcW w:type="dxa" w:w="680"/>
          </w:tcPr>
          <w:p>
            <w:pPr>
              <w:jc w:val="right"/>
            </w:pPr>
            <w:r/>
            <w:r>
              <w:rPr>
                <w:sz w:val="15"/>
              </w:rPr>
              <w:t>-1.31%</w:t>
            </w:r>
          </w:p>
        </w:tc>
      </w:tr>
      <w:tr>
        <w:tc>
          <w:tcPr>
            <w:tcW w:type="dxa" w:w="1928"/>
          </w:tcPr>
          <w:p>
            <w:r/>
            <w:r>
              <w:rPr>
                <w:sz w:val="15"/>
              </w:rPr>
              <w:t>2573 NEWTREND GROUP</w:t>
            </w:r>
          </w:p>
        </w:tc>
        <w:tc>
          <w:tcPr>
            <w:tcW w:type="dxa" w:w="964"/>
          </w:tcPr>
          <w:p>
            <w:pPr>
              <w:jc w:val="right"/>
            </w:pPr>
            <w:r/>
            <w:r>
              <w:rPr>
                <w:sz w:val="15"/>
              </w:rPr>
              <w:t>2025-06-10</w:t>
            </w:r>
          </w:p>
        </w:tc>
        <w:tc>
          <w:tcPr>
            <w:tcW w:type="dxa" w:w="794"/>
          </w:tcPr>
          <w:p>
            <w:pPr>
              <w:jc w:val="right"/>
            </w:pPr>
            <w:r/>
            <w:r>
              <w:rPr>
                <w:sz w:val="15"/>
              </w:rPr>
              <w:t>200</w:t>
            </w:r>
          </w:p>
        </w:tc>
        <w:tc>
          <w:tcPr>
            <w:tcW w:type="dxa" w:w="737"/>
          </w:tcPr>
          <w:p>
            <w:pPr>
              <w:jc w:val="right"/>
            </w:pPr>
            <w:r/>
            <w:r>
              <w:rPr>
                <w:sz w:val="15"/>
              </w:rPr>
              <w:t>149.4x</w:t>
            </w:r>
          </w:p>
        </w:tc>
        <w:tc>
          <w:tcPr>
            <w:tcW w:type="dxa" w:w="624"/>
          </w:tcPr>
          <w:p>
            <w:pPr>
              <w:jc w:val="right"/>
            </w:pPr>
            <w:r/>
            <w:r>
              <w:rPr>
                <w:sz w:val="15"/>
              </w:rPr>
              <w:t>0.93x</w:t>
            </w:r>
          </w:p>
        </w:tc>
        <w:tc>
          <w:tcPr>
            <w:tcW w:type="dxa" w:w="680"/>
          </w:tcPr>
          <w:p>
            <w:pPr>
              <w:jc w:val="right"/>
            </w:pPr>
            <w:r/>
            <w:r>
              <w:rPr>
                <w:sz w:val="15"/>
              </w:rPr>
              <w:t>118</w:t>
            </w:r>
          </w:p>
        </w:tc>
        <w:tc>
          <w:tcPr>
            <w:tcW w:type="dxa" w:w="737"/>
          </w:tcPr>
          <w:p>
            <w:pPr>
              <w:jc w:val="right"/>
            </w:pPr>
            <w:r/>
            <w:r>
              <w:rPr>
                <w:sz w:val="15"/>
              </w:rPr>
              <w:t>15.7%</w:t>
            </w:r>
          </w:p>
        </w:tc>
        <w:tc>
          <w:tcPr>
            <w:tcW w:type="dxa" w:w="567"/>
          </w:tcPr>
          <w:p>
            <w:pPr>
              <w:jc w:val="right"/>
            </w:pPr>
            <w:r/>
            <w:r>
              <w:rPr>
                <w:sz w:val="15"/>
              </w:rPr>
              <w:t>NO</w:t>
            </w:r>
          </w:p>
        </w:tc>
        <w:tc>
          <w:tcPr>
            <w:tcW w:type="dxa" w:w="680"/>
          </w:tcPr>
          <w:p>
            <w:pPr>
              <w:jc w:val="right"/>
            </w:pPr>
            <w:r/>
            <w:r>
              <w:rPr>
                <w:sz w:val="15"/>
              </w:rPr>
              <w:t>+72.5%</w:t>
            </w:r>
          </w:p>
        </w:tc>
        <w:tc>
          <w:tcPr>
            <w:tcW w:type="dxa" w:w="680"/>
          </w:tcPr>
          <w:p>
            <w:pPr>
              <w:jc w:val="right"/>
            </w:pPr>
            <w:r/>
            <w:r>
              <w:rPr>
                <w:sz w:val="15"/>
              </w:rPr>
              <w:t>+60.0%</w:t>
            </w:r>
          </w:p>
        </w:tc>
        <w:tc>
          <w:tcPr>
            <w:tcW w:type="dxa" w:w="680"/>
          </w:tcPr>
          <w:p>
            <w:pPr>
              <w:jc w:val="right"/>
            </w:pPr>
            <w:r/>
            <w:r>
              <w:rPr>
                <w:sz w:val="15"/>
              </w:rPr>
              <w:t>+21.4%</w:t>
            </w:r>
          </w:p>
        </w:tc>
        <w:tc>
          <w:tcPr>
            <w:tcW w:type="dxa" w:w="850"/>
          </w:tcPr>
          <w:p>
            <w:pPr>
              <w:jc w:val="right"/>
            </w:pPr>
            <w:r/>
            <w:r>
              <w:rPr>
                <w:sz w:val="15"/>
              </w:rPr>
              <w:t>-24.1%</w:t>
            </w:r>
          </w:p>
        </w:tc>
        <w:tc>
          <w:tcPr>
            <w:tcW w:type="dxa" w:w="794"/>
          </w:tcPr>
          <w:p>
            <w:pPr>
              <w:jc w:val="right"/>
            </w:pPr>
            <w:r/>
            <w:r>
              <w:rPr>
                <w:sz w:val="15"/>
              </w:rPr>
              <w:t>3.1x</w:t>
            </w:r>
          </w:p>
        </w:tc>
        <w:tc>
          <w:tcPr>
            <w:tcW w:type="dxa" w:w="680"/>
          </w:tcPr>
          <w:p>
            <w:pPr>
              <w:jc w:val="right"/>
            </w:pPr>
            <w:r/>
            <w:r>
              <w:rPr>
                <w:sz w:val="15"/>
              </w:rPr>
              <w:t>-0.08%</w:t>
            </w:r>
          </w:p>
        </w:tc>
      </w:tr>
      <w:tr>
        <w:tc>
          <w:tcPr>
            <w:tcW w:type="dxa" w:w="1928"/>
          </w:tcPr>
          <w:p>
            <w:r/>
            <w:r>
              <w:rPr>
                <w:sz w:val="15"/>
              </w:rPr>
              <w:t>2450 HUAIBEI GD CO</w:t>
            </w:r>
          </w:p>
        </w:tc>
        <w:tc>
          <w:tcPr>
            <w:tcW w:type="dxa" w:w="964"/>
          </w:tcPr>
          <w:p>
            <w:pPr>
              <w:jc w:val="right"/>
            </w:pPr>
            <w:r/>
            <w:r>
              <w:rPr>
                <w:sz w:val="15"/>
              </w:rPr>
              <w:t>2023-01-20</w:t>
            </w:r>
          </w:p>
        </w:tc>
        <w:tc>
          <w:tcPr>
            <w:tcW w:type="dxa" w:w="794"/>
          </w:tcPr>
          <w:p>
            <w:pPr>
              <w:jc w:val="right"/>
            </w:pPr>
            <w:r/>
            <w:r>
              <w:rPr>
                <w:sz w:val="15"/>
              </w:rPr>
              <w:t>126</w:t>
            </w:r>
          </w:p>
        </w:tc>
        <w:tc>
          <w:tcPr>
            <w:tcW w:type="dxa" w:w="737"/>
          </w:tcPr>
          <w:p>
            <w:pPr>
              <w:jc w:val="right"/>
            </w:pPr>
            <w:r/>
            <w:r>
              <w:rPr>
                <w:sz w:val="15"/>
              </w:rPr>
              <w:t>12.3x</w:t>
            </w:r>
          </w:p>
        </w:tc>
        <w:tc>
          <w:tcPr>
            <w:tcW w:type="dxa" w:w="624"/>
          </w:tcPr>
          <w:p>
            <w:pPr>
              <w:jc w:val="right"/>
            </w:pPr>
            <w:r/>
            <w:r>
              <w:rPr>
                <w:sz w:val="15"/>
              </w:rPr>
              <w:t>0.95x</w:t>
            </w:r>
          </w:p>
        </w:tc>
        <w:tc>
          <w:tcPr>
            <w:tcW w:type="dxa" w:w="680"/>
          </w:tcPr>
          <w:p>
            <w:pPr>
              <w:jc w:val="right"/>
            </w:pPr>
            <w:r/>
            <w:r>
              <w:rPr>
                <w:sz w:val="15"/>
              </w:rPr>
              <w:t>137</w:t>
            </w:r>
          </w:p>
        </w:tc>
        <w:tc>
          <w:tcPr>
            <w:tcW w:type="dxa" w:w="737"/>
          </w:tcPr>
          <w:p>
            <w:pPr>
              <w:jc w:val="right"/>
            </w:pPr>
            <w:r/>
            <w:r>
              <w:rPr>
                <w:sz w:val="15"/>
              </w:rPr>
              <w:t>20.0%</w:t>
            </w:r>
          </w:p>
        </w:tc>
        <w:tc>
          <w:tcPr>
            <w:tcW w:type="dxa" w:w="567"/>
          </w:tcPr>
          <w:p>
            <w:pPr>
              <w:jc w:val="right"/>
            </w:pPr>
            <w:r/>
            <w:r>
              <w:rPr>
                <w:sz w:val="15"/>
              </w:rPr>
              <w:t>—</w:t>
            </w:r>
          </w:p>
        </w:tc>
        <w:tc>
          <w:tcPr>
            <w:tcW w:type="dxa" w:w="680"/>
          </w:tcPr>
          <w:p>
            <w:pPr>
              <w:jc w:val="right"/>
            </w:pPr>
            <w:r/>
            <w:r>
              <w:rPr>
                <w:sz w:val="15"/>
              </w:rPr>
              <w:t>—</w:t>
            </w:r>
          </w:p>
        </w:tc>
        <w:tc>
          <w:tcPr>
            <w:tcW w:type="dxa" w:w="680"/>
          </w:tcPr>
          <w:p>
            <w:pPr>
              <w:jc w:val="right"/>
            </w:pPr>
            <w:r/>
            <w:r>
              <w:rPr>
                <w:sz w:val="15"/>
              </w:rPr>
              <w:t>-36.6%</w:t>
            </w:r>
          </w:p>
        </w:tc>
        <w:tc>
          <w:tcPr>
            <w:tcW w:type="dxa" w:w="680"/>
          </w:tcPr>
          <w:p>
            <w:pPr>
              <w:jc w:val="right"/>
            </w:pPr>
            <w:r/>
            <w:r>
              <w:rPr>
                <w:sz w:val="15"/>
              </w:rPr>
              <w:t>-44.5%</w:t>
            </w:r>
          </w:p>
        </w:tc>
        <w:tc>
          <w:tcPr>
            <w:tcW w:type="dxa" w:w="850"/>
          </w:tcPr>
          <w:p>
            <w:pPr>
              <w:jc w:val="right"/>
            </w:pPr>
            <w:r/>
            <w:r>
              <w:rPr>
                <w:sz w:val="15"/>
              </w:rPr>
              <w:t>-12.4%</w:t>
            </w:r>
          </w:p>
        </w:tc>
        <w:tc>
          <w:tcPr>
            <w:tcW w:type="dxa" w:w="794"/>
          </w:tcPr>
          <w:p>
            <w:pPr>
              <w:jc w:val="right"/>
            </w:pPr>
            <w:r/>
            <w:r>
              <w:rPr>
                <w:sz w:val="15"/>
              </w:rPr>
              <w:t>3.6x</w:t>
            </w:r>
          </w:p>
        </w:tc>
        <w:tc>
          <w:tcPr>
            <w:tcW w:type="dxa" w:w="680"/>
          </w:tcPr>
          <w:p>
            <w:pPr>
              <w:jc w:val="right"/>
            </w:pPr>
            <w:r/>
            <w:r>
              <w:rPr>
                <w:sz w:val="15"/>
              </w:rPr>
              <w:t>+1.82%</w:t>
            </w:r>
          </w:p>
        </w:tc>
      </w:tr>
      <w:tr>
        <w:tc>
          <w:tcPr>
            <w:tcW w:type="dxa" w:w="1928"/>
          </w:tcPr>
          <w:p>
            <w:r/>
            <w:r>
              <w:rPr>
                <w:sz w:val="15"/>
              </w:rPr>
              <w:t>2613 CONTIOCEAN</w:t>
            </w:r>
          </w:p>
        </w:tc>
        <w:tc>
          <w:tcPr>
            <w:tcW w:type="dxa" w:w="964"/>
          </w:tcPr>
          <w:p>
            <w:pPr>
              <w:jc w:val="right"/>
            </w:pPr>
            <w:r/>
            <w:r>
              <w:rPr>
                <w:sz w:val="15"/>
              </w:rPr>
              <w:t>2025-01-09</w:t>
            </w:r>
          </w:p>
        </w:tc>
        <w:tc>
          <w:tcPr>
            <w:tcW w:type="dxa" w:w="794"/>
          </w:tcPr>
          <w:p>
            <w:pPr>
              <w:jc w:val="right"/>
            </w:pPr>
            <w:r/>
            <w:r>
              <w:rPr>
                <w:sz w:val="15"/>
              </w:rPr>
              <w:t>318</w:t>
            </w:r>
          </w:p>
        </w:tc>
        <w:tc>
          <w:tcPr>
            <w:tcW w:type="dxa" w:w="737"/>
          </w:tcPr>
          <w:p>
            <w:pPr>
              <w:jc w:val="right"/>
            </w:pPr>
            <w:r/>
            <w:r>
              <w:rPr>
                <w:sz w:val="15"/>
              </w:rPr>
              <w:t>55.3x</w:t>
            </w:r>
          </w:p>
        </w:tc>
        <w:tc>
          <w:tcPr>
            <w:tcW w:type="dxa" w:w="624"/>
          </w:tcPr>
          <w:p>
            <w:pPr>
              <w:jc w:val="right"/>
            </w:pPr>
            <w:r/>
            <w:r>
              <w:rPr>
                <w:sz w:val="15"/>
              </w:rPr>
              <w:t>0.95x</w:t>
            </w:r>
          </w:p>
        </w:tc>
        <w:tc>
          <w:tcPr>
            <w:tcW w:type="dxa" w:w="680"/>
          </w:tcPr>
          <w:p>
            <w:pPr>
              <w:jc w:val="right"/>
            </w:pPr>
            <w:r/>
            <w:r>
              <w:rPr>
                <w:sz w:val="15"/>
              </w:rPr>
              <w:t>118</w:t>
            </w:r>
          </w:p>
        </w:tc>
        <w:tc>
          <w:tcPr>
            <w:tcW w:type="dxa" w:w="737"/>
          </w:tcPr>
          <w:p>
            <w:pPr>
              <w:jc w:val="right"/>
            </w:pPr>
            <w:r/>
            <w:r>
              <w:rPr>
                <w:sz w:val="15"/>
              </w:rPr>
              <w:t>18.9%</w:t>
            </w:r>
          </w:p>
        </w:tc>
        <w:tc>
          <w:tcPr>
            <w:tcW w:type="dxa" w:w="567"/>
          </w:tcPr>
          <w:p>
            <w:pPr>
              <w:jc w:val="right"/>
            </w:pPr>
            <w:r/>
            <w:r>
              <w:rPr>
                <w:sz w:val="15"/>
              </w:rPr>
              <w:t>—</w:t>
            </w:r>
          </w:p>
        </w:tc>
        <w:tc>
          <w:tcPr>
            <w:tcW w:type="dxa" w:w="680"/>
          </w:tcPr>
          <w:p>
            <w:pPr>
              <w:jc w:val="right"/>
            </w:pPr>
            <w:r/>
            <w:r>
              <w:rPr>
                <w:sz w:val="15"/>
              </w:rPr>
              <w:t>+6.4%</w:t>
            </w:r>
          </w:p>
        </w:tc>
        <w:tc>
          <w:tcPr>
            <w:tcW w:type="dxa" w:w="680"/>
          </w:tcPr>
          <w:p>
            <w:pPr>
              <w:jc w:val="right"/>
            </w:pPr>
            <w:r/>
            <w:r>
              <w:rPr>
                <w:sz w:val="15"/>
              </w:rPr>
              <w:t>+6.8%</w:t>
            </w:r>
          </w:p>
        </w:tc>
        <w:tc>
          <w:tcPr>
            <w:tcW w:type="dxa" w:w="680"/>
          </w:tcPr>
          <w:p>
            <w:pPr>
              <w:jc w:val="right"/>
            </w:pPr>
            <w:r/>
            <w:r>
              <w:rPr>
                <w:sz w:val="15"/>
              </w:rPr>
              <w:t>+6.3%</w:t>
            </w:r>
          </w:p>
        </w:tc>
        <w:tc>
          <w:tcPr>
            <w:tcW w:type="dxa" w:w="850"/>
          </w:tcPr>
          <w:p>
            <w:pPr>
              <w:jc w:val="right"/>
            </w:pPr>
            <w:r/>
            <w:r>
              <w:rPr>
                <w:sz w:val="15"/>
              </w:rPr>
              <w:t>-0.4%</w:t>
            </w:r>
          </w:p>
        </w:tc>
        <w:tc>
          <w:tcPr>
            <w:tcW w:type="dxa" w:w="794"/>
          </w:tcPr>
          <w:p>
            <w:pPr>
              <w:jc w:val="right"/>
            </w:pPr>
            <w:r/>
            <w:r>
              <w:rPr>
                <w:sz w:val="15"/>
              </w:rPr>
              <w:t>1.1x</w:t>
            </w:r>
          </w:p>
        </w:tc>
        <w:tc>
          <w:tcPr>
            <w:tcW w:type="dxa" w:w="680"/>
          </w:tcPr>
          <w:p>
            <w:pPr>
              <w:jc w:val="right"/>
            </w:pPr>
            <w:r/>
            <w:r>
              <w:rPr>
                <w:sz w:val="15"/>
              </w:rPr>
              <w:t>-0.20%</w:t>
            </w:r>
          </w:p>
        </w:tc>
      </w:tr>
      <w:tr>
        <w:tc>
          <w:tcPr>
            <w:tcW w:type="dxa" w:w="1928"/>
          </w:tcPr>
          <w:p>
            <w:r/>
            <w:r>
              <w:rPr>
                <w:sz w:val="15"/>
              </w:rPr>
              <w:t>2553 SHOUGANG LANZA</w:t>
            </w:r>
          </w:p>
        </w:tc>
        <w:tc>
          <w:tcPr>
            <w:tcW w:type="dxa" w:w="964"/>
          </w:tcPr>
          <w:p>
            <w:pPr>
              <w:jc w:val="right"/>
            </w:pPr>
            <w:r/>
            <w:r>
              <w:rPr>
                <w:sz w:val="15"/>
              </w:rPr>
              <w:t>2026-06-03</w:t>
            </w:r>
          </w:p>
        </w:tc>
        <w:tc>
          <w:tcPr>
            <w:tcW w:type="dxa" w:w="794"/>
          </w:tcPr>
          <w:p>
            <w:pPr>
              <w:jc w:val="right"/>
            </w:pPr>
            <w:r/>
            <w:r>
              <w:rPr>
                <w:sz w:val="15"/>
              </w:rPr>
              <w:t>584</w:t>
            </w:r>
          </w:p>
        </w:tc>
        <w:tc>
          <w:tcPr>
            <w:tcW w:type="dxa" w:w="737"/>
          </w:tcPr>
          <w:p>
            <w:pPr>
              <w:jc w:val="right"/>
            </w:pPr>
            <w:r/>
            <w:r>
              <w:rPr>
                <w:sz w:val="15"/>
              </w:rPr>
              <w:t>1,421.5x</w:t>
            </w:r>
          </w:p>
        </w:tc>
        <w:tc>
          <w:tcPr>
            <w:tcW w:type="dxa" w:w="624"/>
          </w:tcPr>
          <w:p>
            <w:pPr>
              <w:jc w:val="right"/>
            </w:pPr>
            <w:r/>
            <w:r>
              <w:rPr>
                <w:sz w:val="15"/>
              </w:rPr>
              <w:t>0.95x</w:t>
            </w:r>
          </w:p>
        </w:tc>
        <w:tc>
          <w:tcPr>
            <w:tcW w:type="dxa" w:w="680"/>
          </w:tcPr>
          <w:p>
            <w:pPr>
              <w:jc w:val="right"/>
            </w:pPr>
            <w:r/>
            <w:r>
              <w:rPr>
                <w:sz w:val="15"/>
              </w:rPr>
              <w:t>97</w:t>
            </w:r>
          </w:p>
        </w:tc>
        <w:tc>
          <w:tcPr>
            <w:tcW w:type="dxa" w:w="737"/>
          </w:tcPr>
          <w:p>
            <w:pPr>
              <w:jc w:val="right"/>
            </w:pPr>
            <w:r/>
            <w:r>
              <w:rPr>
                <w:sz w:val="15"/>
              </w:rPr>
              <w:t>15.0%</w:t>
            </w:r>
          </w:p>
        </w:tc>
        <w:tc>
          <w:tcPr>
            <w:tcW w:type="dxa" w:w="567"/>
          </w:tcPr>
          <w:p>
            <w:pPr>
              <w:jc w:val="right"/>
            </w:pPr>
            <w:r/>
            <w:r>
              <w:rPr>
                <w:sz w:val="15"/>
              </w:rPr>
              <w:t>NA</w:t>
            </w:r>
          </w:p>
        </w:tc>
        <w:tc>
          <w:tcPr>
            <w:tcW w:type="dxa" w:w="680"/>
          </w:tcPr>
          <w:p>
            <w:pPr>
              <w:jc w:val="right"/>
            </w:pPr>
            <w:r/>
            <w:r>
              <w:rPr>
                <w:sz w:val="15"/>
              </w:rPr>
              <w:t>+146.6%</w:t>
            </w:r>
          </w:p>
        </w:tc>
        <w:tc>
          <w:tcPr>
            <w:tcW w:type="dxa" w:w="680"/>
          </w:tcPr>
          <w:p>
            <w:pPr>
              <w:jc w:val="right"/>
            </w:pPr>
            <w:r/>
            <w:r>
              <w:rPr>
                <w:sz w:val="15"/>
              </w:rPr>
              <w:t>+91.8%</w:t>
            </w:r>
          </w:p>
        </w:tc>
        <w:tc>
          <w:tcPr>
            <w:tcW w:type="dxa" w:w="680"/>
          </w:tcPr>
          <w:p>
            <w:pPr>
              <w:jc w:val="right"/>
            </w:pPr>
            <w:r/>
            <w:r>
              <w:rPr>
                <w:sz w:val="15"/>
              </w:rPr>
              <w:t>+44.2%</w:t>
            </w:r>
          </w:p>
        </w:tc>
        <w:tc>
          <w:tcPr>
            <w:tcW w:type="dxa" w:w="850"/>
          </w:tcPr>
          <w:p>
            <w:pPr>
              <w:jc w:val="right"/>
            </w:pPr>
            <w:r/>
            <w:r>
              <w:rPr>
                <w:sz w:val="15"/>
              </w:rPr>
              <w:t>-24.8%</w:t>
            </w:r>
          </w:p>
        </w:tc>
        <w:tc>
          <w:tcPr>
            <w:tcW w:type="dxa" w:w="794"/>
          </w:tcPr>
          <w:p>
            <w:pPr>
              <w:jc w:val="right"/>
            </w:pPr>
            <w:r/>
            <w:r>
              <w:rPr>
                <w:sz w:val="15"/>
              </w:rPr>
              <w:t>6.2x</w:t>
            </w:r>
          </w:p>
        </w:tc>
        <w:tc>
          <w:tcPr>
            <w:tcW w:type="dxa" w:w="680"/>
          </w:tcPr>
          <w:p>
            <w:pPr>
              <w:jc w:val="right"/>
            </w:pPr>
            <w:r/>
            <w:r>
              <w:rPr>
                <w:sz w:val="15"/>
              </w:rPr>
              <w:t>-1.56%</w:t>
            </w:r>
          </w:p>
        </w:tc>
      </w:tr>
      <w:tr>
        <w:tc>
          <w:tcPr>
            <w:tcW w:type="dxa" w:w="1928"/>
          </w:tcPr>
          <w:p>
            <w:r/>
            <w:r>
              <w:rPr>
                <w:sz w:val="15"/>
              </w:rPr>
              <w:t>1440 DEYUN HOLDING</w:t>
            </w:r>
          </w:p>
        </w:tc>
        <w:tc>
          <w:tcPr>
            <w:tcW w:type="dxa" w:w="964"/>
          </w:tcPr>
          <w:p>
            <w:pPr>
              <w:jc w:val="right"/>
            </w:pPr>
            <w:r/>
            <w:r>
              <w:rPr>
                <w:sz w:val="15"/>
              </w:rPr>
              <w:t>2021-01-13</w:t>
            </w:r>
          </w:p>
        </w:tc>
        <w:tc>
          <w:tcPr>
            <w:tcW w:type="dxa" w:w="794"/>
          </w:tcPr>
          <w:p>
            <w:pPr>
              <w:jc w:val="right"/>
            </w:pPr>
            <w:r/>
            <w:r>
              <w:rPr>
                <w:sz w:val="15"/>
              </w:rPr>
              <w:t>126</w:t>
            </w:r>
          </w:p>
        </w:tc>
        <w:tc>
          <w:tcPr>
            <w:tcW w:type="dxa" w:w="737"/>
          </w:tcPr>
          <w:p>
            <w:pPr>
              <w:jc w:val="right"/>
            </w:pPr>
            <w:r/>
            <w:r>
              <w:rPr>
                <w:sz w:val="15"/>
              </w:rPr>
              <w:t>33.6x</w:t>
            </w:r>
          </w:p>
        </w:tc>
        <w:tc>
          <w:tcPr>
            <w:tcW w:type="dxa" w:w="624"/>
          </w:tcPr>
          <w:p>
            <w:pPr>
              <w:jc w:val="right"/>
            </w:pPr>
            <w:r/>
            <w:r>
              <w:rPr>
                <w:sz w:val="15"/>
              </w:rPr>
              <w:t>0.96x</w:t>
            </w:r>
          </w:p>
        </w:tc>
        <w:tc>
          <w:tcPr>
            <w:tcW w:type="dxa" w:w="680"/>
          </w:tcPr>
          <w:p>
            <w:pPr>
              <w:jc w:val="right"/>
            </w:pPr>
            <w:r/>
            <w:r>
              <w:rPr>
                <w:sz w:val="15"/>
              </w:rPr>
              <w:t>218</w:t>
            </w:r>
          </w:p>
        </w:tc>
        <w:tc>
          <w:tcPr>
            <w:tcW w:type="dxa" w:w="737"/>
          </w:tcPr>
          <w:p>
            <w:pPr>
              <w:jc w:val="right"/>
            </w:pPr>
            <w:r/>
            <w:r>
              <w:rPr>
                <w:sz w:val="15"/>
              </w:rPr>
              <w:t>20.0%</w:t>
            </w:r>
          </w:p>
        </w:tc>
        <w:tc>
          <w:tcPr>
            <w:tcW w:type="dxa" w:w="567"/>
          </w:tcPr>
          <w:p>
            <w:pPr>
              <w:jc w:val="right"/>
            </w:pPr>
            <w:r/>
            <w:r>
              <w:rPr>
                <w:sz w:val="15"/>
              </w:rPr>
              <w:t>—</w:t>
            </w:r>
          </w:p>
        </w:tc>
        <w:tc>
          <w:tcPr>
            <w:tcW w:type="dxa" w:w="680"/>
          </w:tcPr>
          <w:p>
            <w:pPr>
              <w:jc w:val="right"/>
            </w:pPr>
            <w:r/>
            <w:r>
              <w:rPr>
                <w:sz w:val="15"/>
              </w:rPr>
              <w:t>—</w:t>
            </w:r>
          </w:p>
        </w:tc>
        <w:tc>
          <w:tcPr>
            <w:tcW w:type="dxa" w:w="680"/>
          </w:tcPr>
          <w:p>
            <w:pPr>
              <w:jc w:val="right"/>
            </w:pPr>
            <w:r/>
            <w:r>
              <w:rPr>
                <w:sz w:val="15"/>
              </w:rPr>
              <w:t>+5.0%</w:t>
            </w:r>
          </w:p>
        </w:tc>
        <w:tc>
          <w:tcPr>
            <w:tcW w:type="dxa" w:w="680"/>
          </w:tcPr>
          <w:p>
            <w:pPr>
              <w:jc w:val="right"/>
            </w:pPr>
            <w:r/>
            <w:r>
              <w:rPr>
                <w:sz w:val="15"/>
              </w:rPr>
              <w:t>+3.8%</w:t>
            </w:r>
          </w:p>
        </w:tc>
        <w:tc>
          <w:tcPr>
            <w:tcW w:type="dxa" w:w="850"/>
          </w:tcPr>
          <w:p>
            <w:pPr>
              <w:jc w:val="right"/>
            </w:pPr>
            <w:r/>
            <w:r>
              <w:rPr>
                <w:sz w:val="15"/>
              </w:rPr>
              <w:t>-1.2%</w:t>
            </w:r>
          </w:p>
        </w:tc>
        <w:tc>
          <w:tcPr>
            <w:tcW w:type="dxa" w:w="794"/>
          </w:tcPr>
          <w:p>
            <w:pPr>
              <w:jc w:val="right"/>
            </w:pPr>
            <w:r/>
            <w:r>
              <w:rPr>
                <w:sz w:val="15"/>
              </w:rPr>
              <w:t>1.5x</w:t>
            </w:r>
          </w:p>
        </w:tc>
        <w:tc>
          <w:tcPr>
            <w:tcW w:type="dxa" w:w="680"/>
          </w:tcPr>
          <w:p>
            <w:pPr>
              <w:jc w:val="right"/>
            </w:pPr>
            <w:r/>
            <w:r>
              <w:rPr>
                <w:sz w:val="15"/>
              </w:rPr>
              <w:t>-0.15%</w:t>
            </w:r>
          </w:p>
        </w:tc>
      </w:tr>
      <w:tr>
        <w:tc>
          <w:tcPr>
            <w:tcW w:type="dxa" w:w="1928"/>
          </w:tcPr>
          <w:p>
            <w:r/>
            <w:r>
              <w:rPr>
                <w:sz w:val="15"/>
              </w:rPr>
              <w:t>2497 FUJING HOLDINGS</w:t>
            </w:r>
          </w:p>
        </w:tc>
        <w:tc>
          <w:tcPr>
            <w:tcW w:type="dxa" w:w="964"/>
          </w:tcPr>
          <w:p>
            <w:pPr>
              <w:jc w:val="right"/>
            </w:pPr>
            <w:r/>
            <w:r>
              <w:rPr>
                <w:sz w:val="15"/>
              </w:rPr>
              <w:t>2024-03-28</w:t>
            </w:r>
          </w:p>
        </w:tc>
        <w:tc>
          <w:tcPr>
            <w:tcW w:type="dxa" w:w="794"/>
          </w:tcPr>
          <w:p>
            <w:pPr>
              <w:jc w:val="right"/>
            </w:pPr>
            <w:r/>
            <w:r>
              <w:rPr>
                <w:sz w:val="15"/>
              </w:rPr>
              <w:t>108</w:t>
            </w:r>
          </w:p>
        </w:tc>
        <w:tc>
          <w:tcPr>
            <w:tcW w:type="dxa" w:w="737"/>
          </w:tcPr>
          <w:p>
            <w:pPr>
              <w:jc w:val="right"/>
            </w:pPr>
            <w:r/>
            <w:r>
              <w:rPr>
                <w:sz w:val="15"/>
              </w:rPr>
              <w:t>294.1x</w:t>
            </w:r>
          </w:p>
        </w:tc>
        <w:tc>
          <w:tcPr>
            <w:tcW w:type="dxa" w:w="624"/>
          </w:tcPr>
          <w:p>
            <w:pPr>
              <w:jc w:val="right"/>
            </w:pPr>
            <w:r/>
            <w:r>
              <w:rPr>
                <w:sz w:val="15"/>
              </w:rPr>
              <w:t>0.96x</w:t>
            </w:r>
          </w:p>
        </w:tc>
        <w:tc>
          <w:tcPr>
            <w:tcW w:type="dxa" w:w="680"/>
          </w:tcPr>
          <w:p>
            <w:pPr>
              <w:jc w:val="right"/>
            </w:pPr>
            <w:r/>
            <w:r>
              <w:rPr>
                <w:sz w:val="15"/>
              </w:rPr>
              <w:t>143</w:t>
            </w:r>
          </w:p>
        </w:tc>
        <w:tc>
          <w:tcPr>
            <w:tcW w:type="dxa" w:w="737"/>
          </w:tcPr>
          <w:p>
            <w:pPr>
              <w:jc w:val="right"/>
            </w:pPr>
            <w:r/>
            <w:r>
              <w:rPr>
                <w:sz w:val="15"/>
              </w:rPr>
              <w:t>14.6%</w:t>
            </w:r>
          </w:p>
        </w:tc>
        <w:tc>
          <w:tcPr>
            <w:tcW w:type="dxa" w:w="567"/>
          </w:tcPr>
          <w:p>
            <w:pPr>
              <w:jc w:val="right"/>
            </w:pPr>
            <w:r/>
            <w:r>
              <w:rPr>
                <w:sz w:val="15"/>
              </w:rPr>
              <w:t>—</w:t>
            </w:r>
          </w:p>
        </w:tc>
        <w:tc>
          <w:tcPr>
            <w:tcW w:type="dxa" w:w="680"/>
          </w:tcPr>
          <w:p>
            <w:pPr>
              <w:jc w:val="right"/>
            </w:pPr>
            <w:r/>
            <w:r>
              <w:rPr>
                <w:sz w:val="15"/>
              </w:rPr>
              <w:t>+108.3%</w:t>
            </w:r>
          </w:p>
        </w:tc>
        <w:tc>
          <w:tcPr>
            <w:tcW w:type="dxa" w:w="680"/>
          </w:tcPr>
          <w:p>
            <w:pPr>
              <w:jc w:val="right"/>
            </w:pPr>
            <w:r/>
            <w:r>
              <w:rPr>
                <w:sz w:val="15"/>
              </w:rPr>
              <w:t>+97.2%</w:t>
            </w:r>
          </w:p>
        </w:tc>
        <w:tc>
          <w:tcPr>
            <w:tcW w:type="dxa" w:w="680"/>
          </w:tcPr>
          <w:p>
            <w:pPr>
              <w:jc w:val="right"/>
            </w:pPr>
            <w:r/>
            <w:r>
              <w:rPr>
                <w:sz w:val="15"/>
              </w:rPr>
              <w:t>+37.0%</w:t>
            </w:r>
          </w:p>
        </w:tc>
        <w:tc>
          <w:tcPr>
            <w:tcW w:type="dxa" w:w="850"/>
          </w:tcPr>
          <w:p>
            <w:pPr>
              <w:jc w:val="right"/>
            </w:pPr>
            <w:r/>
            <w:r>
              <w:rPr>
                <w:sz w:val="15"/>
              </w:rPr>
              <w:t>-30.5%</w:t>
            </w:r>
          </w:p>
        </w:tc>
        <w:tc>
          <w:tcPr>
            <w:tcW w:type="dxa" w:w="794"/>
          </w:tcPr>
          <w:p>
            <w:pPr>
              <w:jc w:val="right"/>
            </w:pPr>
            <w:r/>
            <w:r>
              <w:rPr>
                <w:sz w:val="15"/>
              </w:rPr>
              <w:t>2.6x</w:t>
            </w:r>
          </w:p>
        </w:tc>
        <w:tc>
          <w:tcPr>
            <w:tcW w:type="dxa" w:w="680"/>
          </w:tcPr>
          <w:p>
            <w:pPr>
              <w:jc w:val="right"/>
            </w:pPr>
            <w:r/>
            <w:r>
              <w:rPr>
                <w:sz w:val="15"/>
              </w:rPr>
              <w:t>+0.91%</w:t>
            </w:r>
          </w:p>
        </w:tc>
      </w:tr>
      <w:tr>
        <w:tc>
          <w:tcPr>
            <w:tcW w:type="dxa" w:w="1928"/>
          </w:tcPr>
          <w:p>
            <w:r/>
            <w:r>
              <w:rPr>
                <w:sz w:val="15"/>
              </w:rPr>
              <w:t>9881 RONGTA TECH</w:t>
            </w:r>
          </w:p>
        </w:tc>
        <w:tc>
          <w:tcPr>
            <w:tcW w:type="dxa" w:w="964"/>
          </w:tcPr>
          <w:p>
            <w:pPr>
              <w:jc w:val="right"/>
            </w:pPr>
            <w:r/>
            <w:r>
              <w:rPr>
                <w:sz w:val="15"/>
              </w:rPr>
              <w:t>2025-06-10</w:t>
            </w:r>
          </w:p>
        </w:tc>
        <w:tc>
          <w:tcPr>
            <w:tcW w:type="dxa" w:w="794"/>
          </w:tcPr>
          <w:p>
            <w:pPr>
              <w:jc w:val="right"/>
            </w:pPr>
            <w:r/>
            <w:r>
              <w:rPr>
                <w:sz w:val="15"/>
              </w:rPr>
              <w:t>184</w:t>
            </w:r>
          </w:p>
        </w:tc>
        <w:tc>
          <w:tcPr>
            <w:tcW w:type="dxa" w:w="737"/>
          </w:tcPr>
          <w:p>
            <w:pPr>
              <w:jc w:val="right"/>
            </w:pPr>
            <w:r/>
            <w:r>
              <w:rPr>
                <w:sz w:val="15"/>
              </w:rPr>
              <w:t>276.0x</w:t>
            </w:r>
          </w:p>
        </w:tc>
        <w:tc>
          <w:tcPr>
            <w:tcW w:type="dxa" w:w="624"/>
          </w:tcPr>
          <w:p>
            <w:pPr>
              <w:jc w:val="right"/>
            </w:pPr>
            <w:r/>
            <w:r>
              <w:rPr>
                <w:sz w:val="15"/>
              </w:rPr>
              <w:t>0.96x</w:t>
            </w:r>
          </w:p>
        </w:tc>
        <w:tc>
          <w:tcPr>
            <w:tcW w:type="dxa" w:w="680"/>
          </w:tcPr>
          <w:p>
            <w:pPr>
              <w:jc w:val="right"/>
            </w:pPr>
            <w:r/>
            <w:r>
              <w:rPr>
                <w:sz w:val="15"/>
              </w:rPr>
              <w:t>118</w:t>
            </w:r>
          </w:p>
        </w:tc>
        <w:tc>
          <w:tcPr>
            <w:tcW w:type="dxa" w:w="737"/>
          </w:tcPr>
          <w:p>
            <w:pPr>
              <w:jc w:val="right"/>
            </w:pPr>
            <w:r/>
            <w:r>
              <w:rPr>
                <w:sz w:val="15"/>
              </w:rPr>
              <w:t>13.2%</w:t>
            </w:r>
          </w:p>
        </w:tc>
        <w:tc>
          <w:tcPr>
            <w:tcW w:type="dxa" w:w="567"/>
          </w:tcPr>
          <w:p>
            <w:pPr>
              <w:jc w:val="right"/>
            </w:pPr>
            <w:r/>
            <w:r>
              <w:rPr>
                <w:sz w:val="15"/>
              </w:rPr>
              <w:t>NO</w:t>
            </w:r>
          </w:p>
        </w:tc>
        <w:tc>
          <w:tcPr>
            <w:tcW w:type="dxa" w:w="680"/>
          </w:tcPr>
          <w:p>
            <w:pPr>
              <w:jc w:val="right"/>
            </w:pPr>
            <w:r/>
            <w:r>
              <w:rPr>
                <w:sz w:val="15"/>
              </w:rPr>
              <w:t>+76.0%</w:t>
            </w:r>
          </w:p>
        </w:tc>
        <w:tc>
          <w:tcPr>
            <w:tcW w:type="dxa" w:w="680"/>
          </w:tcPr>
          <w:p>
            <w:pPr>
              <w:jc w:val="right"/>
            </w:pPr>
            <w:r/>
            <w:r>
              <w:rPr>
                <w:sz w:val="15"/>
              </w:rPr>
              <w:t>+66.0%</w:t>
            </w:r>
          </w:p>
        </w:tc>
        <w:tc>
          <w:tcPr>
            <w:tcW w:type="dxa" w:w="680"/>
          </w:tcPr>
          <w:p>
            <w:pPr>
              <w:jc w:val="right"/>
            </w:pPr>
            <w:r/>
            <w:r>
              <w:rPr>
                <w:sz w:val="15"/>
              </w:rPr>
              <w:t>+42.0%</w:t>
            </w:r>
          </w:p>
        </w:tc>
        <w:tc>
          <w:tcPr>
            <w:tcW w:type="dxa" w:w="850"/>
          </w:tcPr>
          <w:p>
            <w:pPr>
              <w:jc w:val="right"/>
            </w:pPr>
            <w:r/>
            <w:r>
              <w:rPr>
                <w:sz w:val="15"/>
              </w:rPr>
              <w:t>-14.5%</w:t>
            </w:r>
          </w:p>
        </w:tc>
        <w:tc>
          <w:tcPr>
            <w:tcW w:type="dxa" w:w="794"/>
          </w:tcPr>
          <w:p>
            <w:pPr>
              <w:jc w:val="right"/>
            </w:pPr>
            <w:r/>
            <w:r>
              <w:rPr>
                <w:sz w:val="15"/>
              </w:rPr>
              <w:t>3.5x</w:t>
            </w:r>
          </w:p>
        </w:tc>
        <w:tc>
          <w:tcPr>
            <w:tcW w:type="dxa" w:w="680"/>
          </w:tcPr>
          <w:p>
            <w:pPr>
              <w:jc w:val="right"/>
            </w:pPr>
            <w:r/>
            <w:r>
              <w:rPr>
                <w:sz w:val="15"/>
              </w:rPr>
              <w:t>-0.08%</w:t>
            </w:r>
          </w:p>
        </w:tc>
      </w:tr>
      <w:tr>
        <w:tc>
          <w:tcPr>
            <w:tcW w:type="dxa" w:w="1928"/>
          </w:tcPr>
          <w:p>
            <w:r/>
            <w:r>
              <w:rPr>
                <w:sz w:val="15"/>
              </w:rPr>
              <w:t>2651 DAZHONG DENTAL</w:t>
            </w:r>
          </w:p>
        </w:tc>
        <w:tc>
          <w:tcPr>
            <w:tcW w:type="dxa" w:w="964"/>
          </w:tcPr>
          <w:p>
            <w:pPr>
              <w:jc w:val="right"/>
            </w:pPr>
            <w:r/>
            <w:r>
              <w:rPr>
                <w:sz w:val="15"/>
              </w:rPr>
              <w:t>2025-07-09</w:t>
            </w:r>
          </w:p>
        </w:tc>
        <w:tc>
          <w:tcPr>
            <w:tcW w:type="dxa" w:w="794"/>
          </w:tcPr>
          <w:p>
            <w:pPr>
              <w:jc w:val="right"/>
            </w:pPr>
            <w:r/>
            <w:r>
              <w:rPr>
                <w:sz w:val="15"/>
              </w:rPr>
              <w:t>217</w:t>
            </w:r>
          </w:p>
        </w:tc>
        <w:tc>
          <w:tcPr>
            <w:tcW w:type="dxa" w:w="737"/>
          </w:tcPr>
          <w:p>
            <w:pPr>
              <w:jc w:val="right"/>
            </w:pPr>
            <w:r/>
            <w:r>
              <w:rPr>
                <w:sz w:val="15"/>
              </w:rPr>
              <w:t>108.2x</w:t>
            </w:r>
          </w:p>
        </w:tc>
        <w:tc>
          <w:tcPr>
            <w:tcW w:type="dxa" w:w="624"/>
          </w:tcPr>
          <w:p>
            <w:pPr>
              <w:jc w:val="right"/>
            </w:pPr>
            <w:r/>
            <w:r>
              <w:rPr>
                <w:sz w:val="15"/>
              </w:rPr>
              <w:t>0.96x</w:t>
            </w:r>
          </w:p>
        </w:tc>
        <w:tc>
          <w:tcPr>
            <w:tcW w:type="dxa" w:w="680"/>
          </w:tcPr>
          <w:p>
            <w:pPr>
              <w:jc w:val="right"/>
            </w:pPr>
            <w:r/>
            <w:r>
              <w:rPr>
                <w:sz w:val="15"/>
              </w:rPr>
              <w:t>112</w:t>
            </w:r>
          </w:p>
        </w:tc>
        <w:tc>
          <w:tcPr>
            <w:tcW w:type="dxa" w:w="737"/>
          </w:tcPr>
          <w:p>
            <w:pPr>
              <w:jc w:val="right"/>
            </w:pPr>
            <w:r/>
            <w:r>
              <w:rPr>
                <w:sz w:val="15"/>
              </w:rPr>
              <w:t>17.9%</w:t>
            </w:r>
          </w:p>
        </w:tc>
        <w:tc>
          <w:tcPr>
            <w:tcW w:type="dxa" w:w="567"/>
          </w:tcPr>
          <w:p>
            <w:pPr>
              <w:jc w:val="right"/>
            </w:pPr>
            <w:r/>
            <w:r>
              <w:rPr>
                <w:sz w:val="15"/>
              </w:rPr>
              <w:t>—</w:t>
            </w:r>
          </w:p>
        </w:tc>
        <w:tc>
          <w:tcPr>
            <w:tcW w:type="dxa" w:w="680"/>
          </w:tcPr>
          <w:p>
            <w:pPr>
              <w:jc w:val="right"/>
            </w:pPr>
            <w:r/>
            <w:r>
              <w:rPr>
                <w:sz w:val="15"/>
              </w:rPr>
              <w:t>+19.0%</w:t>
            </w:r>
          </w:p>
        </w:tc>
        <w:tc>
          <w:tcPr>
            <w:tcW w:type="dxa" w:w="680"/>
          </w:tcPr>
          <w:p>
            <w:pPr>
              <w:jc w:val="right"/>
            </w:pPr>
            <w:r/>
            <w:r>
              <w:rPr>
                <w:sz w:val="15"/>
              </w:rPr>
              <w:t>+20.0%</w:t>
            </w:r>
          </w:p>
        </w:tc>
        <w:tc>
          <w:tcPr>
            <w:tcW w:type="dxa" w:w="680"/>
          </w:tcPr>
          <w:p>
            <w:pPr>
              <w:jc w:val="right"/>
            </w:pPr>
            <w:r/>
            <w:r>
              <w:rPr>
                <w:sz w:val="15"/>
              </w:rPr>
              <w:t>+3.5%</w:t>
            </w:r>
          </w:p>
        </w:tc>
        <w:tc>
          <w:tcPr>
            <w:tcW w:type="dxa" w:w="850"/>
          </w:tcPr>
          <w:p>
            <w:pPr>
              <w:jc w:val="right"/>
            </w:pPr>
            <w:r/>
            <w:r>
              <w:rPr>
                <w:sz w:val="15"/>
              </w:rPr>
              <w:t>-13.8%</w:t>
            </w:r>
          </w:p>
        </w:tc>
        <w:tc>
          <w:tcPr>
            <w:tcW w:type="dxa" w:w="794"/>
          </w:tcPr>
          <w:p>
            <w:pPr>
              <w:jc w:val="right"/>
            </w:pPr>
            <w:r/>
            <w:r>
              <w:rPr>
                <w:sz w:val="15"/>
              </w:rPr>
              <w:t>2.0x</w:t>
            </w:r>
          </w:p>
        </w:tc>
        <w:tc>
          <w:tcPr>
            <w:tcW w:type="dxa" w:w="680"/>
          </w:tcPr>
          <w:p>
            <w:pPr>
              <w:jc w:val="right"/>
            </w:pPr>
            <w:r/>
            <w:r>
              <w:rPr>
                <w:sz w:val="15"/>
              </w:rPr>
              <w:t>-1.06%</w:t>
            </w:r>
          </w:p>
        </w:tc>
      </w:tr>
      <w:tr>
        <w:tc>
          <w:tcPr>
            <w:tcW w:type="dxa" w:w="1928"/>
          </w:tcPr>
          <w:p>
            <w:r/>
            <w:r>
              <w:rPr>
                <w:sz w:val="15"/>
              </w:rPr>
              <w:t>2477 WELLCELL HOLD</w:t>
            </w:r>
          </w:p>
        </w:tc>
        <w:tc>
          <w:tcPr>
            <w:tcW w:type="dxa" w:w="964"/>
          </w:tcPr>
          <w:p>
            <w:pPr>
              <w:jc w:val="right"/>
            </w:pPr>
            <w:r/>
            <w:r>
              <w:rPr>
                <w:sz w:val="15"/>
              </w:rPr>
              <w:t>2024-01-12</w:t>
            </w:r>
          </w:p>
        </w:tc>
        <w:tc>
          <w:tcPr>
            <w:tcW w:type="dxa" w:w="794"/>
          </w:tcPr>
          <w:p>
            <w:pPr>
              <w:jc w:val="right"/>
            </w:pPr>
            <w:r/>
            <w:r>
              <w:rPr>
                <w:sz w:val="15"/>
              </w:rPr>
              <w:t>125</w:t>
            </w:r>
          </w:p>
        </w:tc>
        <w:tc>
          <w:tcPr>
            <w:tcW w:type="dxa" w:w="737"/>
          </w:tcPr>
          <w:p>
            <w:pPr>
              <w:jc w:val="right"/>
            </w:pPr>
            <w:r/>
            <w:r>
              <w:rPr>
                <w:sz w:val="15"/>
              </w:rPr>
              <w:t>28.6x</w:t>
            </w:r>
          </w:p>
        </w:tc>
        <w:tc>
          <w:tcPr>
            <w:tcW w:type="dxa" w:w="624"/>
          </w:tcPr>
          <w:p>
            <w:pPr>
              <w:jc w:val="right"/>
            </w:pPr>
            <w:r/>
            <w:r>
              <w:rPr>
                <w:sz w:val="15"/>
              </w:rPr>
              <w:t>0.97x</w:t>
            </w:r>
          </w:p>
        </w:tc>
        <w:tc>
          <w:tcPr>
            <w:tcW w:type="dxa" w:w="680"/>
          </w:tcPr>
          <w:p>
            <w:pPr>
              <w:jc w:val="right"/>
            </w:pPr>
            <w:r/>
            <w:r>
              <w:rPr>
                <w:sz w:val="15"/>
              </w:rPr>
              <w:t>176</w:t>
            </w:r>
          </w:p>
        </w:tc>
        <w:tc>
          <w:tcPr>
            <w:tcW w:type="dxa" w:w="737"/>
          </w:tcPr>
          <w:p>
            <w:pPr>
              <w:jc w:val="right"/>
            </w:pPr>
            <w:r/>
            <w:r>
              <w:rPr>
                <w:sz w:val="15"/>
              </w:rPr>
              <w:t>—</w:t>
            </w:r>
          </w:p>
        </w:tc>
        <w:tc>
          <w:tcPr>
            <w:tcW w:type="dxa" w:w="567"/>
          </w:tcPr>
          <w:p>
            <w:pPr>
              <w:jc w:val="right"/>
            </w:pPr>
            <w:r/>
            <w:r>
              <w:rPr>
                <w:sz w:val="15"/>
              </w:rPr>
              <w:t>NO</w:t>
            </w:r>
          </w:p>
        </w:tc>
        <w:tc>
          <w:tcPr>
            <w:tcW w:type="dxa" w:w="680"/>
          </w:tcPr>
          <w:p>
            <w:pPr>
              <w:jc w:val="right"/>
            </w:pPr>
            <w:r/>
            <w:r>
              <w:rPr>
                <w:sz w:val="15"/>
              </w:rPr>
              <w:t>+64.5%</w:t>
            </w:r>
          </w:p>
        </w:tc>
        <w:tc>
          <w:tcPr>
            <w:tcW w:type="dxa" w:w="680"/>
          </w:tcPr>
          <w:p>
            <w:pPr>
              <w:jc w:val="right"/>
            </w:pPr>
            <w:r/>
            <w:r>
              <w:rPr>
                <w:sz w:val="15"/>
              </w:rPr>
              <w:t>+77.0%</w:t>
            </w:r>
          </w:p>
        </w:tc>
        <w:tc>
          <w:tcPr>
            <w:tcW w:type="dxa" w:w="680"/>
          </w:tcPr>
          <w:p>
            <w:pPr>
              <w:jc w:val="right"/>
            </w:pPr>
            <w:r/>
            <w:r>
              <w:rPr>
                <w:sz w:val="15"/>
              </w:rPr>
              <w:t>+164.0%</w:t>
            </w:r>
          </w:p>
        </w:tc>
        <w:tc>
          <w:tcPr>
            <w:tcW w:type="dxa" w:w="850"/>
          </w:tcPr>
          <w:p>
            <w:pPr>
              <w:jc w:val="right"/>
            </w:pPr>
            <w:r/>
            <w:r>
              <w:rPr>
                <w:sz w:val="15"/>
              </w:rPr>
              <w:t>+49.1%</w:t>
            </w:r>
          </w:p>
        </w:tc>
        <w:tc>
          <w:tcPr>
            <w:tcW w:type="dxa" w:w="794"/>
          </w:tcPr>
          <w:p>
            <w:pPr>
              <w:jc w:val="right"/>
            </w:pPr>
            <w:r/>
            <w:r>
              <w:rPr>
                <w:sz w:val="15"/>
              </w:rPr>
              <w:t>1.1x</w:t>
            </w:r>
          </w:p>
        </w:tc>
        <w:tc>
          <w:tcPr>
            <w:tcW w:type="dxa" w:w="680"/>
          </w:tcPr>
          <w:p>
            <w:pPr>
              <w:jc w:val="right"/>
            </w:pPr>
            <w:r/>
            <w:r>
              <w:rPr>
                <w:sz w:val="15"/>
              </w:rPr>
              <w:t>-0.35%</w:t>
            </w:r>
          </w:p>
        </w:tc>
      </w:tr>
      <w:tr>
        <w:tc>
          <w:tcPr>
            <w:tcW w:type="dxa" w:w="1928"/>
          </w:tcPr>
          <w:p>
            <w:r/>
            <w:r>
              <w:rPr>
                <w:sz w:val="15"/>
              </w:rPr>
              <w:t>1334 RUICHANG INTL</w:t>
            </w:r>
          </w:p>
        </w:tc>
        <w:tc>
          <w:tcPr>
            <w:tcW w:type="dxa" w:w="964"/>
          </w:tcPr>
          <w:p>
            <w:pPr>
              <w:jc w:val="right"/>
            </w:pPr>
            <w:r/>
            <w:r>
              <w:rPr>
                <w:sz w:val="15"/>
              </w:rPr>
              <w:t>2024-07-10</w:t>
            </w:r>
          </w:p>
        </w:tc>
        <w:tc>
          <w:tcPr>
            <w:tcW w:type="dxa" w:w="794"/>
          </w:tcPr>
          <w:p>
            <w:pPr>
              <w:jc w:val="right"/>
            </w:pPr>
            <w:r/>
            <w:r>
              <w:rPr>
                <w:sz w:val="15"/>
              </w:rPr>
              <w:t>131</w:t>
            </w:r>
          </w:p>
        </w:tc>
        <w:tc>
          <w:tcPr>
            <w:tcW w:type="dxa" w:w="737"/>
          </w:tcPr>
          <w:p>
            <w:pPr>
              <w:jc w:val="right"/>
            </w:pPr>
            <w:r/>
            <w:r>
              <w:rPr>
                <w:sz w:val="15"/>
              </w:rPr>
              <w:t>19.2x</w:t>
            </w:r>
          </w:p>
        </w:tc>
        <w:tc>
          <w:tcPr>
            <w:tcW w:type="dxa" w:w="624"/>
          </w:tcPr>
          <w:p>
            <w:pPr>
              <w:jc w:val="right"/>
            </w:pPr>
            <w:r/>
            <w:r>
              <w:rPr>
                <w:sz w:val="15"/>
              </w:rPr>
              <w:t>0.97x</w:t>
            </w:r>
          </w:p>
        </w:tc>
        <w:tc>
          <w:tcPr>
            <w:tcW w:type="dxa" w:w="680"/>
          </w:tcPr>
          <w:p>
            <w:pPr>
              <w:jc w:val="right"/>
            </w:pPr>
            <w:r/>
            <w:r>
              <w:rPr>
                <w:sz w:val="15"/>
              </w:rPr>
              <w:t>142</w:t>
            </w:r>
          </w:p>
        </w:tc>
        <w:tc>
          <w:tcPr>
            <w:tcW w:type="dxa" w:w="737"/>
          </w:tcPr>
          <w:p>
            <w:pPr>
              <w:jc w:val="right"/>
            </w:pPr>
            <w:r/>
            <w:r>
              <w:rPr>
                <w:sz w:val="15"/>
              </w:rPr>
              <w:t>12.5%</w:t>
            </w:r>
          </w:p>
        </w:tc>
        <w:tc>
          <w:tcPr>
            <w:tcW w:type="dxa" w:w="567"/>
          </w:tcPr>
          <w:p>
            <w:pPr>
              <w:jc w:val="right"/>
            </w:pPr>
            <w:r/>
            <w:r>
              <w:rPr>
                <w:sz w:val="15"/>
              </w:rPr>
              <w:t>—</w:t>
            </w:r>
          </w:p>
        </w:tc>
        <w:tc>
          <w:tcPr>
            <w:tcW w:type="dxa" w:w="680"/>
          </w:tcPr>
          <w:p>
            <w:pPr>
              <w:jc w:val="right"/>
            </w:pPr>
            <w:r/>
            <w:r>
              <w:rPr>
                <w:sz w:val="15"/>
              </w:rPr>
              <w:t>—</w:t>
            </w:r>
          </w:p>
        </w:tc>
        <w:tc>
          <w:tcPr>
            <w:tcW w:type="dxa" w:w="680"/>
          </w:tcPr>
          <w:p>
            <w:pPr>
              <w:jc w:val="right"/>
            </w:pPr>
            <w:r/>
            <w:r>
              <w:rPr>
                <w:sz w:val="15"/>
              </w:rPr>
              <w:t>+23.8%</w:t>
            </w:r>
          </w:p>
        </w:tc>
        <w:tc>
          <w:tcPr>
            <w:tcW w:type="dxa" w:w="680"/>
          </w:tcPr>
          <w:p>
            <w:pPr>
              <w:jc w:val="right"/>
            </w:pPr>
            <w:r/>
            <w:r>
              <w:rPr>
                <w:sz w:val="15"/>
              </w:rPr>
              <w:t>+14.3%</w:t>
            </w:r>
          </w:p>
        </w:tc>
        <w:tc>
          <w:tcPr>
            <w:tcW w:type="dxa" w:w="850"/>
          </w:tcPr>
          <w:p>
            <w:pPr>
              <w:jc w:val="right"/>
            </w:pPr>
            <w:r/>
            <w:r>
              <w:rPr>
                <w:sz w:val="15"/>
              </w:rPr>
              <w:t>-7.7%</w:t>
            </w:r>
          </w:p>
        </w:tc>
        <w:tc>
          <w:tcPr>
            <w:tcW w:type="dxa" w:w="794"/>
          </w:tcPr>
          <w:p>
            <w:pPr>
              <w:jc w:val="right"/>
            </w:pPr>
            <w:r/>
            <w:r>
              <w:rPr>
                <w:sz w:val="15"/>
              </w:rPr>
              <w:t>2.5x</w:t>
            </w:r>
          </w:p>
        </w:tc>
        <w:tc>
          <w:tcPr>
            <w:tcW w:type="dxa" w:w="680"/>
          </w:tcPr>
          <w:p>
            <w:pPr>
              <w:jc w:val="right"/>
            </w:pPr>
            <w:r/>
            <w:r>
              <w:rPr>
                <w:sz w:val="15"/>
              </w:rPr>
              <w:t>-0.29%</w:t>
            </w:r>
          </w:p>
        </w:tc>
      </w:tr>
      <w:tr>
        <w:tc>
          <w:tcPr>
            <w:tcW w:type="dxa" w:w="1928"/>
          </w:tcPr>
          <w:p>
            <w:r/>
            <w:r>
              <w:rPr>
                <w:sz w:val="15"/>
              </w:rPr>
              <w:t>2535 WK GROUP</w:t>
            </w:r>
          </w:p>
        </w:tc>
        <w:tc>
          <w:tcPr>
            <w:tcW w:type="dxa" w:w="964"/>
          </w:tcPr>
          <w:p>
            <w:pPr>
              <w:jc w:val="right"/>
            </w:pPr>
            <w:r/>
            <w:r>
              <w:rPr>
                <w:sz w:val="15"/>
              </w:rPr>
              <w:t>2024-03-08</w:t>
            </w:r>
          </w:p>
        </w:tc>
        <w:tc>
          <w:tcPr>
            <w:tcW w:type="dxa" w:w="794"/>
          </w:tcPr>
          <w:p>
            <w:pPr>
              <w:jc w:val="right"/>
            </w:pPr>
            <w:r/>
            <w:r>
              <w:rPr>
                <w:sz w:val="15"/>
              </w:rPr>
              <w:t>125</w:t>
            </w:r>
          </w:p>
        </w:tc>
        <w:tc>
          <w:tcPr>
            <w:tcW w:type="dxa" w:w="737"/>
          </w:tcPr>
          <w:p>
            <w:pPr>
              <w:jc w:val="right"/>
            </w:pPr>
            <w:r/>
            <w:r>
              <w:rPr>
                <w:sz w:val="15"/>
              </w:rPr>
              <w:t>70.5x</w:t>
            </w:r>
          </w:p>
        </w:tc>
        <w:tc>
          <w:tcPr>
            <w:tcW w:type="dxa" w:w="624"/>
          </w:tcPr>
          <w:p>
            <w:pPr>
              <w:jc w:val="right"/>
            </w:pPr>
            <w:r/>
            <w:r>
              <w:rPr>
                <w:sz w:val="15"/>
              </w:rPr>
              <w:t>0.98x</w:t>
            </w:r>
          </w:p>
        </w:tc>
        <w:tc>
          <w:tcPr>
            <w:tcW w:type="dxa" w:w="680"/>
          </w:tcPr>
          <w:p>
            <w:pPr>
              <w:jc w:val="right"/>
            </w:pPr>
            <w:r/>
            <w:r>
              <w:rPr>
                <w:sz w:val="15"/>
              </w:rPr>
              <w:t>147</w:t>
            </w:r>
          </w:p>
        </w:tc>
        <w:tc>
          <w:tcPr>
            <w:tcW w:type="dxa" w:w="737"/>
          </w:tcPr>
          <w:p>
            <w:pPr>
              <w:jc w:val="right"/>
            </w:pPr>
            <w:r/>
            <w:r>
              <w:rPr>
                <w:sz w:val="15"/>
              </w:rPr>
              <w:t>20.0%</w:t>
            </w:r>
          </w:p>
        </w:tc>
        <w:tc>
          <w:tcPr>
            <w:tcW w:type="dxa" w:w="567"/>
          </w:tcPr>
          <w:p>
            <w:pPr>
              <w:jc w:val="right"/>
            </w:pPr>
            <w:r/>
            <w:r>
              <w:rPr>
                <w:sz w:val="15"/>
              </w:rPr>
              <w:t>NO</w:t>
            </w:r>
          </w:p>
        </w:tc>
        <w:tc>
          <w:tcPr>
            <w:tcW w:type="dxa" w:w="680"/>
          </w:tcPr>
          <w:p>
            <w:pPr>
              <w:jc w:val="right"/>
            </w:pPr>
            <w:r/>
            <w:r>
              <w:rPr>
                <w:sz w:val="15"/>
              </w:rPr>
              <w:t>—</w:t>
            </w:r>
          </w:p>
        </w:tc>
        <w:tc>
          <w:tcPr>
            <w:tcW w:type="dxa" w:w="680"/>
          </w:tcPr>
          <w:p>
            <w:pPr>
              <w:jc w:val="right"/>
            </w:pPr>
            <w:r/>
            <w:r>
              <w:rPr>
                <w:sz w:val="15"/>
              </w:rPr>
              <w:t>+160.0%</w:t>
            </w:r>
          </w:p>
        </w:tc>
        <w:tc>
          <w:tcPr>
            <w:tcW w:type="dxa" w:w="680"/>
          </w:tcPr>
          <w:p>
            <w:pPr>
              <w:jc w:val="right"/>
            </w:pPr>
            <w:r/>
            <w:r>
              <w:rPr>
                <w:sz w:val="15"/>
              </w:rPr>
              <w:t>+136.0%</w:t>
            </w:r>
          </w:p>
        </w:tc>
        <w:tc>
          <w:tcPr>
            <w:tcW w:type="dxa" w:w="850"/>
          </w:tcPr>
          <w:p>
            <w:pPr>
              <w:jc w:val="right"/>
            </w:pPr>
            <w:r/>
            <w:r>
              <w:rPr>
                <w:sz w:val="15"/>
              </w:rPr>
              <w:t>-9.2%</w:t>
            </w:r>
          </w:p>
        </w:tc>
        <w:tc>
          <w:tcPr>
            <w:tcW w:type="dxa" w:w="794"/>
          </w:tcPr>
          <w:p>
            <w:pPr>
              <w:jc w:val="right"/>
            </w:pPr>
            <w:r/>
            <w:r>
              <w:rPr>
                <w:sz w:val="15"/>
              </w:rPr>
              <w:t>1.0x</w:t>
            </w:r>
          </w:p>
        </w:tc>
        <w:tc>
          <w:tcPr>
            <w:tcW w:type="dxa" w:w="680"/>
          </w:tcPr>
          <w:p>
            <w:pPr>
              <w:jc w:val="right"/>
            </w:pPr>
            <w:r/>
            <w:r>
              <w:rPr>
                <w:sz w:val="15"/>
              </w:rPr>
              <w:t>+0.76%</w:t>
            </w:r>
          </w:p>
        </w:tc>
      </w:tr>
      <w:tr>
        <w:tc>
          <w:tcPr>
            <w:tcW w:type="dxa" w:w="1928"/>
          </w:tcPr>
          <w:p>
            <w:r/>
            <w:r>
              <w:rPr>
                <w:sz w:val="15"/>
              </w:rPr>
              <w:t>2505 EDA GROUP HLDGS</w:t>
            </w:r>
          </w:p>
        </w:tc>
        <w:tc>
          <w:tcPr>
            <w:tcW w:type="dxa" w:w="964"/>
          </w:tcPr>
          <w:p>
            <w:pPr>
              <w:jc w:val="right"/>
            </w:pPr>
            <w:r/>
            <w:r>
              <w:rPr>
                <w:sz w:val="15"/>
              </w:rPr>
              <w:t>2024-05-28</w:t>
            </w:r>
          </w:p>
        </w:tc>
        <w:tc>
          <w:tcPr>
            <w:tcW w:type="dxa" w:w="794"/>
          </w:tcPr>
          <w:p>
            <w:pPr>
              <w:jc w:val="right"/>
            </w:pPr>
            <w:r/>
            <w:r>
              <w:rPr>
                <w:sz w:val="15"/>
              </w:rPr>
              <w:t>—</w:t>
            </w:r>
          </w:p>
        </w:tc>
        <w:tc>
          <w:tcPr>
            <w:tcW w:type="dxa" w:w="737"/>
          </w:tcPr>
          <w:p>
            <w:pPr>
              <w:jc w:val="right"/>
            </w:pPr>
            <w:r/>
            <w:r>
              <w:rPr>
                <w:sz w:val="15"/>
              </w:rPr>
              <w:t>103.4x</w:t>
            </w:r>
          </w:p>
        </w:tc>
        <w:tc>
          <w:tcPr>
            <w:tcW w:type="dxa" w:w="624"/>
          </w:tcPr>
          <w:p>
            <w:pPr>
              <w:jc w:val="right"/>
            </w:pPr>
            <w:r/>
            <w:r>
              <w:rPr>
                <w:sz w:val="15"/>
              </w:rPr>
              <w:t>0.98x</w:t>
            </w:r>
          </w:p>
        </w:tc>
        <w:tc>
          <w:tcPr>
            <w:tcW w:type="dxa" w:w="680"/>
          </w:tcPr>
          <w:p>
            <w:pPr>
              <w:jc w:val="right"/>
            </w:pPr>
            <w:r/>
            <w:r>
              <w:rPr>
                <w:sz w:val="15"/>
              </w:rPr>
              <w:t>136</w:t>
            </w:r>
          </w:p>
        </w:tc>
        <w:tc>
          <w:tcPr>
            <w:tcW w:type="dxa" w:w="737"/>
          </w:tcPr>
          <w:p>
            <w:pPr>
              <w:jc w:val="right"/>
            </w:pPr>
            <w:r/>
            <w:r>
              <w:rPr>
                <w:sz w:val="15"/>
              </w:rPr>
              <w:t>15.2%</w:t>
            </w:r>
          </w:p>
        </w:tc>
        <w:tc>
          <w:tcPr>
            <w:tcW w:type="dxa" w:w="567"/>
          </w:tcPr>
          <w:p>
            <w:pPr>
              <w:jc w:val="right"/>
            </w:pPr>
            <w:r/>
            <w:r>
              <w:rPr>
                <w:sz w:val="15"/>
              </w:rPr>
              <w:t>—</w:t>
            </w:r>
          </w:p>
        </w:tc>
        <w:tc>
          <w:tcPr>
            <w:tcW w:type="dxa" w:w="680"/>
          </w:tcPr>
          <w:p>
            <w:pPr>
              <w:jc w:val="right"/>
            </w:pPr>
            <w:r/>
            <w:r>
              <w:rPr>
                <w:sz w:val="15"/>
              </w:rPr>
              <w:t>+40.8%</w:t>
            </w:r>
          </w:p>
        </w:tc>
        <w:tc>
          <w:tcPr>
            <w:tcW w:type="dxa" w:w="680"/>
          </w:tcPr>
          <w:p>
            <w:pPr>
              <w:jc w:val="right"/>
            </w:pPr>
            <w:r/>
            <w:r>
              <w:rPr>
                <w:sz w:val="15"/>
              </w:rPr>
              <w:t>+35.5%</w:t>
            </w:r>
          </w:p>
        </w:tc>
        <w:tc>
          <w:tcPr>
            <w:tcW w:type="dxa" w:w="680"/>
          </w:tcPr>
          <w:p>
            <w:pPr>
              <w:jc w:val="right"/>
            </w:pPr>
            <w:r/>
            <w:r>
              <w:rPr>
                <w:sz w:val="15"/>
              </w:rPr>
              <w:t>+84.2%</w:t>
            </w:r>
          </w:p>
        </w:tc>
        <w:tc>
          <w:tcPr>
            <w:tcW w:type="dxa" w:w="850"/>
          </w:tcPr>
          <w:p>
            <w:pPr>
              <w:jc w:val="right"/>
            </w:pPr>
            <w:r/>
            <w:r>
              <w:rPr>
                <w:sz w:val="15"/>
              </w:rPr>
              <w:t>+35.9%</w:t>
            </w:r>
          </w:p>
        </w:tc>
        <w:tc>
          <w:tcPr>
            <w:tcW w:type="dxa" w:w="794"/>
          </w:tcPr>
          <w:p>
            <w:pPr>
              <w:jc w:val="right"/>
            </w:pPr>
            <w:r/>
            <w:r>
              <w:rPr>
                <w:sz w:val="15"/>
              </w:rPr>
              <w:t>2.3x</w:t>
            </w:r>
          </w:p>
        </w:tc>
        <w:tc>
          <w:tcPr>
            <w:tcW w:type="dxa" w:w="680"/>
          </w:tcPr>
          <w:p>
            <w:pPr>
              <w:jc w:val="right"/>
            </w:pPr>
            <w:r/>
            <w:r>
              <w:rPr>
                <w:sz w:val="15"/>
              </w:rPr>
              <w:t>-0.03%</w:t>
            </w:r>
          </w:p>
        </w:tc>
      </w:tr>
      <w:tr>
        <w:tc>
          <w:tcPr>
            <w:tcW w:type="dxa" w:w="1928"/>
          </w:tcPr>
          <w:p>
            <w:r/>
            <w:r>
              <w:rPr>
                <w:sz w:val="15"/>
              </w:rPr>
              <w:t>2443 AUTOSTREETS</w:t>
            </w:r>
          </w:p>
        </w:tc>
        <w:tc>
          <w:tcPr>
            <w:tcW w:type="dxa" w:w="964"/>
          </w:tcPr>
          <w:p>
            <w:pPr>
              <w:jc w:val="right"/>
            </w:pPr>
            <w:r/>
            <w:r>
              <w:rPr>
                <w:sz w:val="15"/>
              </w:rPr>
              <w:t>2024-05-31</w:t>
            </w:r>
          </w:p>
        </w:tc>
        <w:tc>
          <w:tcPr>
            <w:tcW w:type="dxa" w:w="794"/>
          </w:tcPr>
          <w:p>
            <w:pPr>
              <w:jc w:val="right"/>
            </w:pPr>
            <w:r/>
            <w:r>
              <w:rPr>
                <w:sz w:val="15"/>
              </w:rPr>
              <w:t>153</w:t>
            </w:r>
          </w:p>
        </w:tc>
        <w:tc>
          <w:tcPr>
            <w:tcW w:type="dxa" w:w="737"/>
          </w:tcPr>
          <w:p>
            <w:pPr>
              <w:jc w:val="right"/>
            </w:pPr>
            <w:r/>
            <w:r>
              <w:rPr>
                <w:sz w:val="15"/>
              </w:rPr>
              <w:t>433.3x</w:t>
            </w:r>
          </w:p>
        </w:tc>
        <w:tc>
          <w:tcPr>
            <w:tcW w:type="dxa" w:w="624"/>
          </w:tcPr>
          <w:p>
            <w:pPr>
              <w:jc w:val="right"/>
            </w:pPr>
            <w:r/>
            <w:r>
              <w:rPr>
                <w:sz w:val="15"/>
              </w:rPr>
              <w:t>0.98x</w:t>
            </w:r>
          </w:p>
        </w:tc>
        <w:tc>
          <w:tcPr>
            <w:tcW w:type="dxa" w:w="680"/>
          </w:tcPr>
          <w:p>
            <w:pPr>
              <w:jc w:val="right"/>
            </w:pPr>
            <w:r/>
            <w:r>
              <w:rPr>
                <w:sz w:val="15"/>
              </w:rPr>
              <w:t>148</w:t>
            </w:r>
          </w:p>
        </w:tc>
        <w:tc>
          <w:tcPr>
            <w:tcW w:type="dxa" w:w="737"/>
          </w:tcPr>
          <w:p>
            <w:pPr>
              <w:jc w:val="right"/>
            </w:pPr>
            <w:r/>
            <w:r>
              <w:rPr>
                <w:sz w:val="15"/>
              </w:rPr>
              <w:t>20.0%</w:t>
            </w:r>
          </w:p>
        </w:tc>
        <w:tc>
          <w:tcPr>
            <w:tcW w:type="dxa" w:w="567"/>
          </w:tcPr>
          <w:p>
            <w:pPr>
              <w:jc w:val="right"/>
            </w:pPr>
            <w:r/>
            <w:r>
              <w:rPr>
                <w:sz w:val="15"/>
              </w:rPr>
              <w:t>—</w:t>
            </w:r>
          </w:p>
        </w:tc>
        <w:tc>
          <w:tcPr>
            <w:tcW w:type="dxa" w:w="680"/>
          </w:tcPr>
          <w:p>
            <w:pPr>
              <w:jc w:val="right"/>
            </w:pPr>
            <w:r/>
            <w:r>
              <w:rPr>
                <w:sz w:val="15"/>
              </w:rPr>
              <w:t>+44.3%</w:t>
            </w:r>
          </w:p>
        </w:tc>
        <w:tc>
          <w:tcPr>
            <w:tcW w:type="dxa" w:w="680"/>
          </w:tcPr>
          <w:p>
            <w:pPr>
              <w:jc w:val="right"/>
            </w:pPr>
            <w:r/>
            <w:r>
              <w:rPr>
                <w:sz w:val="15"/>
              </w:rPr>
              <w:t>+42.2%</w:t>
            </w:r>
          </w:p>
        </w:tc>
        <w:tc>
          <w:tcPr>
            <w:tcW w:type="dxa" w:w="680"/>
          </w:tcPr>
          <w:p>
            <w:pPr>
              <w:jc w:val="right"/>
            </w:pPr>
            <w:r/>
            <w:r>
              <w:rPr>
                <w:sz w:val="15"/>
              </w:rPr>
              <w:t>+26.9%</w:t>
            </w:r>
          </w:p>
        </w:tc>
        <w:tc>
          <w:tcPr>
            <w:tcW w:type="dxa" w:w="850"/>
          </w:tcPr>
          <w:p>
            <w:pPr>
              <w:jc w:val="right"/>
            </w:pPr>
            <w:r/>
            <w:r>
              <w:rPr>
                <w:sz w:val="15"/>
              </w:rPr>
              <w:t>-10.8%</w:t>
            </w:r>
          </w:p>
        </w:tc>
        <w:tc>
          <w:tcPr>
            <w:tcW w:type="dxa" w:w="794"/>
          </w:tcPr>
          <w:p>
            <w:pPr>
              <w:jc w:val="right"/>
            </w:pPr>
            <w:r/>
            <w:r>
              <w:rPr>
                <w:sz w:val="15"/>
              </w:rPr>
              <w:t>2.6x</w:t>
            </w:r>
          </w:p>
        </w:tc>
        <w:tc>
          <w:tcPr>
            <w:tcW w:type="dxa" w:w="680"/>
          </w:tcPr>
          <w:p>
            <w:pPr>
              <w:jc w:val="right"/>
            </w:pPr>
            <w:r/>
            <w:r>
              <w:rPr>
                <w:sz w:val="15"/>
              </w:rPr>
              <w:t>-0.83%</w:t>
            </w:r>
          </w:p>
        </w:tc>
      </w:tr>
      <w:tr>
        <w:tc>
          <w:tcPr>
            <w:tcW w:type="dxa" w:w="1928"/>
          </w:tcPr>
          <w:p>
            <w:r/>
            <w:r>
              <w:rPr>
                <w:sz w:val="15"/>
              </w:rPr>
              <w:t>2550 EASOU TECH</w:t>
            </w:r>
          </w:p>
        </w:tc>
        <w:tc>
          <w:tcPr>
            <w:tcW w:type="dxa" w:w="964"/>
          </w:tcPr>
          <w:p>
            <w:pPr>
              <w:jc w:val="right"/>
            </w:pPr>
            <w:r/>
            <w:r>
              <w:rPr>
                <w:sz w:val="15"/>
              </w:rPr>
              <w:t>2024-06-07</w:t>
            </w:r>
          </w:p>
        </w:tc>
        <w:tc>
          <w:tcPr>
            <w:tcW w:type="dxa" w:w="794"/>
          </w:tcPr>
          <w:p>
            <w:pPr>
              <w:jc w:val="right"/>
            </w:pPr>
            <w:r/>
            <w:r>
              <w:rPr>
                <w:sz w:val="15"/>
              </w:rPr>
              <w:t>86</w:t>
            </w:r>
          </w:p>
        </w:tc>
        <w:tc>
          <w:tcPr>
            <w:tcW w:type="dxa" w:w="737"/>
          </w:tcPr>
          <w:p>
            <w:pPr>
              <w:jc w:val="right"/>
            </w:pPr>
            <w:r/>
            <w:r>
              <w:rPr>
                <w:sz w:val="15"/>
              </w:rPr>
              <w:t>114.6x</w:t>
            </w:r>
          </w:p>
        </w:tc>
        <w:tc>
          <w:tcPr>
            <w:tcW w:type="dxa" w:w="624"/>
          </w:tcPr>
          <w:p>
            <w:pPr>
              <w:jc w:val="right"/>
            </w:pPr>
            <w:r/>
            <w:r>
              <w:rPr>
                <w:sz w:val="15"/>
              </w:rPr>
              <w:t>0.98x</w:t>
            </w:r>
          </w:p>
        </w:tc>
        <w:tc>
          <w:tcPr>
            <w:tcW w:type="dxa" w:w="680"/>
          </w:tcPr>
          <w:p>
            <w:pPr>
              <w:jc w:val="right"/>
            </w:pPr>
            <w:r/>
            <w:r>
              <w:rPr>
                <w:sz w:val="15"/>
              </w:rPr>
              <w:t>127</w:t>
            </w:r>
          </w:p>
        </w:tc>
        <w:tc>
          <w:tcPr>
            <w:tcW w:type="dxa" w:w="737"/>
          </w:tcPr>
          <w:p>
            <w:pPr>
              <w:jc w:val="right"/>
            </w:pPr>
            <w:r/>
            <w:r>
              <w:rPr>
                <w:sz w:val="15"/>
              </w:rPr>
              <w:t>13.2%</w:t>
            </w:r>
          </w:p>
        </w:tc>
        <w:tc>
          <w:tcPr>
            <w:tcW w:type="dxa" w:w="567"/>
          </w:tcPr>
          <w:p>
            <w:pPr>
              <w:jc w:val="right"/>
            </w:pPr>
            <w:r/>
            <w:r>
              <w:rPr>
                <w:sz w:val="15"/>
              </w:rPr>
              <w:t>—</w:t>
            </w:r>
          </w:p>
        </w:tc>
        <w:tc>
          <w:tcPr>
            <w:tcW w:type="dxa" w:w="680"/>
          </w:tcPr>
          <w:p>
            <w:pPr>
              <w:jc w:val="right"/>
            </w:pPr>
            <w:r/>
            <w:r>
              <w:rPr>
                <w:sz w:val="15"/>
              </w:rPr>
              <w:t>+43.1%</w:t>
            </w:r>
          </w:p>
        </w:tc>
        <w:tc>
          <w:tcPr>
            <w:tcW w:type="dxa" w:w="680"/>
          </w:tcPr>
          <w:p>
            <w:pPr>
              <w:jc w:val="right"/>
            </w:pPr>
            <w:r/>
            <w:r>
              <w:rPr>
                <w:sz w:val="15"/>
              </w:rPr>
              <w:t>+46.5%</w:t>
            </w:r>
          </w:p>
        </w:tc>
        <w:tc>
          <w:tcPr>
            <w:tcW w:type="dxa" w:w="680"/>
          </w:tcPr>
          <w:p>
            <w:pPr>
              <w:jc w:val="right"/>
            </w:pPr>
            <w:r/>
            <w:r>
              <w:rPr>
                <w:sz w:val="15"/>
              </w:rPr>
              <w:t>+91.7%</w:t>
            </w:r>
          </w:p>
        </w:tc>
        <w:tc>
          <w:tcPr>
            <w:tcW w:type="dxa" w:w="850"/>
          </w:tcPr>
          <w:p>
            <w:pPr>
              <w:jc w:val="right"/>
            </w:pPr>
            <w:r/>
            <w:r>
              <w:rPr>
                <w:sz w:val="15"/>
              </w:rPr>
              <w:t>+30.8%</w:t>
            </w:r>
          </w:p>
        </w:tc>
        <w:tc>
          <w:tcPr>
            <w:tcW w:type="dxa" w:w="794"/>
          </w:tcPr>
          <w:p>
            <w:pPr>
              <w:jc w:val="right"/>
            </w:pPr>
            <w:r/>
            <w:r>
              <w:rPr>
                <w:sz w:val="15"/>
              </w:rPr>
              <w:t>2.9x</w:t>
            </w:r>
          </w:p>
        </w:tc>
        <w:tc>
          <w:tcPr>
            <w:tcW w:type="dxa" w:w="680"/>
          </w:tcPr>
          <w:p>
            <w:pPr>
              <w:jc w:val="right"/>
            </w:pPr>
            <w:r/>
            <w:r>
              <w:rPr>
                <w:sz w:val="15"/>
              </w:rPr>
              <w:t>-0.59%</w:t>
            </w:r>
          </w:p>
        </w:tc>
      </w:tr>
      <w:tr>
        <w:tc>
          <w:tcPr>
            <w:tcW w:type="dxa" w:w="1928"/>
          </w:tcPr>
          <w:p>
            <w:r/>
            <w:r>
              <w:rPr>
                <w:sz w:val="15"/>
              </w:rPr>
              <w:t>1354 KINGFARPROPERTY</w:t>
            </w:r>
          </w:p>
        </w:tc>
        <w:tc>
          <w:tcPr>
            <w:tcW w:type="dxa" w:w="964"/>
          </w:tcPr>
          <w:p>
            <w:pPr>
              <w:jc w:val="right"/>
            </w:pPr>
            <w:r/>
            <w:r>
              <w:rPr>
                <w:sz w:val="15"/>
              </w:rPr>
              <w:t>2024-07-03</w:t>
            </w:r>
          </w:p>
        </w:tc>
        <w:tc>
          <w:tcPr>
            <w:tcW w:type="dxa" w:w="794"/>
          </w:tcPr>
          <w:p>
            <w:pPr>
              <w:jc w:val="right"/>
            </w:pPr>
            <w:r/>
            <w:r>
              <w:rPr>
                <w:sz w:val="15"/>
              </w:rPr>
              <w:t>125</w:t>
            </w:r>
          </w:p>
        </w:tc>
        <w:tc>
          <w:tcPr>
            <w:tcW w:type="dxa" w:w="737"/>
          </w:tcPr>
          <w:p>
            <w:pPr>
              <w:jc w:val="right"/>
            </w:pPr>
            <w:r/>
            <w:r>
              <w:rPr>
                <w:sz w:val="15"/>
              </w:rPr>
              <w:t>118.9x</w:t>
            </w:r>
          </w:p>
        </w:tc>
        <w:tc>
          <w:tcPr>
            <w:tcW w:type="dxa" w:w="624"/>
          </w:tcPr>
          <w:p>
            <w:pPr>
              <w:jc w:val="right"/>
            </w:pPr>
            <w:r/>
            <w:r>
              <w:rPr>
                <w:sz w:val="15"/>
              </w:rPr>
              <w:t>0.98x</w:t>
            </w:r>
          </w:p>
        </w:tc>
        <w:tc>
          <w:tcPr>
            <w:tcW w:type="dxa" w:w="680"/>
          </w:tcPr>
          <w:p>
            <w:pPr>
              <w:jc w:val="right"/>
            </w:pPr>
            <w:r/>
            <w:r>
              <w:rPr>
                <w:sz w:val="15"/>
              </w:rPr>
              <w:t>122</w:t>
            </w:r>
          </w:p>
        </w:tc>
        <w:tc>
          <w:tcPr>
            <w:tcW w:type="dxa" w:w="737"/>
          </w:tcPr>
          <w:p>
            <w:pPr>
              <w:jc w:val="right"/>
            </w:pPr>
            <w:r/>
            <w:r>
              <w:rPr>
                <w:sz w:val="15"/>
              </w:rPr>
              <w:t>18.0%</w:t>
            </w:r>
          </w:p>
        </w:tc>
        <w:tc>
          <w:tcPr>
            <w:tcW w:type="dxa" w:w="567"/>
          </w:tcPr>
          <w:p>
            <w:pPr>
              <w:jc w:val="right"/>
            </w:pPr>
            <w:r/>
            <w:r>
              <w:rPr>
                <w:sz w:val="15"/>
              </w:rPr>
              <w:t>NO</w:t>
            </w:r>
          </w:p>
        </w:tc>
        <w:tc>
          <w:tcPr>
            <w:tcW w:type="dxa" w:w="680"/>
          </w:tcPr>
          <w:p>
            <w:pPr>
              <w:jc w:val="right"/>
            </w:pPr>
            <w:r/>
            <w:r>
              <w:rPr>
                <w:sz w:val="15"/>
              </w:rPr>
              <w:t>+0.3%</w:t>
            </w:r>
          </w:p>
        </w:tc>
        <w:tc>
          <w:tcPr>
            <w:tcW w:type="dxa" w:w="680"/>
          </w:tcPr>
          <w:p>
            <w:pPr>
              <w:jc w:val="right"/>
            </w:pPr>
            <w:r/>
            <w:r>
              <w:rPr>
                <w:sz w:val="15"/>
              </w:rPr>
              <w:t>+2.0%</w:t>
            </w:r>
          </w:p>
        </w:tc>
        <w:tc>
          <w:tcPr>
            <w:tcW w:type="dxa" w:w="680"/>
          </w:tcPr>
          <w:p>
            <w:pPr>
              <w:jc w:val="right"/>
            </w:pPr>
            <w:r/>
            <w:r>
              <w:rPr>
                <w:sz w:val="15"/>
              </w:rPr>
              <w:t>-11.5%</w:t>
            </w:r>
          </w:p>
        </w:tc>
        <w:tc>
          <w:tcPr>
            <w:tcW w:type="dxa" w:w="850"/>
          </w:tcPr>
          <w:p>
            <w:pPr>
              <w:jc w:val="right"/>
            </w:pPr>
            <w:r/>
            <w:r>
              <w:rPr>
                <w:sz w:val="15"/>
              </w:rPr>
              <w:t>-13.2%</w:t>
            </w:r>
          </w:p>
        </w:tc>
        <w:tc>
          <w:tcPr>
            <w:tcW w:type="dxa" w:w="794"/>
          </w:tcPr>
          <w:p>
            <w:pPr>
              <w:jc w:val="right"/>
            </w:pPr>
            <w:r/>
            <w:r>
              <w:rPr>
                <w:sz w:val="15"/>
              </w:rPr>
              <w:t>1.1x</w:t>
            </w:r>
          </w:p>
        </w:tc>
        <w:tc>
          <w:tcPr>
            <w:tcW w:type="dxa" w:w="680"/>
          </w:tcPr>
          <w:p>
            <w:pPr>
              <w:jc w:val="right"/>
            </w:pPr>
            <w:r/>
            <w:r>
              <w:rPr>
                <w:sz w:val="15"/>
              </w:rPr>
              <w:t>+1.18%</w:t>
            </w:r>
          </w:p>
        </w:tc>
      </w:tr>
      <w:tr>
        <w:tc>
          <w:tcPr>
            <w:tcW w:type="dxa" w:w="1928"/>
          </w:tcPr>
          <w:p>
            <w:r/>
            <w:r>
              <w:rPr>
                <w:sz w:val="15"/>
              </w:rPr>
              <w:t>1471 ZHONGMIAO</w:t>
            </w:r>
          </w:p>
        </w:tc>
        <w:tc>
          <w:tcPr>
            <w:tcW w:type="dxa" w:w="964"/>
          </w:tcPr>
          <w:p>
            <w:pPr>
              <w:jc w:val="right"/>
            </w:pPr>
            <w:r/>
            <w:r>
              <w:rPr>
                <w:sz w:val="15"/>
              </w:rPr>
              <w:t>2024-08-06</w:t>
            </w:r>
          </w:p>
        </w:tc>
        <w:tc>
          <w:tcPr>
            <w:tcW w:type="dxa" w:w="794"/>
          </w:tcPr>
          <w:p>
            <w:pPr>
              <w:jc w:val="right"/>
            </w:pPr>
            <w:r/>
            <w:r>
              <w:rPr>
                <w:sz w:val="15"/>
              </w:rPr>
              <w:t>247</w:t>
            </w:r>
          </w:p>
        </w:tc>
        <w:tc>
          <w:tcPr>
            <w:tcW w:type="dxa" w:w="737"/>
          </w:tcPr>
          <w:p>
            <w:pPr>
              <w:jc w:val="right"/>
            </w:pPr>
            <w:r/>
            <w:r>
              <w:rPr>
                <w:sz w:val="15"/>
              </w:rPr>
              <w:t>16.1x</w:t>
            </w:r>
          </w:p>
        </w:tc>
        <w:tc>
          <w:tcPr>
            <w:tcW w:type="dxa" w:w="624"/>
          </w:tcPr>
          <w:p>
            <w:pPr>
              <w:jc w:val="right"/>
            </w:pPr>
            <w:r/>
            <w:r>
              <w:rPr>
                <w:sz w:val="15"/>
              </w:rPr>
              <w:t>0.98x</w:t>
            </w:r>
          </w:p>
        </w:tc>
        <w:tc>
          <w:tcPr>
            <w:tcW w:type="dxa" w:w="680"/>
          </w:tcPr>
          <w:p>
            <w:pPr>
              <w:jc w:val="right"/>
            </w:pPr>
            <w:r/>
            <w:r>
              <w:rPr>
                <w:sz w:val="15"/>
              </w:rPr>
              <w:t>112</w:t>
            </w:r>
          </w:p>
        </w:tc>
        <w:tc>
          <w:tcPr>
            <w:tcW w:type="dxa" w:w="737"/>
          </w:tcPr>
          <w:p>
            <w:pPr>
              <w:jc w:val="right"/>
            </w:pPr>
            <w:r/>
            <w:r>
              <w:rPr>
                <w:sz w:val="15"/>
              </w:rPr>
              <w:t>12.3%</w:t>
            </w:r>
          </w:p>
        </w:tc>
        <w:tc>
          <w:tcPr>
            <w:tcW w:type="dxa" w:w="567"/>
          </w:tcPr>
          <w:p>
            <w:pPr>
              <w:jc w:val="right"/>
            </w:pPr>
            <w:r/>
            <w:r>
              <w:rPr>
                <w:sz w:val="15"/>
              </w:rPr>
              <w:t>NO</w:t>
            </w:r>
          </w:p>
        </w:tc>
        <w:tc>
          <w:tcPr>
            <w:tcW w:type="dxa" w:w="680"/>
          </w:tcPr>
          <w:p>
            <w:pPr>
              <w:jc w:val="right"/>
            </w:pPr>
            <w:r/>
            <w:r>
              <w:rPr>
                <w:sz w:val="15"/>
              </w:rPr>
              <w:t>+3.1%</w:t>
            </w:r>
          </w:p>
        </w:tc>
        <w:tc>
          <w:tcPr>
            <w:tcW w:type="dxa" w:w="680"/>
          </w:tcPr>
          <w:p>
            <w:pPr>
              <w:jc w:val="right"/>
            </w:pPr>
            <w:r/>
            <w:r>
              <w:rPr>
                <w:sz w:val="15"/>
              </w:rPr>
              <w:t>-1.7%</w:t>
            </w:r>
          </w:p>
        </w:tc>
        <w:tc>
          <w:tcPr>
            <w:tcW w:type="dxa" w:w="680"/>
          </w:tcPr>
          <w:p>
            <w:pPr>
              <w:jc w:val="right"/>
            </w:pPr>
            <w:r/>
            <w:r>
              <w:rPr>
                <w:sz w:val="15"/>
              </w:rPr>
              <w:t>+5.0%</w:t>
            </w:r>
          </w:p>
        </w:tc>
        <w:tc>
          <w:tcPr>
            <w:tcW w:type="dxa" w:w="850"/>
          </w:tcPr>
          <w:p>
            <w:pPr>
              <w:jc w:val="right"/>
            </w:pPr>
            <w:r/>
            <w:r>
              <w:rPr>
                <w:sz w:val="15"/>
              </w:rPr>
              <w:t>+6.8%</w:t>
            </w:r>
          </w:p>
        </w:tc>
        <w:tc>
          <w:tcPr>
            <w:tcW w:type="dxa" w:w="794"/>
          </w:tcPr>
          <w:p>
            <w:pPr>
              <w:jc w:val="right"/>
            </w:pPr>
            <w:r/>
            <w:r>
              <w:rPr>
                <w:sz w:val="15"/>
              </w:rPr>
              <w:t>0.7x</w:t>
            </w:r>
          </w:p>
        </w:tc>
        <w:tc>
          <w:tcPr>
            <w:tcW w:type="dxa" w:w="680"/>
          </w:tcPr>
          <w:p>
            <w:pPr>
              <w:jc w:val="right"/>
            </w:pPr>
            <w:r/>
            <w:r>
              <w:rPr>
                <w:sz w:val="15"/>
              </w:rPr>
              <w:t>-0.31%</w:t>
            </w:r>
          </w:p>
        </w:tc>
      </w:tr>
      <w:tr>
        <w:tc>
          <w:tcPr>
            <w:tcW w:type="dxa" w:w="1928"/>
          </w:tcPr>
          <w:p>
            <w:r/>
            <w:r>
              <w:rPr>
                <w:sz w:val="15"/>
              </w:rPr>
              <w:t>2585 MOKINGRAN</w:t>
            </w:r>
          </w:p>
        </w:tc>
        <w:tc>
          <w:tcPr>
            <w:tcW w:type="dxa" w:w="964"/>
          </w:tcPr>
          <w:p>
            <w:pPr>
              <w:jc w:val="right"/>
            </w:pPr>
            <w:r/>
            <w:r>
              <w:rPr>
                <w:sz w:val="15"/>
              </w:rPr>
              <w:t>2024-11-29</w:t>
            </w:r>
          </w:p>
        </w:tc>
        <w:tc>
          <w:tcPr>
            <w:tcW w:type="dxa" w:w="794"/>
          </w:tcPr>
          <w:p>
            <w:pPr>
              <w:jc w:val="right"/>
            </w:pPr>
            <w:r/>
            <w:r>
              <w:rPr>
                <w:sz w:val="15"/>
              </w:rPr>
              <w:t>527</w:t>
            </w:r>
          </w:p>
        </w:tc>
        <w:tc>
          <w:tcPr>
            <w:tcW w:type="dxa" w:w="737"/>
          </w:tcPr>
          <w:p>
            <w:pPr>
              <w:jc w:val="right"/>
            </w:pPr>
            <w:r/>
            <w:r>
              <w:rPr>
                <w:sz w:val="15"/>
              </w:rPr>
              <w:t>20.6x</w:t>
            </w:r>
          </w:p>
        </w:tc>
        <w:tc>
          <w:tcPr>
            <w:tcW w:type="dxa" w:w="624"/>
          </w:tcPr>
          <w:p>
            <w:pPr>
              <w:jc w:val="right"/>
            </w:pPr>
            <w:r/>
            <w:r>
              <w:rPr>
                <w:sz w:val="15"/>
              </w:rPr>
              <w:t>0.98x</w:t>
            </w:r>
          </w:p>
        </w:tc>
        <w:tc>
          <w:tcPr>
            <w:tcW w:type="dxa" w:w="680"/>
          </w:tcPr>
          <w:p>
            <w:pPr>
              <w:jc w:val="right"/>
            </w:pPr>
            <w:r/>
            <w:r>
              <w:rPr>
                <w:sz w:val="15"/>
              </w:rPr>
              <w:t>112</w:t>
            </w:r>
          </w:p>
        </w:tc>
        <w:tc>
          <w:tcPr>
            <w:tcW w:type="dxa" w:w="737"/>
          </w:tcPr>
          <w:p>
            <w:pPr>
              <w:jc w:val="right"/>
            </w:pPr>
            <w:r/>
            <w:r>
              <w:rPr>
                <w:sz w:val="15"/>
              </w:rPr>
              <w:t>20.0%</w:t>
            </w:r>
          </w:p>
        </w:tc>
        <w:tc>
          <w:tcPr>
            <w:tcW w:type="dxa" w:w="567"/>
          </w:tcPr>
          <w:p>
            <w:pPr>
              <w:jc w:val="right"/>
            </w:pPr>
            <w:r/>
            <w:r>
              <w:rPr>
                <w:sz w:val="15"/>
              </w:rPr>
              <w:t>—</w:t>
            </w:r>
          </w:p>
        </w:tc>
        <w:tc>
          <w:tcPr>
            <w:tcW w:type="dxa" w:w="680"/>
          </w:tcPr>
          <w:p>
            <w:pPr>
              <w:jc w:val="right"/>
            </w:pPr>
            <w:r/>
            <w:r>
              <w:rPr>
                <w:sz w:val="15"/>
              </w:rPr>
              <w:t>+4.5%</w:t>
            </w:r>
          </w:p>
        </w:tc>
        <w:tc>
          <w:tcPr>
            <w:tcW w:type="dxa" w:w="680"/>
          </w:tcPr>
          <w:p>
            <w:pPr>
              <w:jc w:val="right"/>
            </w:pPr>
            <w:r/>
            <w:r>
              <w:rPr>
                <w:sz w:val="15"/>
              </w:rPr>
              <w:t>+4.2%</w:t>
            </w:r>
          </w:p>
        </w:tc>
        <w:tc>
          <w:tcPr>
            <w:tcW w:type="dxa" w:w="680"/>
          </w:tcPr>
          <w:p>
            <w:pPr>
              <w:jc w:val="right"/>
            </w:pPr>
            <w:r/>
            <w:r>
              <w:rPr>
                <w:sz w:val="15"/>
              </w:rPr>
              <w:t>+7.5%</w:t>
            </w:r>
          </w:p>
        </w:tc>
        <w:tc>
          <w:tcPr>
            <w:tcW w:type="dxa" w:w="850"/>
          </w:tcPr>
          <w:p>
            <w:pPr>
              <w:jc w:val="right"/>
            </w:pPr>
            <w:r/>
            <w:r>
              <w:rPr>
                <w:sz w:val="15"/>
              </w:rPr>
              <w:t>+3.2%</w:t>
            </w:r>
          </w:p>
        </w:tc>
        <w:tc>
          <w:tcPr>
            <w:tcW w:type="dxa" w:w="794"/>
          </w:tcPr>
          <w:p>
            <w:pPr>
              <w:jc w:val="right"/>
            </w:pPr>
            <w:r/>
            <w:r>
              <w:rPr>
                <w:sz w:val="15"/>
              </w:rPr>
              <w:t>1.4x</w:t>
            </w:r>
          </w:p>
        </w:tc>
        <w:tc>
          <w:tcPr>
            <w:tcW w:type="dxa" w:w="680"/>
          </w:tcPr>
          <w:p>
            <w:pPr>
              <w:jc w:val="right"/>
            </w:pPr>
            <w:r/>
            <w:r>
              <w:rPr>
                <w:sz w:val="15"/>
              </w:rPr>
              <w:t>+0.29%</w:t>
            </w:r>
          </w:p>
        </w:tc>
      </w:tr>
      <w:tr>
        <w:tc>
          <w:tcPr>
            <w:tcW w:type="dxa" w:w="1928"/>
          </w:tcPr>
          <w:p>
            <w:r/>
            <w:r>
              <w:rPr>
                <w:sz w:val="15"/>
              </w:rPr>
              <w:t>2587 HEALTHYWAY INC</w:t>
            </w:r>
          </w:p>
        </w:tc>
        <w:tc>
          <w:tcPr>
            <w:tcW w:type="dxa" w:w="964"/>
          </w:tcPr>
          <w:p>
            <w:pPr>
              <w:jc w:val="right"/>
            </w:pPr>
            <w:r/>
            <w:r>
              <w:rPr>
                <w:sz w:val="15"/>
              </w:rPr>
              <w:t>2024-12-30</w:t>
            </w:r>
          </w:p>
        </w:tc>
        <w:tc>
          <w:tcPr>
            <w:tcW w:type="dxa" w:w="794"/>
          </w:tcPr>
          <w:p>
            <w:pPr>
              <w:jc w:val="right"/>
            </w:pPr>
            <w:r/>
            <w:r>
              <w:rPr>
                <w:sz w:val="15"/>
              </w:rPr>
              <w:t>195</w:t>
            </w:r>
          </w:p>
        </w:tc>
        <w:tc>
          <w:tcPr>
            <w:tcW w:type="dxa" w:w="737"/>
          </w:tcPr>
          <w:p>
            <w:pPr>
              <w:jc w:val="right"/>
            </w:pPr>
            <w:r/>
            <w:r>
              <w:rPr>
                <w:sz w:val="15"/>
              </w:rPr>
              <w:t>34.4x</w:t>
            </w:r>
          </w:p>
        </w:tc>
        <w:tc>
          <w:tcPr>
            <w:tcW w:type="dxa" w:w="624"/>
          </w:tcPr>
          <w:p>
            <w:pPr>
              <w:jc w:val="right"/>
            </w:pPr>
            <w:r/>
            <w:r>
              <w:rPr>
                <w:sz w:val="15"/>
              </w:rPr>
              <w:t>0.98x</w:t>
            </w:r>
          </w:p>
        </w:tc>
        <w:tc>
          <w:tcPr>
            <w:tcW w:type="dxa" w:w="680"/>
          </w:tcPr>
          <w:p>
            <w:pPr>
              <w:jc w:val="right"/>
            </w:pPr>
            <w:r/>
            <w:r>
              <w:rPr>
                <w:sz w:val="15"/>
              </w:rPr>
              <w:t>108</w:t>
            </w:r>
          </w:p>
        </w:tc>
        <w:tc>
          <w:tcPr>
            <w:tcW w:type="dxa" w:w="737"/>
          </w:tcPr>
          <w:p>
            <w:pPr>
              <w:jc w:val="right"/>
            </w:pPr>
            <w:r/>
            <w:r>
              <w:rPr>
                <w:sz w:val="15"/>
              </w:rPr>
              <w:t>13.2%</w:t>
            </w:r>
          </w:p>
        </w:tc>
        <w:tc>
          <w:tcPr>
            <w:tcW w:type="dxa" w:w="567"/>
          </w:tcPr>
          <w:p>
            <w:pPr>
              <w:jc w:val="right"/>
            </w:pPr>
            <w:r/>
            <w:r>
              <w:rPr>
                <w:sz w:val="15"/>
              </w:rPr>
              <w:t>NO</w:t>
            </w:r>
          </w:p>
        </w:tc>
        <w:tc>
          <w:tcPr>
            <w:tcW w:type="dxa" w:w="680"/>
          </w:tcPr>
          <w:p>
            <w:pPr>
              <w:jc w:val="right"/>
            </w:pPr>
            <w:r/>
            <w:r>
              <w:rPr>
                <w:sz w:val="15"/>
              </w:rPr>
              <w:t>—</w:t>
            </w:r>
          </w:p>
        </w:tc>
        <w:tc>
          <w:tcPr>
            <w:tcW w:type="dxa" w:w="680"/>
          </w:tcPr>
          <w:p>
            <w:pPr>
              <w:jc w:val="right"/>
            </w:pPr>
            <w:r/>
            <w:r>
              <w:rPr>
                <w:sz w:val="15"/>
              </w:rPr>
              <w:t>+27.6%</w:t>
            </w:r>
          </w:p>
        </w:tc>
        <w:tc>
          <w:tcPr>
            <w:tcW w:type="dxa" w:w="680"/>
          </w:tcPr>
          <w:p>
            <w:pPr>
              <w:jc w:val="right"/>
            </w:pPr>
            <w:r/>
            <w:r>
              <w:rPr>
                <w:sz w:val="15"/>
              </w:rPr>
              <w:t>+36.7%</w:t>
            </w:r>
          </w:p>
        </w:tc>
        <w:tc>
          <w:tcPr>
            <w:tcW w:type="dxa" w:w="850"/>
          </w:tcPr>
          <w:p>
            <w:pPr>
              <w:jc w:val="right"/>
            </w:pPr>
            <w:r/>
            <w:r>
              <w:rPr>
                <w:sz w:val="15"/>
              </w:rPr>
              <w:t>+7.1%</w:t>
            </w:r>
          </w:p>
        </w:tc>
        <w:tc>
          <w:tcPr>
            <w:tcW w:type="dxa" w:w="794"/>
          </w:tcPr>
          <w:p>
            <w:pPr>
              <w:jc w:val="right"/>
            </w:pPr>
            <w:r/>
            <w:r>
              <w:rPr>
                <w:sz w:val="15"/>
              </w:rPr>
              <w:t>1.0x</w:t>
            </w:r>
          </w:p>
        </w:tc>
        <w:tc>
          <w:tcPr>
            <w:tcW w:type="dxa" w:w="680"/>
          </w:tcPr>
          <w:p>
            <w:pPr>
              <w:jc w:val="right"/>
            </w:pPr>
            <w:r/>
            <w:r>
              <w:rPr>
                <w:sz w:val="15"/>
              </w:rPr>
              <w:t>-0.24%</w:t>
            </w:r>
          </w:p>
        </w:tc>
      </w:tr>
      <w:tr>
        <w:tc>
          <w:tcPr>
            <w:tcW w:type="dxa" w:w="1928"/>
          </w:tcPr>
          <w:p>
            <w:r/>
            <w:r>
              <w:rPr>
                <w:sz w:val="15"/>
              </w:rPr>
              <w:t>2609 BAYZED HEALTH</w:t>
            </w:r>
          </w:p>
        </w:tc>
        <w:tc>
          <w:tcPr>
            <w:tcW w:type="dxa" w:w="964"/>
          </w:tcPr>
          <w:p>
            <w:pPr>
              <w:jc w:val="right"/>
            </w:pPr>
            <w:r/>
            <w:r>
              <w:rPr>
                <w:sz w:val="15"/>
              </w:rPr>
              <w:t>2025-06-23</w:t>
            </w:r>
          </w:p>
        </w:tc>
        <w:tc>
          <w:tcPr>
            <w:tcW w:type="dxa" w:w="794"/>
          </w:tcPr>
          <w:p>
            <w:pPr>
              <w:jc w:val="right"/>
            </w:pPr>
            <w:r/>
            <w:r>
              <w:rPr>
                <w:sz w:val="15"/>
              </w:rPr>
              <w:t>562</w:t>
            </w:r>
          </w:p>
        </w:tc>
        <w:tc>
          <w:tcPr>
            <w:tcW w:type="dxa" w:w="737"/>
          </w:tcPr>
          <w:p>
            <w:pPr>
              <w:jc w:val="right"/>
            </w:pPr>
            <w:r/>
            <w:r>
              <w:rPr>
                <w:sz w:val="15"/>
              </w:rPr>
              <w:t>25.9x</w:t>
            </w:r>
          </w:p>
        </w:tc>
        <w:tc>
          <w:tcPr>
            <w:tcW w:type="dxa" w:w="624"/>
          </w:tcPr>
          <w:p>
            <w:pPr>
              <w:jc w:val="right"/>
            </w:pPr>
            <w:r/>
            <w:r>
              <w:rPr>
                <w:sz w:val="15"/>
              </w:rPr>
              <w:t>0.98x</w:t>
            </w:r>
          </w:p>
        </w:tc>
        <w:tc>
          <w:tcPr>
            <w:tcW w:type="dxa" w:w="680"/>
          </w:tcPr>
          <w:p>
            <w:pPr>
              <w:jc w:val="right"/>
            </w:pPr>
            <w:r/>
            <w:r>
              <w:rPr>
                <w:sz w:val="15"/>
              </w:rPr>
              <w:t>113</w:t>
            </w:r>
          </w:p>
        </w:tc>
        <w:tc>
          <w:tcPr>
            <w:tcW w:type="dxa" w:w="737"/>
          </w:tcPr>
          <w:p>
            <w:pPr>
              <w:jc w:val="right"/>
            </w:pPr>
            <w:r/>
            <w:r>
              <w:rPr>
                <w:sz w:val="15"/>
              </w:rPr>
              <w:t>12.2%</w:t>
            </w:r>
          </w:p>
        </w:tc>
        <w:tc>
          <w:tcPr>
            <w:tcW w:type="dxa" w:w="567"/>
          </w:tcPr>
          <w:p>
            <w:pPr>
              <w:jc w:val="right"/>
            </w:pPr>
            <w:r/>
            <w:r>
              <w:rPr>
                <w:sz w:val="15"/>
              </w:rPr>
              <w:t>NO</w:t>
            </w:r>
          </w:p>
        </w:tc>
        <w:tc>
          <w:tcPr>
            <w:tcW w:type="dxa" w:w="680"/>
          </w:tcPr>
          <w:p>
            <w:pPr>
              <w:jc w:val="right"/>
            </w:pPr>
            <w:r/>
            <w:r>
              <w:rPr>
                <w:sz w:val="15"/>
              </w:rPr>
              <w:t>+25.8%</w:t>
            </w:r>
          </w:p>
        </w:tc>
        <w:tc>
          <w:tcPr>
            <w:tcW w:type="dxa" w:w="680"/>
          </w:tcPr>
          <w:p>
            <w:pPr>
              <w:jc w:val="right"/>
            </w:pPr>
            <w:r/>
            <w:r>
              <w:rPr>
                <w:sz w:val="15"/>
              </w:rPr>
              <w:t>+24.4%</w:t>
            </w:r>
          </w:p>
        </w:tc>
        <w:tc>
          <w:tcPr>
            <w:tcW w:type="dxa" w:w="680"/>
          </w:tcPr>
          <w:p>
            <w:pPr>
              <w:jc w:val="right"/>
            </w:pPr>
            <w:r/>
            <w:r>
              <w:rPr>
                <w:sz w:val="15"/>
              </w:rPr>
              <w:t>+42.2%</w:t>
            </w:r>
          </w:p>
        </w:tc>
        <w:tc>
          <w:tcPr>
            <w:tcW w:type="dxa" w:w="850"/>
          </w:tcPr>
          <w:p>
            <w:pPr>
              <w:jc w:val="right"/>
            </w:pPr>
            <w:r/>
            <w:r>
              <w:rPr>
                <w:sz w:val="15"/>
              </w:rPr>
              <w:t>+14.3%</w:t>
            </w:r>
          </w:p>
        </w:tc>
        <w:tc>
          <w:tcPr>
            <w:tcW w:type="dxa" w:w="794"/>
          </w:tcPr>
          <w:p>
            <w:pPr>
              <w:jc w:val="right"/>
            </w:pPr>
            <w:r/>
            <w:r>
              <w:rPr>
                <w:sz w:val="15"/>
              </w:rPr>
              <w:t>1.3x</w:t>
            </w:r>
          </w:p>
        </w:tc>
        <w:tc>
          <w:tcPr>
            <w:tcW w:type="dxa" w:w="680"/>
          </w:tcPr>
          <w:p>
            <w:pPr>
              <w:jc w:val="right"/>
            </w:pPr>
            <w:r/>
            <w:r>
              <w:rPr>
                <w:sz w:val="15"/>
              </w:rPr>
              <w:t>+0.67%</w:t>
            </w:r>
          </w:p>
        </w:tc>
      </w:tr>
      <w:tr>
        <w:tc>
          <w:tcPr>
            <w:tcW w:type="dxa" w:w="1928"/>
          </w:tcPr>
          <w:p>
            <w:r/>
            <w:r>
              <w:rPr>
                <w:sz w:val="15"/>
              </w:rPr>
              <w:t>2582 GUOFUHEE</w:t>
            </w:r>
          </w:p>
        </w:tc>
        <w:tc>
          <w:tcPr>
            <w:tcW w:type="dxa" w:w="964"/>
          </w:tcPr>
          <w:p>
            <w:pPr>
              <w:jc w:val="right"/>
            </w:pPr>
            <w:r/>
            <w:r>
              <w:rPr>
                <w:sz w:val="15"/>
              </w:rPr>
              <w:t>2024-11-15</w:t>
            </w:r>
          </w:p>
        </w:tc>
        <w:tc>
          <w:tcPr>
            <w:tcW w:type="dxa" w:w="794"/>
          </w:tcPr>
          <w:p>
            <w:pPr>
              <w:jc w:val="right"/>
            </w:pPr>
            <w:r/>
            <w:r>
              <w:rPr>
                <w:sz w:val="15"/>
              </w:rPr>
              <w:t>390</w:t>
            </w:r>
          </w:p>
        </w:tc>
        <w:tc>
          <w:tcPr>
            <w:tcW w:type="dxa" w:w="737"/>
          </w:tcPr>
          <w:p>
            <w:pPr>
              <w:jc w:val="right"/>
            </w:pPr>
            <w:r/>
            <w:r>
              <w:rPr>
                <w:sz w:val="15"/>
              </w:rPr>
              <w:t>21.1x</w:t>
            </w:r>
          </w:p>
        </w:tc>
        <w:tc>
          <w:tcPr>
            <w:tcW w:type="dxa" w:w="624"/>
          </w:tcPr>
          <w:p>
            <w:pPr>
              <w:jc w:val="right"/>
            </w:pPr>
            <w:r/>
            <w:r>
              <w:rPr>
                <w:sz w:val="15"/>
              </w:rPr>
              <w:t>0.99x</w:t>
            </w:r>
          </w:p>
        </w:tc>
        <w:tc>
          <w:tcPr>
            <w:tcW w:type="dxa" w:w="680"/>
          </w:tcPr>
          <w:p>
            <w:pPr>
              <w:jc w:val="right"/>
            </w:pPr>
            <w:r/>
            <w:r>
              <w:rPr>
                <w:sz w:val="15"/>
              </w:rPr>
              <w:t>164</w:t>
            </w:r>
          </w:p>
        </w:tc>
        <w:tc>
          <w:tcPr>
            <w:tcW w:type="dxa" w:w="737"/>
          </w:tcPr>
          <w:p>
            <w:pPr>
              <w:jc w:val="right"/>
            </w:pPr>
            <w:r/>
            <w:r>
              <w:rPr>
                <w:sz w:val="15"/>
              </w:rPr>
              <w:t>12.1%</w:t>
            </w:r>
          </w:p>
        </w:tc>
        <w:tc>
          <w:tcPr>
            <w:tcW w:type="dxa" w:w="567"/>
          </w:tcPr>
          <w:p>
            <w:pPr>
              <w:jc w:val="right"/>
            </w:pPr>
            <w:r/>
            <w:r>
              <w:rPr>
                <w:sz w:val="15"/>
              </w:rPr>
              <w:t>NO</w:t>
            </w:r>
          </w:p>
        </w:tc>
        <w:tc>
          <w:tcPr>
            <w:tcW w:type="dxa" w:w="680"/>
          </w:tcPr>
          <w:p>
            <w:pPr>
              <w:jc w:val="right"/>
            </w:pPr>
            <w:r/>
            <w:r>
              <w:rPr>
                <w:sz w:val="15"/>
              </w:rPr>
              <w:t>+24.2%</w:t>
            </w:r>
          </w:p>
        </w:tc>
        <w:tc>
          <w:tcPr>
            <w:tcW w:type="dxa" w:w="680"/>
          </w:tcPr>
          <w:p>
            <w:pPr>
              <w:jc w:val="right"/>
            </w:pPr>
            <w:r/>
            <w:r>
              <w:rPr>
                <w:sz w:val="15"/>
              </w:rPr>
              <w:t>+26.6%</w:t>
            </w:r>
          </w:p>
        </w:tc>
        <w:tc>
          <w:tcPr>
            <w:tcW w:type="dxa" w:w="680"/>
          </w:tcPr>
          <w:p>
            <w:pPr>
              <w:jc w:val="right"/>
            </w:pPr>
            <w:r/>
            <w:r>
              <w:rPr>
                <w:sz w:val="15"/>
              </w:rPr>
              <w:t>+20.0%</w:t>
            </w:r>
          </w:p>
        </w:tc>
        <w:tc>
          <w:tcPr>
            <w:tcW w:type="dxa" w:w="850"/>
          </w:tcPr>
          <w:p>
            <w:pPr>
              <w:jc w:val="right"/>
            </w:pPr>
            <w:r/>
            <w:r>
              <w:rPr>
                <w:sz w:val="15"/>
              </w:rPr>
              <w:t>-5.2%</w:t>
            </w:r>
          </w:p>
        </w:tc>
        <w:tc>
          <w:tcPr>
            <w:tcW w:type="dxa" w:w="794"/>
          </w:tcPr>
          <w:p>
            <w:pPr>
              <w:jc w:val="right"/>
            </w:pPr>
            <w:r/>
            <w:r>
              <w:rPr>
                <w:sz w:val="15"/>
              </w:rPr>
              <w:t>1.1x</w:t>
            </w:r>
          </w:p>
        </w:tc>
        <w:tc>
          <w:tcPr>
            <w:tcW w:type="dxa" w:w="680"/>
          </w:tcPr>
          <w:p>
            <w:pPr>
              <w:jc w:val="right"/>
            </w:pPr>
            <w:r/>
            <w:r>
              <w:rPr>
                <w:sz w:val="15"/>
              </w:rPr>
              <w:t>-0.05%</w:t>
            </w:r>
          </w:p>
        </w:tc>
      </w:tr>
      <w:tr>
        <w:tc>
          <w:tcPr>
            <w:tcW w:type="dxa" w:w="1928"/>
          </w:tcPr>
          <w:p>
            <w:r/>
            <w:r>
              <w:rPr>
                <w:sz w:val="15"/>
              </w:rPr>
              <w:t>2627 AB&amp;B BIO-TECH-B</w:t>
            </w:r>
          </w:p>
        </w:tc>
        <w:tc>
          <w:tcPr>
            <w:tcW w:type="dxa" w:w="964"/>
          </w:tcPr>
          <w:p>
            <w:pPr>
              <w:jc w:val="right"/>
            </w:pPr>
            <w:r/>
            <w:r>
              <w:rPr>
                <w:sz w:val="15"/>
              </w:rPr>
              <w:t>2025-08-11</w:t>
            </w:r>
          </w:p>
        </w:tc>
        <w:tc>
          <w:tcPr>
            <w:tcW w:type="dxa" w:w="794"/>
          </w:tcPr>
          <w:p>
            <w:pPr>
              <w:jc w:val="right"/>
            </w:pPr>
            <w:r/>
            <w:r>
              <w:rPr>
                <w:sz w:val="15"/>
              </w:rPr>
              <w:t>431</w:t>
            </w:r>
          </w:p>
        </w:tc>
        <w:tc>
          <w:tcPr>
            <w:tcW w:type="dxa" w:w="737"/>
          </w:tcPr>
          <w:p>
            <w:pPr>
              <w:jc w:val="right"/>
            </w:pPr>
            <w:r/>
            <w:r>
              <w:rPr>
                <w:sz w:val="15"/>
              </w:rPr>
              <w:t>4,007.6x</w:t>
            </w:r>
          </w:p>
        </w:tc>
        <w:tc>
          <w:tcPr>
            <w:tcW w:type="dxa" w:w="624"/>
          </w:tcPr>
          <w:p>
            <w:pPr>
              <w:jc w:val="right"/>
            </w:pPr>
            <w:r/>
            <w:r>
              <w:rPr>
                <w:sz w:val="15"/>
              </w:rPr>
              <w:t>0.99x</w:t>
            </w:r>
          </w:p>
        </w:tc>
        <w:tc>
          <w:tcPr>
            <w:tcW w:type="dxa" w:w="680"/>
          </w:tcPr>
          <w:p>
            <w:pPr>
              <w:jc w:val="right"/>
            </w:pPr>
            <w:r/>
            <w:r>
              <w:rPr>
                <w:sz w:val="15"/>
              </w:rPr>
              <w:t>152</w:t>
            </w:r>
          </w:p>
        </w:tc>
        <w:tc>
          <w:tcPr>
            <w:tcW w:type="dxa" w:w="737"/>
          </w:tcPr>
          <w:p>
            <w:pPr>
              <w:jc w:val="right"/>
            </w:pPr>
            <w:r/>
            <w:r>
              <w:rPr>
                <w:sz w:val="15"/>
              </w:rPr>
              <w:t>11.9%</w:t>
            </w:r>
          </w:p>
        </w:tc>
        <w:tc>
          <w:tcPr>
            <w:tcW w:type="dxa" w:w="567"/>
          </w:tcPr>
          <w:p>
            <w:pPr>
              <w:jc w:val="right"/>
            </w:pPr>
            <w:r/>
            <w:r>
              <w:rPr>
                <w:sz w:val="15"/>
              </w:rPr>
              <w:t>NO</w:t>
            </w:r>
          </w:p>
        </w:tc>
        <w:tc>
          <w:tcPr>
            <w:tcW w:type="dxa" w:w="680"/>
          </w:tcPr>
          <w:p>
            <w:pPr>
              <w:jc w:val="right"/>
            </w:pPr>
            <w:r/>
            <w:r>
              <w:rPr>
                <w:sz w:val="15"/>
              </w:rPr>
              <w:t>+162.6%</w:t>
            </w:r>
          </w:p>
        </w:tc>
        <w:tc>
          <w:tcPr>
            <w:tcW w:type="dxa" w:w="680"/>
          </w:tcPr>
          <w:p>
            <w:pPr>
              <w:jc w:val="right"/>
            </w:pPr>
            <w:r/>
            <w:r>
              <w:rPr>
                <w:sz w:val="15"/>
              </w:rPr>
              <w:t>+155.8%</w:t>
            </w:r>
          </w:p>
        </w:tc>
        <w:tc>
          <w:tcPr>
            <w:tcW w:type="dxa" w:w="680"/>
          </w:tcPr>
          <w:p>
            <w:pPr>
              <w:jc w:val="right"/>
            </w:pPr>
            <w:r/>
            <w:r>
              <w:rPr>
                <w:sz w:val="15"/>
              </w:rPr>
              <w:t>+158.0%</w:t>
            </w:r>
          </w:p>
        </w:tc>
        <w:tc>
          <w:tcPr>
            <w:tcW w:type="dxa" w:w="850"/>
          </w:tcPr>
          <w:p>
            <w:pPr>
              <w:jc w:val="right"/>
            </w:pPr>
            <w:r/>
            <w:r>
              <w:rPr>
                <w:sz w:val="15"/>
              </w:rPr>
              <w:t>+0.8%</w:t>
            </w:r>
          </w:p>
        </w:tc>
        <w:tc>
          <w:tcPr>
            <w:tcW w:type="dxa" w:w="794"/>
          </w:tcPr>
          <w:p>
            <w:pPr>
              <w:jc w:val="right"/>
            </w:pPr>
            <w:r/>
            <w:r>
              <w:rPr>
                <w:sz w:val="15"/>
              </w:rPr>
              <w:t>2.2x</w:t>
            </w:r>
          </w:p>
        </w:tc>
        <w:tc>
          <w:tcPr>
            <w:tcW w:type="dxa" w:w="680"/>
          </w:tcPr>
          <w:p>
            <w:pPr>
              <w:jc w:val="right"/>
            </w:pPr>
            <w:r/>
            <w:r>
              <w:rPr>
                <w:sz w:val="15"/>
              </w:rPr>
              <w:t>+0.19%</w:t>
            </w:r>
          </w:p>
        </w:tc>
      </w:tr>
      <w:tr>
        <w:tc>
          <w:tcPr>
            <w:tcW w:type="dxa" w:w="1928"/>
          </w:tcPr>
          <w:p>
            <w:r/>
            <w:r>
              <w:rPr>
                <w:sz w:val="15"/>
              </w:rPr>
              <w:t>2691 NANHUA FUTURES</w:t>
            </w:r>
          </w:p>
        </w:tc>
        <w:tc>
          <w:tcPr>
            <w:tcW w:type="dxa" w:w="964"/>
          </w:tcPr>
          <w:p>
            <w:pPr>
              <w:jc w:val="right"/>
            </w:pPr>
            <w:r/>
            <w:r>
              <w:rPr>
                <w:sz w:val="15"/>
              </w:rPr>
              <w:t>2025-12-22</w:t>
            </w:r>
          </w:p>
        </w:tc>
        <w:tc>
          <w:tcPr>
            <w:tcW w:type="dxa" w:w="794"/>
          </w:tcPr>
          <w:p>
            <w:pPr>
              <w:jc w:val="right"/>
            </w:pPr>
            <w:r/>
            <w:r>
              <w:rPr>
                <w:sz w:val="15"/>
              </w:rPr>
              <w:t>1,292</w:t>
            </w:r>
          </w:p>
        </w:tc>
        <w:tc>
          <w:tcPr>
            <w:tcW w:type="dxa" w:w="737"/>
          </w:tcPr>
          <w:p>
            <w:pPr>
              <w:jc w:val="right"/>
            </w:pPr>
            <w:r/>
            <w:r>
              <w:rPr>
                <w:sz w:val="15"/>
              </w:rPr>
              <w:t>1.9x</w:t>
            </w:r>
          </w:p>
        </w:tc>
        <w:tc>
          <w:tcPr>
            <w:tcW w:type="dxa" w:w="624"/>
          </w:tcPr>
          <w:p>
            <w:pPr>
              <w:jc w:val="right"/>
            </w:pPr>
            <w:r/>
            <w:r>
              <w:rPr>
                <w:sz w:val="15"/>
              </w:rPr>
              <w:t>0.99x</w:t>
            </w:r>
          </w:p>
        </w:tc>
        <w:tc>
          <w:tcPr>
            <w:tcW w:type="dxa" w:w="680"/>
          </w:tcPr>
          <w:p>
            <w:pPr>
              <w:jc w:val="right"/>
            </w:pPr>
            <w:r/>
            <w:r>
              <w:rPr>
                <w:sz w:val="15"/>
              </w:rPr>
              <w:t>32</w:t>
            </w:r>
          </w:p>
        </w:tc>
        <w:tc>
          <w:tcPr>
            <w:tcW w:type="dxa" w:w="737"/>
          </w:tcPr>
          <w:p>
            <w:pPr>
              <w:jc w:val="right"/>
            </w:pPr>
            <w:r/>
            <w:r>
              <w:rPr>
                <w:sz w:val="15"/>
              </w:rPr>
              <w:t>15.0%</w:t>
            </w:r>
          </w:p>
        </w:tc>
        <w:tc>
          <w:tcPr>
            <w:tcW w:type="dxa" w:w="567"/>
          </w:tcPr>
          <w:p>
            <w:pPr>
              <w:jc w:val="right"/>
            </w:pPr>
            <w:r/>
            <w:r>
              <w:rPr>
                <w:sz w:val="15"/>
              </w:rPr>
              <w:t>—</w:t>
            </w:r>
          </w:p>
        </w:tc>
        <w:tc>
          <w:tcPr>
            <w:tcW w:type="dxa" w:w="680"/>
          </w:tcPr>
          <w:p>
            <w:pPr>
              <w:jc w:val="right"/>
            </w:pPr>
            <w:r/>
            <w:r>
              <w:rPr>
                <w:sz w:val="15"/>
              </w:rPr>
              <w:t>-7.4%</w:t>
            </w:r>
          </w:p>
        </w:tc>
        <w:tc>
          <w:tcPr>
            <w:tcW w:type="dxa" w:w="680"/>
          </w:tcPr>
          <w:p>
            <w:pPr>
              <w:jc w:val="right"/>
            </w:pPr>
            <w:r/>
            <w:r>
              <w:rPr>
                <w:sz w:val="15"/>
              </w:rPr>
              <w:t>-23.9%</w:t>
            </w:r>
          </w:p>
        </w:tc>
        <w:tc>
          <w:tcPr>
            <w:tcW w:type="dxa" w:w="680"/>
          </w:tcPr>
          <w:p>
            <w:pPr>
              <w:jc w:val="right"/>
            </w:pPr>
            <w:r/>
            <w:r>
              <w:rPr>
                <w:sz w:val="15"/>
              </w:rPr>
              <w:t>-24.2%</w:t>
            </w:r>
          </w:p>
        </w:tc>
        <w:tc>
          <w:tcPr>
            <w:tcW w:type="dxa" w:w="850"/>
          </w:tcPr>
          <w:p>
            <w:pPr>
              <w:jc w:val="right"/>
            </w:pPr>
            <w:r/>
            <w:r>
              <w:rPr>
                <w:sz w:val="15"/>
              </w:rPr>
              <w:t>-0.3%</w:t>
            </w:r>
          </w:p>
        </w:tc>
        <w:tc>
          <w:tcPr>
            <w:tcW w:type="dxa" w:w="794"/>
          </w:tcPr>
          <w:p>
            <w:pPr>
              <w:jc w:val="right"/>
            </w:pPr>
            <w:r/>
            <w:r>
              <w:rPr>
                <w:sz w:val="15"/>
              </w:rPr>
              <w:t>0.5x</w:t>
            </w:r>
          </w:p>
        </w:tc>
        <w:tc>
          <w:tcPr>
            <w:tcW w:type="dxa" w:w="680"/>
          </w:tcPr>
          <w:p>
            <w:pPr>
              <w:jc w:val="right"/>
            </w:pPr>
            <w:r/>
            <w:r>
              <w:rPr>
                <w:sz w:val="15"/>
              </w:rPr>
              <w:t>+0.43%</w:t>
            </w:r>
          </w:p>
        </w:tc>
      </w:tr>
      <w:tr>
        <w:tc>
          <w:tcPr>
            <w:tcW w:type="dxa" w:w="1928"/>
          </w:tcPr>
          <w:p>
            <w:r/>
            <w:r>
              <w:rPr>
                <w:sz w:val="15"/>
              </w:rPr>
              <w:t>0300 MIDEA GROUP</w:t>
            </w:r>
          </w:p>
        </w:tc>
        <w:tc>
          <w:tcPr>
            <w:tcW w:type="dxa" w:w="964"/>
          </w:tcPr>
          <w:p>
            <w:pPr>
              <w:jc w:val="right"/>
            </w:pPr>
            <w:r/>
            <w:r>
              <w:rPr>
                <w:sz w:val="15"/>
              </w:rPr>
              <w:t>2024-09-17</w:t>
            </w:r>
          </w:p>
        </w:tc>
        <w:tc>
          <w:tcPr>
            <w:tcW w:type="dxa" w:w="794"/>
          </w:tcPr>
          <w:p>
            <w:pPr>
              <w:jc w:val="right"/>
            </w:pPr>
            <w:r/>
            <w:r>
              <w:rPr>
                <w:sz w:val="15"/>
              </w:rPr>
              <w:t>31,014</w:t>
            </w:r>
          </w:p>
        </w:tc>
        <w:tc>
          <w:tcPr>
            <w:tcW w:type="dxa" w:w="737"/>
          </w:tcPr>
          <w:p>
            <w:pPr>
              <w:jc w:val="right"/>
            </w:pPr>
            <w:r/>
            <w:r>
              <w:rPr>
                <w:sz w:val="15"/>
              </w:rPr>
              <w:t>9.0x</w:t>
            </w:r>
          </w:p>
        </w:tc>
        <w:tc>
          <w:tcPr>
            <w:tcW w:type="dxa" w:w="624"/>
          </w:tcPr>
          <w:p>
            <w:pPr>
              <w:jc w:val="right"/>
            </w:pPr>
            <w:r/>
            <w:r>
              <w:rPr>
                <w:sz w:val="15"/>
              </w:rPr>
              <w:t>8.06x</w:t>
            </w:r>
          </w:p>
        </w:tc>
        <w:tc>
          <w:tcPr>
            <w:tcW w:type="dxa" w:w="680"/>
          </w:tcPr>
          <w:p>
            <w:pPr>
              <w:jc w:val="right"/>
            </w:pPr>
            <w:r/>
            <w:r>
              <w:rPr>
                <w:sz w:val="15"/>
              </w:rPr>
              <w:t>236</w:t>
            </w:r>
          </w:p>
        </w:tc>
        <w:tc>
          <w:tcPr>
            <w:tcW w:type="dxa" w:w="737"/>
          </w:tcPr>
          <w:p>
            <w:pPr>
              <w:jc w:val="right"/>
            </w:pPr>
            <w:r/>
            <w:r>
              <w:rPr>
                <w:sz w:val="15"/>
              </w:rPr>
              <w:t>5.0%</w:t>
            </w:r>
          </w:p>
        </w:tc>
        <w:tc>
          <w:tcPr>
            <w:tcW w:type="dxa" w:w="567"/>
          </w:tcPr>
          <w:p>
            <w:pPr>
              <w:jc w:val="right"/>
            </w:pPr>
            <w:r/>
            <w:r>
              <w:rPr>
                <w:sz w:val="15"/>
              </w:rPr>
              <w:t>NO</w:t>
            </w:r>
          </w:p>
        </w:tc>
        <w:tc>
          <w:tcPr>
            <w:tcW w:type="dxa" w:w="680"/>
          </w:tcPr>
          <w:p>
            <w:pPr>
              <w:jc w:val="right"/>
            </w:pPr>
            <w:r/>
            <w:r>
              <w:rPr>
                <w:sz w:val="15"/>
              </w:rPr>
              <w:t>+5.8%</w:t>
            </w:r>
          </w:p>
        </w:tc>
        <w:tc>
          <w:tcPr>
            <w:tcW w:type="dxa" w:w="680"/>
          </w:tcPr>
          <w:p>
            <w:pPr>
              <w:jc w:val="right"/>
            </w:pPr>
            <w:r/>
            <w:r>
              <w:rPr>
                <w:sz w:val="15"/>
              </w:rPr>
              <w:t>+8.0%</w:t>
            </w:r>
          </w:p>
        </w:tc>
        <w:tc>
          <w:tcPr>
            <w:tcW w:type="dxa" w:w="680"/>
          </w:tcPr>
          <w:p>
            <w:pPr>
              <w:jc w:val="right"/>
            </w:pPr>
            <w:r/>
            <w:r>
              <w:rPr>
                <w:sz w:val="15"/>
              </w:rPr>
              <w:t>+7.8%</w:t>
            </w:r>
          </w:p>
        </w:tc>
        <w:tc>
          <w:tcPr>
            <w:tcW w:type="dxa" w:w="850"/>
          </w:tcPr>
          <w:p>
            <w:pPr>
              <w:jc w:val="right"/>
            </w:pPr>
            <w:r/>
            <w:r>
              <w:rPr>
                <w:sz w:val="15"/>
              </w:rPr>
              <w:t>-0.2%</w:t>
            </w:r>
          </w:p>
        </w:tc>
        <w:tc>
          <w:tcPr>
            <w:tcW w:type="dxa" w:w="794"/>
          </w:tcPr>
          <w:p>
            <w:pPr>
              <w:jc w:val="right"/>
            </w:pPr>
            <w:r/>
            <w:r>
              <w:rPr>
                <w:sz w:val="15"/>
              </w:rPr>
              <w:t>2.3x</w:t>
            </w:r>
          </w:p>
        </w:tc>
        <w:tc>
          <w:tcPr>
            <w:tcW w:type="dxa" w:w="680"/>
          </w:tcPr>
          <w:p>
            <w:pPr>
              <w:jc w:val="right"/>
            </w:pPr>
            <w:r/>
            <w:r>
              <w:rPr>
                <w:sz w:val="15"/>
              </w:rPr>
              <w:t>+1.37%</w:t>
            </w:r>
          </w:p>
        </w:tc>
      </w:tr>
    </w:tbl>
    <w:p>
      <w:pPr>
        <w:spacing w:after="40"/>
      </w:pPr>
    </w:p>
    <w:p>
      <w:pPr>
        <w:spacing w:after="120"/>
      </w:pPr>
      <w:r>
        <w:rPr>
          <w:b w:val="0"/>
          <w:i/>
          <w:sz w:val="17"/>
        </w:rPr>
        <w:t>Retail % = the public tranche's share of the offering after reallocation, as stated in the allotment notice. Claw = the notice's own "Claw-back triggered" line (2025+ format), derived from the split where the older notice has no line (≥28% = yes, ≤12% = no, the band between left unstated). Vol/retail = listing-day volume divided by the shares the public tranche received. HSI d1 = the Hang Seng Index's move on the listing day.</w:t>
      </w:r>
    </w:p>
    <w:p>
      <w:pPr>
        <w:spacing w:after="120"/>
      </w:pPr>
      <w:r>
        <w:rPr>
          <w:b/>
          <w:i w:val="0"/>
          <w:sz w:val="24"/>
        </w:rPr>
        <w:t>2. The mechanism, in the rule's own words</w:t>
      </w:r>
    </w:p>
    <w:p>
      <w:pPr>
        <w:spacing w:after="120"/>
      </w:pPr>
      <w:r>
        <w:rPr>
          <w:b w:val="0"/>
          <w:i w:val="0"/>
          <w:sz w:val="20"/>
        </w:rPr>
        <w:t>AB&amp;B Bio-Tech's prospectus (2627, August 2025), section "Reallocation and clawback":</w:t>
      </w:r>
    </w:p>
    <w:p>
      <w:pPr>
        <w:spacing w:after="120"/>
      </w:pPr>
      <w:r>
        <w:rPr>
          <w:b w:val="0"/>
          <w:i/>
          <w:sz w:val="19"/>
        </w:rPr>
        <w:t>"If the International Offering is fully subscribed or oversubscribed and the number of Offer Shares validly applied for under the Hong Kong Public Offering represents (a) 15 times or more but less than 50 times; (b) 50 times or more but less than 100 times; and (c) 100 times or more of the total number of Offer Shares initially available under the Hong Kong Public Offering, then Offer Shares will be reallocated to the Hong Kong Public Offering from the International Offering … representing approximately 30.0%, approximately 40.0% and approximately 50.0% of the total number of Offer Shares initially available under the Global Offering, respectively (the "PN18 Clawback")."</w:t>
      </w:r>
    </w:p>
    <w:p>
      <w:pPr>
        <w:spacing w:after="120"/>
      </w:pPr>
      <w:r>
        <w:rPr>
          <w:b w:val="0"/>
          <w:i w:val="0"/>
          <w:sz w:val="21"/>
        </w:rPr>
        <w:t>AB&amp;B's public book was 4,007.64x. Its placing had 152 placees at 0.99x. Retail received 3,996,000 of 33,442,600 shares: 11.95%, not 50%. HKET's headline the next morning was 「怪象令回撥由50%變12%？」, and its explanation was the one above: the 0.99x "剛好沒有觸發回補機制門檻", leaving the coordinators the right to set the split 「按其認為適當的數目」. AB&amp;B was the last deal under the old 50% cap.</w:t>
      </w:r>
    </w:p>
    <w:p>
      <w:pPr>
        <w:spacing w:after="120"/>
      </w:pPr>
      <w:r>
        <w:rPr>
          <w:b w:val="0"/>
          <w:i w:val="0"/>
          <w:sz w:val="21"/>
        </w:rPr>
        <w:t>The market has a vocabulary for this. 證券之星 on Easou (2550) distinguishes 被動回撥 (the rule working as designed), 主動回撥 (retail lifted to 20% voluntarily when the public book is under 15x) and 套路回撥: a strong public book, a placing held under 1x, and retail restricted to the minimum. It names Easou, EDA (2505) and Autostreets (2443) — three deals on this list — as examples, and puts the motive plainly: 「主力想盡可能多拿票，不想把票分給散戶」. HKET on Shougang Lanza's debut: 「國際配售認購不足、公開發售佔比增至15%」. HKET on Bayzed: 「由於國際配售部分認購不足，香港公開發售股份部分升至12.2%」. Every one of those figures matches what the extractor read from the filing.</w:t>
      </w:r>
    </w:p>
    <w:p>
      <w:pPr>
        <w:spacing w:after="120"/>
      </w:pPr>
      <w:r>
        <w:rPr>
          <w:b w:val="0"/>
          <w:i w:val="0"/>
          <w:sz w:val="20"/>
        </w:rPr>
        <w:t>Measured across the book, public book 100x or more: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4252"/>
          </w:tcPr>
          <w:p>
            <w:r/>
            <w:r>
              <w:rPr>
                <w:b/>
                <w:sz w:val="17"/>
              </w:rPr>
              <w:t>Regime and placing</w:t>
            </w:r>
          </w:p>
        </w:tc>
        <w:tc>
          <w:tcPr>
            <w:tcW w:type="dxa" w:w="794"/>
          </w:tcPr>
          <w:p>
            <w:r/>
            <w:r>
              <w:rPr>
                <w:b/>
                <w:sz w:val="17"/>
              </w:rPr>
              <w:t>Deals</w:t>
            </w:r>
          </w:p>
        </w:tc>
        <w:tc>
          <w:tcPr>
            <w:tcW w:type="dxa" w:w="1134"/>
          </w:tcPr>
          <w:p>
            <w:r/>
            <w:r>
              <w:rPr>
                <w:b/>
                <w:sz w:val="17"/>
              </w:rPr>
              <w:t>Split stated</w:t>
            </w:r>
          </w:p>
        </w:tc>
        <w:tc>
          <w:tcPr>
            <w:tcW w:type="dxa" w:w="1361"/>
          </w:tcPr>
          <w:p>
            <w:r/>
            <w:r>
              <w:rPr>
                <w:b/>
                <w:sz w:val="17"/>
              </w:rPr>
              <w:t>Retail % (median)</w:t>
            </w:r>
          </w:p>
        </w:tc>
        <w:tc>
          <w:tcPr>
            <w:tcW w:type="dxa" w:w="1247"/>
          </w:tcPr>
          <w:p>
            <w:r/>
            <w:r>
              <w:rPr>
                <w:b/>
                <w:sz w:val="17"/>
              </w:rPr>
              <w:t>Open (median)</w:t>
            </w:r>
          </w:p>
        </w:tc>
        <w:tc>
          <w:tcPr>
            <w:tcW w:type="dxa" w:w="1247"/>
          </w:tcPr>
          <w:p>
            <w:r/>
            <w:r>
              <w:rPr>
                <w:b/>
                <w:sz w:val="17"/>
              </w:rPr>
              <w:t>Close (median)</w:t>
            </w:r>
          </w:p>
        </w:tc>
      </w:tr>
      <w:tr>
        <w:tc>
          <w:tcPr>
            <w:tcW w:type="dxa" w:w="4252"/>
          </w:tcPr>
          <w:p>
            <w:r/>
            <w:r>
              <w:rPr>
                <w:sz w:val="17"/>
              </w:rPr>
              <w:t>Old rules (to Jul-2025), placing covered (≥1x)</w:t>
            </w:r>
          </w:p>
        </w:tc>
        <w:tc>
          <w:tcPr>
            <w:tcW w:type="dxa" w:w="794"/>
          </w:tcPr>
          <w:p>
            <w:pPr>
              <w:jc w:val="right"/>
            </w:pPr>
            <w:r/>
            <w:r>
              <w:rPr>
                <w:sz w:val="17"/>
              </w:rPr>
              <w:t>72</w:t>
            </w:r>
          </w:p>
        </w:tc>
        <w:tc>
          <w:tcPr>
            <w:tcW w:type="dxa" w:w="1134"/>
          </w:tcPr>
          <w:p>
            <w:pPr>
              <w:jc w:val="right"/>
            </w:pPr>
            <w:r/>
            <w:r>
              <w:rPr>
                <w:sz w:val="17"/>
              </w:rPr>
              <w:t>57</w:t>
            </w:r>
          </w:p>
        </w:tc>
        <w:tc>
          <w:tcPr>
            <w:tcW w:type="dxa" w:w="1361"/>
          </w:tcPr>
          <w:p>
            <w:pPr>
              <w:jc w:val="right"/>
            </w:pPr>
            <w:r/>
            <w:r>
              <w:rPr>
                <w:sz w:val="17"/>
              </w:rPr>
              <w:t>50.0%</w:t>
            </w:r>
          </w:p>
        </w:tc>
        <w:tc>
          <w:tcPr>
            <w:tcW w:type="dxa" w:w="1247"/>
          </w:tcPr>
          <w:p>
            <w:pPr>
              <w:jc w:val="right"/>
            </w:pPr>
            <w:r/>
            <w:r>
              <w:rPr>
                <w:sz w:val="17"/>
              </w:rPr>
              <w:t>+2.7%</w:t>
            </w:r>
          </w:p>
        </w:tc>
        <w:tc>
          <w:tcPr>
            <w:tcW w:type="dxa" w:w="1247"/>
          </w:tcPr>
          <w:p>
            <w:pPr>
              <w:jc w:val="right"/>
            </w:pPr>
            <w:r/>
            <w:r>
              <w:rPr>
                <w:sz w:val="17"/>
              </w:rPr>
              <w:t>+4.3%</w:t>
            </w:r>
          </w:p>
        </w:tc>
      </w:tr>
      <w:tr>
        <w:tc>
          <w:tcPr>
            <w:tcW w:type="dxa" w:w="4252"/>
          </w:tcPr>
          <w:p>
            <w:r/>
            <w:r>
              <w:rPr>
                <w:sz w:val="17"/>
              </w:rPr>
              <w:t>Old rules, placing 0.85–0.99x</w:t>
            </w:r>
          </w:p>
        </w:tc>
        <w:tc>
          <w:tcPr>
            <w:tcW w:type="dxa" w:w="794"/>
          </w:tcPr>
          <w:p>
            <w:pPr>
              <w:jc w:val="right"/>
            </w:pPr>
            <w:r/>
            <w:r>
              <w:rPr>
                <w:sz w:val="17"/>
              </w:rPr>
              <w:t>10</w:t>
            </w:r>
          </w:p>
        </w:tc>
        <w:tc>
          <w:tcPr>
            <w:tcW w:type="dxa" w:w="1134"/>
          </w:tcPr>
          <w:p>
            <w:pPr>
              <w:jc w:val="right"/>
            </w:pPr>
            <w:r/>
            <w:r>
              <w:rPr>
                <w:sz w:val="17"/>
              </w:rPr>
              <w:t>10</w:t>
            </w:r>
          </w:p>
        </w:tc>
        <w:tc>
          <w:tcPr>
            <w:tcW w:type="dxa" w:w="1361"/>
          </w:tcPr>
          <w:p>
            <w:pPr>
              <w:jc w:val="right"/>
            </w:pPr>
            <w:r/>
            <w:r>
              <w:rPr>
                <w:sz w:val="17"/>
              </w:rPr>
              <w:t>16.7%</w:t>
            </w:r>
          </w:p>
        </w:tc>
        <w:tc>
          <w:tcPr>
            <w:tcW w:type="dxa" w:w="1247"/>
          </w:tcPr>
          <w:p>
            <w:pPr>
              <w:jc w:val="right"/>
            </w:pPr>
            <w:r/>
            <w:r>
              <w:rPr>
                <w:sz w:val="17"/>
              </w:rPr>
              <w:t>+53.3%</w:t>
            </w:r>
          </w:p>
        </w:tc>
        <w:tc>
          <w:tcPr>
            <w:tcW w:type="dxa" w:w="1247"/>
          </w:tcPr>
          <w:p>
            <w:pPr>
              <w:jc w:val="right"/>
            </w:pPr>
            <w:r/>
            <w:r>
              <w:rPr>
                <w:sz w:val="17"/>
              </w:rPr>
              <w:t>+32.3%</w:t>
            </w:r>
          </w:p>
        </w:tc>
      </w:tr>
      <w:tr>
        <w:tc>
          <w:tcPr>
            <w:tcW w:type="dxa" w:w="4252"/>
          </w:tcPr>
          <w:p>
            <w:r/>
            <w:r>
              <w:rPr>
                <w:sz w:val="17"/>
              </w:rPr>
              <w:t>New rules (Aug-2025+), placing covered (≥1x)</w:t>
            </w:r>
          </w:p>
        </w:tc>
        <w:tc>
          <w:tcPr>
            <w:tcW w:type="dxa" w:w="794"/>
          </w:tcPr>
          <w:p>
            <w:pPr>
              <w:jc w:val="right"/>
            </w:pPr>
            <w:r/>
            <w:r>
              <w:rPr>
                <w:sz w:val="17"/>
              </w:rPr>
              <w:t>138</w:t>
            </w:r>
          </w:p>
        </w:tc>
        <w:tc>
          <w:tcPr>
            <w:tcW w:type="dxa" w:w="1134"/>
          </w:tcPr>
          <w:p>
            <w:pPr>
              <w:jc w:val="right"/>
            </w:pPr>
            <w:r/>
            <w:r>
              <w:rPr>
                <w:sz w:val="17"/>
              </w:rPr>
              <w:t>130</w:t>
            </w:r>
          </w:p>
        </w:tc>
        <w:tc>
          <w:tcPr>
            <w:tcW w:type="dxa" w:w="1361"/>
          </w:tcPr>
          <w:p>
            <w:pPr>
              <w:jc w:val="right"/>
            </w:pPr>
            <w:r/>
            <w:r>
              <w:rPr>
                <w:sz w:val="17"/>
              </w:rPr>
              <w:t>10.0%</w:t>
            </w:r>
          </w:p>
        </w:tc>
        <w:tc>
          <w:tcPr>
            <w:tcW w:type="dxa" w:w="1247"/>
          </w:tcPr>
          <w:p>
            <w:pPr>
              <w:jc w:val="right"/>
            </w:pPr>
            <w:r/>
            <w:r>
              <w:rPr>
                <w:sz w:val="17"/>
              </w:rPr>
              <w:t>+36.4%</w:t>
            </w:r>
          </w:p>
        </w:tc>
        <w:tc>
          <w:tcPr>
            <w:tcW w:type="dxa" w:w="1247"/>
          </w:tcPr>
          <w:p>
            <w:pPr>
              <w:jc w:val="right"/>
            </w:pPr>
            <w:r/>
            <w:r>
              <w:rPr>
                <w:sz w:val="17"/>
              </w:rPr>
              <w:t>+32.0%</w:t>
            </w:r>
          </w:p>
        </w:tc>
      </w:tr>
      <w:tr>
        <w:tc>
          <w:tcPr>
            <w:tcW w:type="dxa" w:w="4252"/>
          </w:tcPr>
          <w:p>
            <w:r/>
            <w:r>
              <w:rPr>
                <w:sz w:val="17"/>
              </w:rPr>
              <w:t>New rules, placing 0.85–0.99x</w:t>
            </w:r>
          </w:p>
        </w:tc>
        <w:tc>
          <w:tcPr>
            <w:tcW w:type="dxa" w:w="794"/>
          </w:tcPr>
          <w:p>
            <w:pPr>
              <w:jc w:val="right"/>
            </w:pPr>
            <w:r/>
            <w:r>
              <w:rPr>
                <w:sz w:val="17"/>
              </w:rPr>
              <w:t>3</w:t>
            </w:r>
          </w:p>
        </w:tc>
        <w:tc>
          <w:tcPr>
            <w:tcW w:type="dxa" w:w="1134"/>
          </w:tcPr>
          <w:p>
            <w:pPr>
              <w:jc w:val="right"/>
            </w:pPr>
            <w:r/>
            <w:r>
              <w:rPr>
                <w:sz w:val="17"/>
              </w:rPr>
              <w:t>3</w:t>
            </w:r>
          </w:p>
        </w:tc>
        <w:tc>
          <w:tcPr>
            <w:tcW w:type="dxa" w:w="1361"/>
          </w:tcPr>
          <w:p>
            <w:pPr>
              <w:jc w:val="right"/>
            </w:pPr>
            <w:r/>
            <w:r>
              <w:rPr>
                <w:sz w:val="17"/>
              </w:rPr>
              <w:t>11.9%</w:t>
            </w:r>
          </w:p>
        </w:tc>
        <w:tc>
          <w:tcPr>
            <w:tcW w:type="dxa" w:w="1247"/>
          </w:tcPr>
          <w:p>
            <w:pPr>
              <w:jc w:val="right"/>
            </w:pPr>
            <w:r/>
            <w:r>
              <w:rPr>
                <w:sz w:val="17"/>
              </w:rPr>
              <w:t>+142.2%</w:t>
            </w:r>
          </w:p>
        </w:tc>
        <w:tc>
          <w:tcPr>
            <w:tcW w:type="dxa" w:w="1247"/>
          </w:tcPr>
          <w:p>
            <w:pPr>
              <w:jc w:val="right"/>
            </w:pPr>
            <w:r/>
            <w:r>
              <w:rPr>
                <w:sz w:val="17"/>
              </w:rPr>
              <w:t>+153.8%</w:t>
            </w:r>
          </w:p>
        </w:tc>
      </w:tr>
    </w:tbl>
    <w:p>
      <w:pPr>
        <w:spacing w:after="40"/>
      </w:pPr>
    </w:p>
    <w:p>
      <w:pPr>
        <w:spacing w:after="120"/>
      </w:pPr>
      <w:r>
        <w:rPr>
          <w:b w:val="0"/>
          <w:i w:val="0"/>
          <w:sz w:val="21"/>
        </w:rPr>
        <w:t>Read the opens across that table. Under the old rules a covered placing put half the deal in retail hands and those deals opened +2.7%; the same demand with a sixth of the deal in retail hands opened +53.3%. That is the whole effect in two numbers: a 100x book moves the price only when the shares are kept from it. Since August 2025 the reform's Mechanism B lets an issuer fix retail at 10% with no clawback at all, which is why the third row reads 10% with a fully covered book — and why every hot deal now opens the way only the starved ones used to (+36.4% median across 138 deals). The trick is no longer needed to get the outcome, and the cluster has thinned: 2021: 1 of 90, 2022: 0 of 72, 2023: 1 of 68, 2024: 14 of 66, 2025: 9 of 109, 2026: 2 of 106. It has not vanished. Excelland (3231, September 2026) filled its placing to 0.99x with 87 placees, gave retail 6.2% under Mechanism A, and opened +142.2%.</w:t>
      </w:r>
    </w:p>
    <w:p>
      <w:pPr>
        <w:spacing w:after="120"/>
      </w:pPr>
      <w:r>
        <w:rPr>
          <w:b/>
          <w:i w:val="0"/>
          <w:sz w:val="24"/>
        </w:rPr>
        <w:t>3. Fundamentals and the market on the day (question 1)</w:t>
      </w:r>
    </w:p>
    <w:p>
      <w:pPr>
        <w:spacing w:after="120"/>
      </w:pPr>
      <w:r>
        <w:rPr>
          <w:b w:val="0"/>
          <w:i w:val="0"/>
          <w:sz w:val="21"/>
        </w:rPr>
        <w:t>The cluster is not a set of exceptional companies. Median P/E at the offer 13.6x against 23.3x for the rest of the book; 70% profitable against 60%; 4% with an A-share line against 12%. Sectors are ordinary: industrials, healthcare services, consumer, materials. These are small, mostly profitable, cheaply-priced SMEs — which is exactly the profile a placing syndicate can fill with ~120 names and hold. Within the cluster, P/E and P/S have no rank relationship with the size of the open (ρ 0.18 and 0.25); the public multiple does (ρ 0.73), because it is the same starved-float effect seen from the demand side.</w:t>
      </w:r>
    </w:p>
    <w:p>
      <w:pPr>
        <w:spacing w:after="120"/>
      </w:pPr>
      <w:r>
        <w:rPr>
          <w:b w:val="0"/>
          <w:i w:val="0"/>
          <w:sz w:val="21"/>
        </w:rPr>
        <w:t>The market explains nothing. The Hang Seng's move on the listing day has a rank correlation of 0.01 with day-one return across 517 deals and -0.07 inside the cluster; the cluster's median index move on its listing days was -0.1%. The opens that look like a market event happened on flat days:</w:t>
      </w:r>
    </w:p>
    <w:p>
      <w:pPr>
        <w:pStyle w:val="ListBullet"/>
        <w:spacing w:after="60"/>
      </w:pPr>
      <w:r>
        <w:rPr>
          <w:sz w:val="19"/>
        </w:rPr>
        <w:t>WELLCELL HOLD (2477): opened +77.0% on a day the HSI moved -0.35%.</w:t>
      </w:r>
    </w:p>
    <w:p>
      <w:pPr>
        <w:pStyle w:val="ListBullet"/>
        <w:spacing w:after="60"/>
      </w:pPr>
      <w:r>
        <w:rPr>
          <w:sz w:val="19"/>
        </w:rPr>
        <w:t>WK GROUP (2535): opened +160.0% on a day the HSI moved +0.76%.</w:t>
      </w:r>
    </w:p>
    <w:p>
      <w:pPr>
        <w:pStyle w:val="ListBullet"/>
        <w:spacing w:after="60"/>
      </w:pPr>
      <w:r>
        <w:rPr>
          <w:sz w:val="19"/>
        </w:rPr>
        <w:t>FUJING HOLDINGS (2497): opened +97.2% on a day the HSI moved +0.91%.</w:t>
      </w:r>
    </w:p>
    <w:p>
      <w:pPr>
        <w:pStyle w:val="ListBullet"/>
        <w:spacing w:after="60"/>
      </w:pPr>
      <w:r>
        <w:rPr>
          <w:sz w:val="19"/>
        </w:rPr>
        <w:t>WUHAN YOUJI (2881): opened +79.6% on a day the HSI moved -0.11%.</w:t>
      </w:r>
    </w:p>
    <w:p>
      <w:pPr>
        <w:pStyle w:val="ListBullet"/>
        <w:spacing w:after="60"/>
      </w:pPr>
      <w:r>
        <w:rPr>
          <w:sz w:val="19"/>
        </w:rPr>
        <w:t>BRETON (1333): opened +61.1% on a day the HSI moved +0.13%.</w:t>
      </w:r>
    </w:p>
    <w:p>
      <w:pPr>
        <w:pStyle w:val="ListBullet"/>
        <w:spacing w:after="60"/>
      </w:pPr>
      <w:r>
        <w:rPr>
          <w:sz w:val="19"/>
        </w:rPr>
        <w:t>RONGTA TECH (9881): opened +66.0% on a day the HSI moved -0.08%.</w:t>
      </w:r>
    </w:p>
    <w:p>
      <w:pPr>
        <w:pStyle w:val="ListBullet"/>
        <w:spacing w:after="60"/>
      </w:pPr>
      <w:r>
        <w:rPr>
          <w:sz w:val="19"/>
        </w:rPr>
        <w:t>NEWTREND GROUP (2573): opened +60.0% on a day the HSI moved -0.08%.</w:t>
      </w:r>
    </w:p>
    <w:p>
      <w:pPr>
        <w:pStyle w:val="ListBullet"/>
        <w:spacing w:after="60"/>
      </w:pPr>
      <w:r>
        <w:rPr>
          <w:sz w:val="19"/>
        </w:rPr>
        <w:t>AB&amp;B BIO-TECH-B (2627): opened +155.8% on a day the HSI moved +0.19%.</w:t>
      </w:r>
    </w:p>
    <w:p>
      <w:pPr>
        <w:pStyle w:val="ListBullet"/>
        <w:spacing w:after="60"/>
      </w:pPr>
      <w:r>
        <w:rPr>
          <w:sz w:val="19"/>
        </w:rPr>
        <w:t>EXCELLAND ROBOT (3231): opened +142.2% on a day the HSI moved -0.17%.</w:t>
      </w:r>
    </w:p>
    <w:p>
      <w:pPr>
        <w:spacing w:after="120"/>
      </w:pPr>
      <w:r>
        <w:rPr>
          <w:b/>
          <w:i w:val="0"/>
          <w:sz w:val="24"/>
        </w:rPr>
        <w:t>4. The grey market against the pop (question 2)</w:t>
      </w:r>
    </w:p>
    <w:p>
      <w:pPr>
        <w:spacing w:after="120"/>
      </w:pPr>
      <w:r>
        <w:rPr>
          <w:b w:val="0"/>
          <w:i w:val="0"/>
          <w:sz w:val="21"/>
        </w:rPr>
        <w:t>22 of the 27 now carry a grey-market close (10 were on file; 12 more were located and added this week; 5 could not be found — see the sources). Inside the cluster the grey close and the day-one open are the same number: rank correlation 0.97 over 21 deals, median gap -0.3%. The grey is where the open prints; it is not a forecast of anything after it. The day-one close beat the grey in 33% of cases, so for two deals in three the grey session was the high of the whole event.</w:t>
      </w:r>
    </w:p>
    <w:p>
      <w:pPr>
        <w:spacing w:after="120"/>
      </w:pPr>
      <w:r>
        <w:rPr>
          <w:b w:val="0"/>
          <w:i w:val="0"/>
          <w:sz w:val="21"/>
        </w:rPr>
        <w:t>Where the grey came from. Three brokers run an evening session from 16:15 to 18:30 the day before listing — Futu (富途), Phillip (輝立) and Bright Smart (耀才) — and they print slightly different closes. AAStocks publishes a standardised headline for each session (《新股》NAME暗盤收報X元 高/低上市價Y%), which the database captures automatically each week for every new listing; that is the source for 130 deals and the reason older deals are missing (AAStocks keeps ~21 articles per stock and no archive). For the 20 hand-added prints the source is the press report of the session, with the venue named: HKET for Breton, Wellcell, Autostreets, Bayzed, Midea, CentralChina and AB&amp;B; Sina/財聯社 for Easou; 163.com for EDA; 華盛通 for Mokingran; StockFisher for Guofuhee; Futu's own feed for Fujing. Where the press gives only the range across the three venues (Wellcell 1.61–1.68, Bayzed 5.25–5.37) the midpoint is shown and the cell's note says so. WK Group's press coverage gives only the grey OPEN (+144%), which is not a close and was not recorded. Ruichang, Healthyway, Huaibei and Deyun have no retrievable print.</w:t>
      </w:r>
    </w:p>
    <w:p>
      <w:pPr>
        <w:spacing w:after="120"/>
      </w:pPr>
      <w:r>
        <w:rPr>
          <w:b/>
          <w:i w:val="0"/>
          <w:sz w:val="24"/>
        </w:rPr>
        <w:t>5. What is knowable before the allotment result (question 3)</w:t>
      </w:r>
    </w:p>
    <w:p>
      <w:pPr>
        <w:spacing w:after="120"/>
      </w:pPr>
      <w:r>
        <w:rPr>
          <w:b w:val="0"/>
          <w:i w:val="0"/>
          <w:sz w:val="21"/>
        </w:rPr>
        <w:t>For the public tranche, a great deal. During the three-and-a-half-day offer the brokers publish their running margin-financing (孖展) totals, and HKET, Sina, AAStocks, TastyMoney and 信報 aggregate them daily as 「孖展超購X倍」. Examples from this list:</w:t>
      </w:r>
    </w:p>
    <w:p>
      <w:pPr>
        <w:pStyle w:val="ListBullet"/>
        <w:spacing w:after="60"/>
      </w:pPr>
      <w:r>
        <w:rPr>
          <w:sz w:val="21"/>
        </w:rPr>
        <w:t>Shougang Lanza (2553): 36x on the second day of the offer (Sina); 776億 of margin, 1,133.5x on the margin count alone at the close (HKET); final official public book 1,421.5x from 110,000 applicants.</w:t>
      </w:r>
    </w:p>
    <w:p>
      <w:pPr>
        <w:pStyle w:val="ListBullet"/>
        <w:spacing w:after="60"/>
      </w:pPr>
      <w:r>
        <w:rPr>
          <w:sz w:val="21"/>
        </w:rPr>
        <w:t>AB&amp;B (2627): 225x on the first day (明報); 326億 and 629x at the close (HKET); final 4,007.6x from 195,000 applicants, one-lot hit rate 1%.</w:t>
      </w:r>
    </w:p>
    <w:p>
      <w:pPr>
        <w:spacing w:after="120"/>
      </w:pPr>
      <w:r>
        <w:rPr>
          <w:b w:val="0"/>
          <w:i w:val="0"/>
          <w:sz w:val="21"/>
        </w:rPr>
        <w:t>The margin count runs at roughly half to four-fifths of the final multiple, because cash applications and brokers who do not report are outside it, so it is a floor. It is also the first tell: a deal under HK$500m with a margin count above 100x and Mechanism A (or, before August 2025, any deal) is the setup for a placing held just under 1x.</w:t>
      </w:r>
    </w:p>
    <w:p>
      <w:pPr>
        <w:spacing w:after="120"/>
      </w:pPr>
      <w:r>
        <w:rPr>
          <w:b w:val="0"/>
          <w:i w:val="0"/>
          <w:sz w:val="21"/>
        </w:rPr>
        <w:t>For the international tranche there is no published tally. What exists is one line of 「市場消息」 in the same articles — that the placing 「已獲足額認購」 or 「反應淡靜」 — and it is not reliable for this purpose, because a placing being filled to 0.95x by 120 friendly accounts and one being filled to 5x by real institutions read the same to a reporter the day before allotment. The first hard number is the allotment announcement itself, published the evening before listing: the placee count and the subscription level are on its cover table. A count near 100–170 with a level of 0.9-something, on a deal whose public book is 50x or more, is the pattern; it is knowable by 18:00 the night before the open, which is also when the grey session closes.</w:t>
      </w:r>
    </w:p>
    <w:p>
      <w:pPr>
        <w:spacing w:after="120"/>
      </w:pPr>
      <w:r>
        <w:rPr>
          <w:b/>
          <w:i w:val="0"/>
          <w:sz w:val="24"/>
        </w:rPr>
        <w:t>6. Why some keep rising after the open and some give it back (question 4)</w:t>
      </w:r>
    </w:p>
    <w:p>
      <w:pPr>
        <w:spacing w:after="120"/>
      </w:pPr>
      <w:r>
        <w:rPr>
          <w:b w:val="0"/>
          <w:i w:val="0"/>
          <w:sz w:val="21"/>
        </w:rPr>
        <w:t>Inside the cluster, 9 deals held or extended their open through the close and 18 gave part of it back. The two groups are not distinguished by their terms — the median open was +35.5% for one and +36.0% for the other — but by what the tape did after it:</w:t>
      </w:r>
    </w:p>
    <w:tbl>
      <w:tblPr>
        <w:tblStyle w:val="TableGrid"/>
        <w:tblW w:type="auto" w:w="0"/>
        <w:tblLook w:firstColumn="1" w:firstRow="1" w:lastColumn="0" w:lastRow="0" w:noHBand="0" w:noVBand="1" w:val="04A0"/>
      </w:tblPr>
      <w:tblGrid>
        <w:gridCol w:w="3324"/>
        <w:gridCol w:w="3324"/>
        <w:gridCol w:w="3324"/>
      </w:tblGrid>
      <w:tr>
        <w:tc>
          <w:tcPr>
            <w:tcW w:type="dxa" w:w="3402"/>
          </w:tcPr>
          <w:p>
            <w:r/>
            <w:r>
              <w:rPr>
                <w:b/>
                <w:sz w:val="17"/>
              </w:rPr>
            </w:r>
          </w:p>
        </w:tc>
        <w:tc>
          <w:tcPr>
            <w:tcW w:type="dxa" w:w="1984"/>
          </w:tcPr>
          <w:p>
            <w:r/>
            <w:r>
              <w:rPr>
                <w:b/>
                <w:sz w:val="17"/>
              </w:rPr>
              <w:t>Held or rose</w:t>
            </w:r>
          </w:p>
        </w:tc>
        <w:tc>
          <w:tcPr>
            <w:tcW w:type="dxa" w:w="1984"/>
          </w:tcPr>
          <w:p>
            <w:r/>
            <w:r>
              <w:rPr>
                <w:b/>
                <w:sz w:val="17"/>
              </w:rPr>
              <w:t>Gave back</w:t>
            </w:r>
          </w:p>
        </w:tc>
      </w:tr>
      <w:tr>
        <w:tc>
          <w:tcPr>
            <w:tcW w:type="dxa" w:w="3402"/>
          </w:tcPr>
          <w:p>
            <w:r/>
            <w:r>
              <w:rPr>
                <w:sz w:val="17"/>
              </w:rPr>
              <w:t>Deals</w:t>
            </w:r>
          </w:p>
        </w:tc>
        <w:tc>
          <w:tcPr>
            <w:tcW w:type="dxa" w:w="1984"/>
          </w:tcPr>
          <w:p>
            <w:pPr>
              <w:jc w:val="right"/>
            </w:pPr>
            <w:r/>
            <w:r>
              <w:rPr>
                <w:sz w:val="17"/>
              </w:rPr>
              <w:t>9</w:t>
            </w:r>
          </w:p>
        </w:tc>
        <w:tc>
          <w:tcPr>
            <w:tcW w:type="dxa" w:w="1984"/>
          </w:tcPr>
          <w:p>
            <w:pPr>
              <w:jc w:val="right"/>
            </w:pPr>
            <w:r/>
            <w:r>
              <w:rPr>
                <w:sz w:val="17"/>
              </w:rPr>
              <w:t>18</w:t>
            </w:r>
          </w:p>
        </w:tc>
      </w:tr>
      <w:tr>
        <w:tc>
          <w:tcPr>
            <w:tcW w:type="dxa" w:w="3402"/>
          </w:tcPr>
          <w:p>
            <w:r/>
            <w:r>
              <w:rPr>
                <w:sz w:val="17"/>
              </w:rPr>
              <w:t>Median open</w:t>
            </w:r>
          </w:p>
        </w:tc>
        <w:tc>
          <w:tcPr>
            <w:tcW w:type="dxa" w:w="1984"/>
          </w:tcPr>
          <w:p>
            <w:pPr>
              <w:jc w:val="right"/>
            </w:pPr>
            <w:r/>
            <w:r>
              <w:rPr>
                <w:sz w:val="17"/>
              </w:rPr>
              <w:t>+35.5%</w:t>
            </w:r>
          </w:p>
        </w:tc>
        <w:tc>
          <w:tcPr>
            <w:tcW w:type="dxa" w:w="1984"/>
          </w:tcPr>
          <w:p>
            <w:pPr>
              <w:jc w:val="right"/>
            </w:pPr>
            <w:r/>
            <w:r>
              <w:rPr>
                <w:sz w:val="17"/>
              </w:rPr>
              <w:t>+36.0%</w:t>
            </w:r>
          </w:p>
        </w:tc>
      </w:tr>
      <w:tr>
        <w:tc>
          <w:tcPr>
            <w:tcW w:type="dxa" w:w="3402"/>
          </w:tcPr>
          <w:p>
            <w:r/>
            <w:r>
              <w:rPr>
                <w:sz w:val="17"/>
              </w:rPr>
              <w:t>Median close</w:t>
            </w:r>
          </w:p>
        </w:tc>
        <w:tc>
          <w:tcPr>
            <w:tcW w:type="dxa" w:w="1984"/>
          </w:tcPr>
          <w:p>
            <w:pPr>
              <w:jc w:val="right"/>
            </w:pPr>
            <w:r/>
            <w:r>
              <w:rPr>
                <w:sz w:val="17"/>
              </w:rPr>
              <w:t>+84.2%</w:t>
            </w:r>
          </w:p>
        </w:tc>
        <w:tc>
          <w:tcPr>
            <w:tcW w:type="dxa" w:w="1984"/>
          </w:tcPr>
          <w:p>
            <w:pPr>
              <w:jc w:val="right"/>
            </w:pPr>
            <w:r/>
            <w:r>
              <w:rPr>
                <w:sz w:val="17"/>
              </w:rPr>
              <w:t>+20.7%</w:t>
            </w:r>
          </w:p>
        </w:tc>
      </w:tr>
      <w:tr>
        <w:tc>
          <w:tcPr>
            <w:tcW w:type="dxa" w:w="3402"/>
          </w:tcPr>
          <w:p>
            <w:r/>
            <w:r>
              <w:rPr>
                <w:sz w:val="17"/>
              </w:rPr>
              <w:t>Day-1 volume / retail float</w:t>
            </w:r>
          </w:p>
        </w:tc>
        <w:tc>
          <w:tcPr>
            <w:tcW w:type="dxa" w:w="1984"/>
          </w:tcPr>
          <w:p>
            <w:pPr>
              <w:jc w:val="right"/>
            </w:pPr>
            <w:r/>
            <w:r>
              <w:rPr>
                <w:sz w:val="17"/>
              </w:rPr>
              <w:t>1.4x</w:t>
            </w:r>
          </w:p>
        </w:tc>
        <w:tc>
          <w:tcPr>
            <w:tcW w:type="dxa" w:w="1984"/>
          </w:tcPr>
          <w:p>
            <w:pPr>
              <w:jc w:val="right"/>
            </w:pPr>
            <w:r/>
            <w:r>
              <w:rPr>
                <w:sz w:val="17"/>
              </w:rPr>
              <w:t>2.6x</w:t>
            </w:r>
          </w:p>
        </w:tc>
      </w:tr>
      <w:tr>
        <w:tc>
          <w:tcPr>
            <w:tcW w:type="dxa" w:w="3402"/>
          </w:tcPr>
          <w:p>
            <w:r/>
            <w:r>
              <w:rPr>
                <w:sz w:val="17"/>
              </w:rPr>
              <w:t>Day-1 range (high−low)/open</w:t>
            </w:r>
          </w:p>
        </w:tc>
        <w:tc>
          <w:tcPr>
            <w:tcW w:type="dxa" w:w="1984"/>
          </w:tcPr>
          <w:p>
            <w:pPr>
              <w:jc w:val="right"/>
            </w:pPr>
            <w:r/>
            <w:r>
              <w:rPr>
                <w:sz w:val="17"/>
              </w:rPr>
              <w:t>22.7%</w:t>
            </w:r>
          </w:p>
        </w:tc>
        <w:tc>
          <w:tcPr>
            <w:tcW w:type="dxa" w:w="1984"/>
          </w:tcPr>
          <w:p>
            <w:pPr>
              <w:jc w:val="right"/>
            </w:pPr>
            <w:r/>
            <w:r>
              <w:rPr>
                <w:sz w:val="17"/>
              </w:rPr>
              <w:t>29.2%</w:t>
            </w:r>
          </w:p>
        </w:tc>
      </w:tr>
      <w:tr>
        <w:tc>
          <w:tcPr>
            <w:tcW w:type="dxa" w:w="3402"/>
          </w:tcPr>
          <w:p>
            <w:r/>
            <w:r>
              <w:rPr>
                <w:sz w:val="17"/>
              </w:rPr>
              <w:t>Retail share of deal</w:t>
            </w:r>
          </w:p>
        </w:tc>
        <w:tc>
          <w:tcPr>
            <w:tcW w:type="dxa" w:w="1984"/>
          </w:tcPr>
          <w:p>
            <w:pPr>
              <w:jc w:val="right"/>
            </w:pPr>
            <w:r/>
            <w:r>
              <w:rPr>
                <w:sz w:val="17"/>
              </w:rPr>
              <w:t>12.8%</w:t>
            </w:r>
          </w:p>
        </w:tc>
        <w:tc>
          <w:tcPr>
            <w:tcW w:type="dxa" w:w="1984"/>
          </w:tcPr>
          <w:p>
            <w:pPr>
              <w:jc w:val="right"/>
            </w:pPr>
            <w:r/>
            <w:r>
              <w:rPr>
                <w:sz w:val="17"/>
              </w:rPr>
              <w:t>17.2%</w:t>
            </w:r>
          </w:p>
        </w:tc>
      </w:tr>
      <w:tr>
        <w:tc>
          <w:tcPr>
            <w:tcW w:type="dxa" w:w="3402"/>
          </w:tcPr>
          <w:p>
            <w:r/>
            <w:r>
              <w:rPr>
                <w:sz w:val="17"/>
              </w:rPr>
              <w:t>Public book</w:t>
            </w:r>
          </w:p>
        </w:tc>
        <w:tc>
          <w:tcPr>
            <w:tcW w:type="dxa" w:w="1984"/>
          </w:tcPr>
          <w:p>
            <w:pPr>
              <w:jc w:val="right"/>
            </w:pPr>
            <w:r/>
            <w:r>
              <w:rPr>
                <w:sz w:val="17"/>
              </w:rPr>
              <w:t>34.4x</w:t>
            </w:r>
          </w:p>
        </w:tc>
        <w:tc>
          <w:tcPr>
            <w:tcW w:type="dxa" w:w="1984"/>
          </w:tcPr>
          <w:p>
            <w:pPr>
              <w:jc w:val="right"/>
            </w:pPr>
            <w:r/>
            <w:r>
              <w:rPr>
                <w:sz w:val="17"/>
              </w:rPr>
              <w:t>89.4x</w:t>
            </w:r>
          </w:p>
        </w:tc>
      </w:tr>
      <w:tr>
        <w:tc>
          <w:tcPr>
            <w:tcW w:type="dxa" w:w="3402"/>
          </w:tcPr>
          <w:p>
            <w:r/>
            <w:r>
              <w:rPr>
                <w:sz w:val="17"/>
              </w:rPr>
              <w:t>Deal size HK$m</w:t>
            </w:r>
          </w:p>
        </w:tc>
        <w:tc>
          <w:tcPr>
            <w:tcW w:type="dxa" w:w="1984"/>
          </w:tcPr>
          <w:p>
            <w:pPr>
              <w:jc w:val="right"/>
            </w:pPr>
            <w:r/>
            <w:r>
              <w:rPr>
                <w:sz w:val="17"/>
              </w:rPr>
              <w:t>339</w:t>
            </w:r>
          </w:p>
        </w:tc>
        <w:tc>
          <w:tcPr>
            <w:tcW w:type="dxa" w:w="1984"/>
          </w:tcPr>
          <w:p>
            <w:pPr>
              <w:jc w:val="right"/>
            </w:pPr>
            <w:r/>
            <w:r>
              <w:rPr>
                <w:sz w:val="17"/>
              </w:rPr>
              <w:t>168</w:t>
            </w:r>
          </w:p>
        </w:tc>
      </w:tr>
      <w:tr>
        <w:tc>
          <w:tcPr>
            <w:tcW w:type="dxa" w:w="3402"/>
          </w:tcPr>
          <w:p>
            <w:r/>
            <w:r>
              <w:rPr>
                <w:sz w:val="17"/>
              </w:rPr>
              <w:t>1-week ex-pop</w:t>
            </w:r>
          </w:p>
        </w:tc>
        <w:tc>
          <w:tcPr>
            <w:tcW w:type="dxa" w:w="1984"/>
          </w:tcPr>
          <w:p>
            <w:pPr>
              <w:jc w:val="right"/>
            </w:pPr>
            <w:r/>
            <w:r>
              <w:rPr>
                <w:sz w:val="17"/>
              </w:rPr>
              <w:t>+2.8%</w:t>
            </w:r>
          </w:p>
        </w:tc>
        <w:tc>
          <w:tcPr>
            <w:tcW w:type="dxa" w:w="1984"/>
          </w:tcPr>
          <w:p>
            <w:pPr>
              <w:jc w:val="right"/>
            </w:pPr>
            <w:r/>
            <w:r>
              <w:rPr>
                <w:sz w:val="17"/>
              </w:rPr>
              <w:t>-7.1%</w:t>
            </w:r>
          </w:p>
        </w:tc>
      </w:tr>
      <w:tr>
        <w:tc>
          <w:tcPr>
            <w:tcW w:type="dxa" w:w="3402"/>
          </w:tcPr>
          <w:p>
            <w:r/>
            <w:r>
              <w:rPr>
                <w:sz w:val="17"/>
              </w:rPr>
              <w:t>1-month ex-pop</w:t>
            </w:r>
          </w:p>
        </w:tc>
        <w:tc>
          <w:tcPr>
            <w:tcW w:type="dxa" w:w="1984"/>
          </w:tcPr>
          <w:p>
            <w:pPr>
              <w:jc w:val="right"/>
            </w:pPr>
            <w:r/>
            <w:r>
              <w:rPr>
                <w:sz w:val="17"/>
              </w:rPr>
              <w:t>+17.8%</w:t>
            </w:r>
          </w:p>
        </w:tc>
        <w:tc>
          <w:tcPr>
            <w:tcW w:type="dxa" w:w="1984"/>
          </w:tcPr>
          <w:p>
            <w:pPr>
              <w:jc w:val="right"/>
            </w:pPr>
            <w:r/>
            <w:r>
              <w:rPr>
                <w:sz w:val="17"/>
              </w:rPr>
              <w:t>-0.6%</w:t>
            </w:r>
          </w:p>
        </w:tc>
      </w:tr>
    </w:tbl>
    <w:p>
      <w:pPr>
        <w:spacing w:after="40"/>
      </w:pPr>
    </w:p>
    <w:p>
      <w:pPr>
        <w:spacing w:after="120"/>
      </w:pPr>
      <w:r>
        <w:rPr>
          <w:b w:val="0"/>
          <w:i w:val="0"/>
          <w:sz w:val="21"/>
        </w:rPr>
        <w:t>Rank correlation of each factor with the open-to-close move, inside the cluster: public alloc % -0.35, placees -0.01, deal size 0.27, public x -0.44, open pop -0.22, grey -0.3, vol x retail -0.55, range -0.23, cornerstone % 0.13, P/E 0.36, HSI same day -0.03.</w:t>
      </w:r>
    </w:p>
    <w:p>
      <w:pPr>
        <w:spacing w:after="120"/>
      </w:pPr>
      <w:r>
        <w:rPr>
          <w:b w:val="0"/>
          <w:i w:val="0"/>
          <w:sz w:val="21"/>
        </w:rPr>
        <w:t>The strongest relationship in the whole study is volume against the retail float, and what it sets is the SIZE of the day's move first and its direction second. The 9 cluster deals that traded 1.4x or less of their retail float on day one moved a median 7.1 points between open and close, in either direction — the placees were not active and the day was quiet: Wellcell Hold +49.1% on 1.1x, Bayzed Health +14.3% on 1.3x, Healthyway Inc +7.1% on 1.0x, Zhongmiao +6.8% on 0.7x. The 15 that traded 2x or more moved a median 14.5 points, and 11 of the 15 moved down — every large give-back in the cluster is here: Fujing Holdings -30.5% on 2.6x, Wuhan Youji -28.9% on 2.9x, Jiangsu Horizon -27.3% on 3.1x, Shougang Lanza -24.8% on 6.2x, Newtrend Group -24.1% on 3.1x. Three to six turns of the retail float in a day is a placing book distributing into the open, and the open was the high. Shougang Lanza traded 93% of its entire offering on day one, 6.2x its retail tranche, in a 43% range, and closed 25 points below its open. Ruichang opened +23.8% and closed +14.3% with net mega-lot outflow of HK$2.69m on the day (21財經: 「首日熱潮與背後的主力出逃」).</w:t>
      </w:r>
    </w:p>
    <w:p>
      <w:pPr>
        <w:spacing w:after="120"/>
      </w:pPr>
      <w:r>
        <w:rPr>
          <w:b w:val="0"/>
          <w:i w:val="0"/>
          <w:sz w:val="21"/>
        </w:rPr>
        <w:t>The exceptions are the point, not a nuisance. 4 deals traded 2.2–2.9x their float and still closed above their open — Ab&amp;B Bio-Tech-B (+155.8% open, +158.0% close), Excelland Robot (+142.2% open, +153.8% close), Easou Tech (+46.5% open, +91.7% close), Eda Group Hldgs (+35.5% open, +84.2% close). Heavy turnover with a rising price means the distribution was met by bigger buying, which is what 163.com meant by 「貨源歸邊」 on EDA: the shares were consolidating into hands that wanted them. Heavy turnover with a falling price is the same sellers meeting nobody. The tape tells you which by mid-morning; the terms do not.</w:t>
      </w:r>
    </w:p>
    <w:p>
      <w:pPr>
        <w:spacing w:after="120"/>
      </w:pPr>
      <w:r>
        <w:rPr>
          <w:b w:val="0"/>
          <w:i w:val="0"/>
          <w:sz w:val="21"/>
        </w:rPr>
        <w:t>Two other factors carry a signal, both in the same direction. A LARGER retail share went with giving back (ρ −0.37): the more shares in retail hands, the more sellers on the open. A HIGHER public multiple went with giving back (ρ −0.44): the deals with the most frantic retail books drew the most retail selling into the pop. Neither the grey (ρ −0.30 — a bigger grey meant a bigger give-back, not a smaller one) nor the index (ρ −0.03) helps.</w:t>
      </w:r>
    </w:p>
    <w:p>
      <w:pPr>
        <w:spacing w:after="120"/>
      </w:pPr>
      <w:r>
        <w:rPr>
          <w:b w:val="0"/>
          <w:i w:val="0"/>
          <w:sz w:val="21"/>
        </w:rPr>
        <w:t>What happens next is genuinely two-sided. One month after listing, ex-pop, the cluster's median is +9.5% but the spread runs from -46.1% to +103.7%; at three months from -59.7% to +202.7%, half positive. A placing book of 120 names holding 85% of a HK$200m deal can walk the price up for months or let it go, and nothing in the terms says which. That is the honest limit of what the data can tell you: the setup predicts the OPEN with confidence; only the first hour's volume predicts the close; and the month after is the holders' decision, not the market's.</w:t>
      </w:r>
    </w:p>
    <w:p>
      <w:pPr>
        <w:spacing w:after="120"/>
      </w:pPr>
      <w:r>
        <w:rPr>
          <w:b/>
          <w:i w:val="0"/>
          <w:sz w:val="24"/>
        </w:rPr>
        <w:t>7. How to use it</w:t>
      </w:r>
    </w:p>
    <w:p>
      <w:pPr>
        <w:pStyle w:val="ListBullet"/>
        <w:spacing w:after="60"/>
      </w:pPr>
      <w:r>
        <w:rPr>
          <w:sz w:val="21"/>
        </w:rPr>
        <w:t>Before allotment: a deal under ~HK$500m, margin count above 100x, Mechanism A (or pre-Aug-2025), no cornerstone of size. Expect the placing to print 0.9-something with ~100–170 placees and retail to get 6–20%. The open will be large whatever the company is.</w:t>
      </w:r>
    </w:p>
    <w:p>
      <w:pPr>
        <w:pStyle w:val="ListBullet"/>
        <w:spacing w:after="60"/>
      </w:pPr>
      <w:r>
        <w:rPr>
          <w:sz w:val="21"/>
        </w:rPr>
        <w:t>The evening before listing: the allotment notice states placees, the placing level and the final split. If it reads 0.85–0.99x, the grey close that same evening is the opening print, not a target.</w:t>
      </w:r>
    </w:p>
    <w:p>
      <w:pPr>
        <w:pStyle w:val="ListBullet"/>
        <w:spacing w:after="60"/>
      </w:pPr>
      <w:r>
        <w:rPr>
          <w:sz w:val="21"/>
        </w:rPr>
        <w:t>The first hour: watch volume against the public tranche. Past ~2x the float by mid-morning the placing book is active and the day will be large — down 11 times in 15 in this sample, up on the four occasions the buying was bigger than the selling. Near 1x the placees are sitting still and the day is quiet either way; do not expect an extension from a quiet tape.</w:t>
      </w:r>
    </w:p>
    <w:p>
      <w:pPr>
        <w:pStyle w:val="ListBullet"/>
        <w:spacing w:after="60"/>
      </w:pPr>
      <w:r>
        <w:rPr>
          <w:sz w:val="21"/>
        </w:rPr>
        <w:t>After that, treat it as a controlled float, because it is one: position size for a −60% and a +200% three-month outcome, both of which are in the sample.</w:t>
      </w:r>
    </w:p>
    <w:p>
      <w:pPr>
        <w:pStyle w:val="ListBullet"/>
        <w:spacing w:after="60"/>
      </w:pPr>
      <w:r>
        <w:rPr>
          <w:sz w:val="21"/>
        </w:rPr>
        <w:t>Under the new rules the placing trick is fading (2 deals in 2026) but Mechanism B produces the same starved open legally: Ligent (9856, this week) had a 4.67x placing, 192 placees, 10% to retail, and opened +11%. The tell is now the mechanism and the retail % in the prospectus, not the 0.9x.</w:t>
      </w:r>
    </w:p>
    <w:p>
      <w:pPr>
        <w:spacing w:after="120"/>
      </w:pPr>
      <w:r>
        <w:rPr>
          <w:b/>
          <w:i w:val="0"/>
          <w:sz w:val="22"/>
        </w:rPr>
        <w:t>Sources</w:t>
      </w:r>
    </w:p>
    <w:p>
      <w:pPr>
        <w:pStyle w:val="ListBullet"/>
        <w:spacing w:after="60"/>
      </w:pPr>
      <w:r>
        <w:rPr>
          <w:sz w:val="17"/>
        </w:rPr>
        <w:t>HKEX allotment results announcements for all 519 deals (international section, final split, claw-back line), re-read this week; AB&amp;B Bio-Tech prospectus, "Reallocation and clawback".</w:t>
      </w:r>
    </w:p>
    <w:p>
      <w:pPr>
        <w:pStyle w:val="ListBullet"/>
        <w:spacing w:after="60"/>
      </w:pPr>
      <w:r>
        <w:rPr>
          <w:sz w:val="17"/>
        </w:rPr>
        <w:t>HKET: 中慧生物-B 2627首掛… 怪象令回撥由50%變12%？ (2025-08-11); 首鋼朗澤2553首掛收升44%… 國際配售認購不足、公開發售佔比增至15% (2026-06-03); 首鋼朗澤2553…孖展…超購 (2026-05-29); 中慧生物-B…獲19.5萬人認購、涉資2100億超購4000倍 (2025-08); 佰澤醫療2609下限4.22元定價 一手中籤率20% (2025-06-20); 博雷頓1333暗盤收升逾四成 (2025-05-06); 汽車街2443暗盤升逾4成 (2024-05-30); 經緯天地2477…暗盤 (2024-01-11); 美的集團0300暗盤收升逾5% (2024-09-16); 中原建業9982暗盤跌逾一成 (2021-05-28).</w:t>
      </w:r>
    </w:p>
    <w:p>
      <w:pPr>
        <w:pStyle w:val="ListBullet"/>
        <w:spacing w:after="60"/>
      </w:pPr>
      <w:r>
        <w:rPr>
          <w:sz w:val="17"/>
        </w:rPr>
        <w:t>證券之星: 宜搜科技(02550)「套路回撥」加持，盛大集團陳天橋獨賺16倍? (2024-06-11). 網易/163: 上演貨源歸邊，EDA集團控股 (2024-05). 21財經/南方財經: 瑞昌國際控股港交所上市：首日熱潮與背後的主力出逃 (2024-07-12). 中金在線: 夢金園，又來套路回撥 (2024-11-29). 明報: 中慧生物首日招股 孖展超購逾225倍 (2025-08-01). 新浪/財聯社: 宜搜科技暗盤 (2024-06-06); 首鋼朗澤招股次日孖展超36倍 (2026-05-27). 華盛通: 夢金園暗盤收漲4.5% (2024-11-28). StockFisher: 國富氫能暗盤 (2024-11-14). Futu: 富景中國控股暗盤 (2024-03-27).</w:t>
      </w:r>
    </w:p>
    <w:p>
      <w:pPr>
        <w:pStyle w:val="ListBullet"/>
        <w:spacing w:after="60"/>
      </w:pPr>
      <w:r>
        <w:rPr>
          <w:sz w:val="17"/>
        </w:rPr>
        <w:t>Index moves: Hang Seng Index and HSCEI daily closes (Yahoo Finance, ^HSI / ^HSCE). Listing-day volume: Tencent kline daily bars, 518 of 519 deals. Grey-market automated captures: AAStocks per-stock news headlines.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