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4C2B5" w14:textId="77777777" w:rsidR="001779E3" w:rsidRDefault="001779E3" w:rsidP="001779E3">
      <w:pPr>
        <w:rPr>
          <w:rFonts w:ascii="Arial" w:eastAsiaTheme="minorEastAsia" w:hAnsi="Arial" w:cs="Arial"/>
          <w:b/>
          <w:bCs/>
          <w:color w:val="FF0000"/>
          <w:sz w:val="20"/>
          <w:szCs w:val="20"/>
          <w:u w:val="single"/>
        </w:rPr>
        <w:spacing w:before="0" w:after="90" w:line="240" w:lineRule="auto"/>
        <w:keepLines/>
        <w:keepNext/>
      </w:pPr>
      <w:r>
        <w:rPr>
          <w:rFonts w:ascii="Arial" w:hAnsi="Arial" w:cs="Arial"/>
          <w:b/>
          <w:bCs/>
          <w:color w:val="153D63"/>
          <w:sz w:val="20"/>
          <w:szCs w:val="20"/>
          <w:u w:val="single"/>
        </w:rPr>
        <w:t xml:space="preserve">Upcoming IPO</w:t>
      </w:r>
    </w:p>
    <w:p w14:paraId="1AF2FA83" w14:textId="77777777" w:rsidR="001779E3" w:rsidRDefault="001779E3" w:rsidP="001779E3">
      <w:pPr>
        <w:rPr>
          <w:rFonts w:ascii="Arial" w:eastAsiaTheme="minorEastAsia" w:hAnsi="Arial" w:cs="Arial"/>
          <w:color w:val="153D63"/>
          <w:sz w:val="20"/>
          <w:szCs w:val="20"/>
        </w:rPr>
        <w:spacing w:before="0" w:after="90" w:line="240" w:lineRule="auto"/>
        <w:keepLines/>
        <w:keepNext/>
      </w:pPr>
      <w:r>
        <w:rPr>
          <w:rFonts w:ascii="Arial" w:hAnsi="Arial" w:cs="Arial"/>
          <w:color w:val="153D63"/>
          <w:sz w:val="20"/>
          <w:szCs w:val="20"/>
        </w:rPr>
        <w:t xml:space="preserve">Microintelligence IPO | 20 October 2026 close</w:t>
      </w:r>
    </w:p>
    <w:tbl>
      <w:tblPr>
        <w:tblW w:w="9972" w:type="dxa"/>
        <w:tblCellMar>
          <w:left w:w="65" w:type="dxa"/>
          <w:right w:w="65" w:type="dxa"/>
          <w:top w:w="65" w:type="dxa"/>
          <w:bottom w:w="65" w:type="dxa"/>
        </w:tblCellMar>
        <w:tblLook w:val="04A0" w:firstRow="1" w:lastRow="0" w:firstColumn="1" w:lastColumn="0" w:noHBand="0" w:noVBand="1"/>
        <w:tblLayout w:type="fixed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80"/>
        <w:gridCol w:w="1640"/>
        <w:gridCol w:w="1360"/>
        <w:gridCol w:w="680"/>
        <w:gridCol w:w="1920"/>
        <w:gridCol w:w="900"/>
        <w:gridCol w:w="1492"/>
      </w:tblGrid>
      <w:tr>
        <w:trPr>
          <w:cantSplit/>
          <w:tblHeader/>
        </w:trPr>
        <w:tc>
          <w:tcPr>
            <w:tcW w:w="1980" w:type="dxa"/>
            <w:vAlign w:val="center"/>
            <w:hideMark/>
            <w:shd w:val="clear" w:color="auto" w:fill="F2F2F2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left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  <w:b/>
              </w:rPr>
              <w:t xml:space="preserve">Name</w:t>
            </w:r>
          </w:p>
        </w:tc>
        <w:tc>
          <w:tcPr>
            <w:tcW w:w="1640" w:type="dxa"/>
            <w:vAlign w:val="center"/>
            <w:hideMark/>
            <w:shd w:val="clear" w:color="auto" w:fill="F2F2F2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left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  <w:b/>
              </w:rPr>
              <w:t xml:space="preserve">Sector</w:t>
            </w:r>
          </w:p>
        </w:tc>
        <w:tc>
          <w:tcPr>
            <w:tcW w:w="1360" w:type="dxa"/>
            <w:vAlign w:val="center"/>
            <w:hideMark/>
            <w:shd w:val="clear" w:color="auto" w:fill="F2F2F2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left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  <w:b/>
              </w:rPr>
              <w:t xml:space="preserve">Deal size</w:t>
            </w:r>
          </w:p>
        </w:tc>
        <w:tc>
          <w:tcPr>
            <w:tcW w:w="680" w:type="dxa"/>
            <w:vAlign w:val="center"/>
            <w:hideMark/>
            <w:shd w:val="clear" w:color="auto" w:fill="F2F2F2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left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  <w:b/>
              </w:rPr>
              <w:t xml:space="preserve">A-share</w:t>
            </w:r>
          </w:p>
        </w:tc>
        <w:tc>
          <w:tcPr>
            <w:tcW w:w="1920" w:type="dxa"/>
            <w:vAlign w:val="center"/>
            <w:hideMark/>
            <w:shd w:val="clear" w:color="auto" w:fill="F2F2F2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left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  <w:b/>
              </w:rPr>
              <w:t xml:space="preserve">Timetable</w:t>
            </w:r>
          </w:p>
        </w:tc>
        <w:tc>
          <w:tcPr>
            <w:tcW w:w="900" w:type="dxa"/>
            <w:vAlign w:val="center"/>
            <w:hideMark/>
            <w:shd w:val="clear" w:color="auto" w:fill="F2F2F2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left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  <w:b/>
              </w:rPr>
              <w:t xml:space="preserve">Green-</w:t>
              <w:br/>
              <w:t xml:space="preserve">shoe</w:t>
            </w:r>
          </w:p>
        </w:tc>
        <w:tc>
          <w:tcPr>
            <w:tcW w:w="1492" w:type="dxa"/>
            <w:vAlign w:val="center"/>
            <w:hideMark/>
            <w:shd w:val="clear" w:color="auto" w:fill="F2F2F2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left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  <w:b/>
              </w:rPr>
              <w:t xml:space="preserve">Sponsor</w:t>
            </w:r>
          </w:p>
        </w:tc>
      </w:tr>
      <w:tr>
        <w:trPr>
          <w:cantSplit/>
        </w:trPr>
        <w:tc>
          <w:tcPr>
            <w:tcW w:w="1980" w:type="dxa"/>
            <w:vAlign w:val="center"/>
            <w:hideMark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left"/>
            </w:pPr>
            <w:r>
              <w:rPr>
                <w:rFonts w:ascii="Arial" w:hAnsi="Arial" w:cs="Arial" w:eastAsia="Hiragino Sans GB"/>
                <w:color w:val="153D63"/>
                <w:sz w:val="20"/>
                <w:szCs w:val="20"/>
                <w:b/>
              </w:rPr>
              <w:t xml:space="preserve">Microintelligence</w:t>
              <w:br/>
              <w:t xml:space="preserve">微億智造</w:t>
              <w:br/>
              <w:t xml:space="preserve">03275 HK</w:t>
            </w:r>
          </w:p>
        </w:tc>
        <w:tc>
          <w:tcPr>
            <w:tcW w:w="1640" w:type="dxa"/>
            <w:vAlign w:val="center"/>
            <w:hideMark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left"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Industrial AI /</w:t>
              <w:br/>
              <w:t xml:space="preserve">EIIR robots</w:t>
            </w:r>
          </w:p>
        </w:tc>
        <w:tc>
          <w:tcPr>
            <w:tcW w:w="1360" w:type="dxa"/>
            <w:vAlign w:val="center"/>
            <w:hideMark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left"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HK$620-</w:t>
              <w:br/>
              <w:t xml:space="preserve">800m</w:t>
            </w:r>
          </w:p>
        </w:tc>
        <w:tc>
          <w:tcPr>
            <w:tcW w:w="680" w:type="dxa"/>
            <w:vAlign w:val="center"/>
            <w:hideMark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left"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None</w:t>
            </w:r>
          </w:p>
        </w:tc>
        <w:tc>
          <w:tcPr>
            <w:tcW w:w="1920" w:type="dxa"/>
            <w:vAlign w:val="center"/>
            <w:hideMark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left"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Close 23 Oct</w:t>
              <w:br/>
              <w:t xml:space="preserve">List 28 Oct</w:t>
            </w:r>
          </w:p>
        </w:tc>
        <w:tc>
          <w:tcPr>
            <w:tcW w:w="900" w:type="dxa"/>
            <w:vAlign w:val="center"/>
            <w:hideMark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left"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15%</w:t>
              <w:br/>
              <w:t xml:space="preserve">option</w:t>
            </w:r>
          </w:p>
        </w:tc>
        <w:tc>
          <w:tcPr>
            <w:tcW w:w="1492" w:type="dxa"/>
            <w:vAlign w:val="center"/>
            <w:hideMark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left"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Orient Capital</w:t>
              <w:br/>
              <w:t xml:space="preserve">(Hong Kong)</w:t>
            </w:r>
          </w:p>
        </w:tc>
      </w:tr>
    </w:tbl>
    <w:p w14:paraId="1AF2FA83" w14:textId="77777777" w:rsidR="001779E3" w:rsidRDefault="001779E3" w:rsidP="001779E3">
      <w:pPr>
        <w:rPr>
          <w:rFonts w:ascii="Arial" w:eastAsiaTheme="minorEastAsia" w:hAnsi="Arial" w:cs="Arial"/>
          <w:color w:val="153D63"/>
          <w:sz w:val="20"/>
          <w:szCs w:val="20"/>
        </w:rPr>
        <w:spacing w:before="85" w:after="90" w:line="240" w:lineRule="auto"/>
        <w:keepLines/>
      </w:pPr>
      <w:r>
        <w:rPr>
          <w:rFonts w:ascii="Arial" w:hAnsi="Arial" w:cs="Arial"/>
          <w:color w:val="153D63"/>
          <w:sz w:val="20"/>
          <w:szCs w:val="20"/>
        </w:rPr>
        <w:t xml:space="preserve">Offer HK$16.63-21.46; 100 shares/lot. Pricing expected 26 Oct; listing expected 28 Oct. Base issue before greenshoe.</w:t>
      </w:r>
    </w:p>
    <w:p w14:paraId="1AF2FA83" w14:textId="77777777" w:rsidR="001779E3" w:rsidRDefault="001779E3" w:rsidP="001779E3">
      <w:pPr>
        <w:rPr>
          <w:rFonts w:ascii="Arial" w:eastAsiaTheme="minorEastAsia" w:hAnsi="Arial" w:cs="Arial"/>
          <w:color w:val="153D63"/>
          <w:sz w:val="20"/>
          <w:szCs w:val="20"/>
        </w:rPr>
        <w:spacing w:before="0" w:after="75" w:line="240" w:lineRule="auto"/>
        <w:keepLines/>
      </w:pPr>
      <w:r>
        <w:rPr>
          <w:rFonts w:ascii="Arial" w:hAnsi="Arial" w:cs="Arial"/>
          <w:color w:val="153D63"/>
          <w:sz w:val="20"/>
          <w:szCs w:val="20"/>
        </w:rPr>
        <w:t xml:space="preserve">Some key points:</w:t>
      </w:r>
    </w:p>
    <w:p w14:paraId="52FB51E6" w14:textId="77777777" w:rsidR="001779E3" w:rsidRDefault="001779E3" w:rsidP="001779E3">
      <w:pPr>
        <w:rPr>
          <w:rFonts w:ascii="Arial" w:hAnsi="Arial" w:cs="Arial"/>
          <w:color w:val="FF0000"/>
          <w:sz w:val="20"/>
          <w:szCs w:val="20"/>
        </w:rPr>
        <w:spacing w:before="0" w:after="75" w:line="240" w:lineRule="auto"/>
        <w:keepLines/>
        <w:keepNext/>
      </w:pPr>
      <w:r>
        <w:rPr>
          <w:rFonts w:ascii="Arial" w:hAnsi="Arial" w:cs="Arial" w:eastAsia="Hiragino Sans GB"/>
          <w:b/>
          <w:bCs/>
          <w:color w:val="FF0000"/>
          <w:sz w:val="20"/>
          <w:szCs w:val="20"/>
        </w:rPr>
        <w:t xml:space="preserve">Microintelligence 微億智造</w:t>
      </w:r>
    </w:p>
    <w:p w14:paraId="1AF2FA83" w14:textId="77777777" w:rsidR="001779E3" w:rsidRDefault="001779E3" w:rsidP="001779E3">
      <w:pPr>
        <w:rPr>
          <w:rFonts w:ascii="Arial" w:eastAsiaTheme="minorEastAsia" w:hAnsi="Arial" w:cs="Arial"/>
          <w:color w:val="153D63"/>
          <w:sz w:val="20"/>
          <w:szCs w:val="20"/>
        </w:rPr>
        <w:spacing w:before="0" w:after="75" w:line="240" w:lineRule="auto"/>
        <w:keepLines/>
      </w:pPr>
      <w:r>
        <w:rPr>
          <w:rFonts w:ascii="Arial" w:hAnsi="Arial" w:cs="Arial"/>
          <w:color w:val="153D63"/>
          <w:sz w:val="20"/>
          <w:szCs w:val="20"/>
          <w:b/>
        </w:rPr>
        <w:t xml:space="preserve">Desk view - demanding earnings valuation.</w:t>
      </w:r>
      <w:r>
        <w:rPr>
          <w:rFonts w:ascii="Arial" w:hAnsi="Arial" w:cs="Arial"/>
          <w:color w:val="153D63"/>
          <w:sz w:val="20"/>
          <w:szCs w:val="20"/>
        </w:rPr>
        <w:t xml:space="preserve"> Industrial AI has paying customers, but the offer relies on a later profit inflection. Management expects FY2026 profit to fall below the first five months: the strongest constraint on the bullish recovery story.</w:t>
      </w:r>
    </w:p>
    <w:p w14:paraId="255D58BE" w14:textId="77777777" w:rsidR="001779E3" w:rsidRDefault="001779E3" w:rsidP="001779E3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153D63"/>
          <w:sz w:val="20"/>
          <w:szCs w:val="20"/>
        </w:rPr>
        <w:spacing w:before="0" w:after="65" w:line="240" w:lineRule="auto"/>
        <w:keepLines/>
      </w:pPr>
      <w:r>
        <w:rPr>
          <w:rFonts w:ascii="Arial" w:hAnsi="Arial" w:cs="Arial"/>
          <w:color w:val="153D63"/>
          <w:sz w:val="20"/>
          <w:szCs w:val="20"/>
          <w:b/>
        </w:rPr>
        <w:t xml:space="preserve">Good - real industrial AI demand and a niche lead.</w:t>
      </w:r>
      <w:r>
        <w:rPr>
          <w:rFonts w:ascii="Arial" w:hAnsi="Arial" w:cs="Arial"/>
          <w:color w:val="153D63"/>
          <w:sz w:val="20"/>
          <w:szCs w:val="20"/>
        </w:rPr>
        <w:t xml:space="preserve"> No.1 in China EIIR products by FY2025 revenue, with 20% share. This is a narrowly defined market. Five-month 2026 EIIR sales rose 40%; the opportunity is automating factory tasks with vision, decision-making and motion control.</w:t>
      </w:r>
    </w:p>
    <w:p w14:paraId="255D58BE" w14:textId="77777777" w:rsidR="001779E3" w:rsidRDefault="001779E3" w:rsidP="001779E3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153D63"/>
          <w:sz w:val="20"/>
          <w:szCs w:val="20"/>
        </w:rPr>
        <w:spacing w:before="0" w:after="65" w:line="240" w:lineRule="auto"/>
        <w:keepLines/>
      </w:pPr>
      <w:r>
        <w:rPr>
          <w:rFonts w:ascii="Arial" w:hAnsi="Arial" w:cs="Arial"/>
          <w:color w:val="153D63"/>
          <w:sz w:val="20"/>
          <w:szCs w:val="20"/>
          <w:b/>
        </w:rPr>
        <w:t xml:space="preserve">Potential - repeat deployments with less engineering work.</w:t>
      </w:r>
      <w:r>
        <w:rPr>
          <w:rFonts w:ascii="Arial" w:hAnsi="Arial" w:cs="Arial"/>
          <w:color w:val="153D63"/>
          <w:sz w:val="20"/>
          <w:szCs w:val="20"/>
        </w:rPr>
        <w:t xml:space="preserve"> Agilebot adds robot bodies and motion control. Reusing the software across tasks could improve operating leverage. New project awards rose 49% to RMB530m, including VAT; conversion still requires delivery and acceptance. 60.3% of IPO net proceeds funds R&amp;D, so returns will take time.</w:t>
      </w:r>
    </w:p>
    <w:p w14:paraId="255D58BE" w14:textId="77777777" w:rsidR="001779E3" w:rsidRDefault="001779E3" w:rsidP="001779E3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153D63"/>
          <w:sz w:val="20"/>
          <w:szCs w:val="20"/>
        </w:rPr>
        <w:spacing w:before="0" w:after="65" w:line="240" w:lineRule="auto"/>
        <w:keepLines/>
      </w:pPr>
      <w:r>
        <w:rPr>
          <w:rFonts w:ascii="Arial" w:hAnsi="Arial" w:cs="Arial"/>
          <w:color w:val="153D63"/>
          <w:sz w:val="20"/>
          <w:szCs w:val="20"/>
          <w:b/>
        </w:rPr>
        <w:t xml:space="preserve">Bad - full-year profit will fall below January-May.</w:t>
      </w:r>
      <w:r>
        <w:rPr>
          <w:rFonts w:ascii="Arial" w:hAnsi="Arial" w:cs="Arial"/>
          <w:color w:val="153D63"/>
          <w:sz w:val="20"/>
          <w:szCs w:val="20"/>
        </w:rPr>
        <w:t xml:space="preserve"> Management expects FY2026 net profit below RMB22.5m, despite higher sales and gross profit, because of continued R&amp;D. Five-month operating profit rose only 1.8%; the reported profit jump also benefited from RMB16.6m redemption-interest expense disappearing.</w:t>
      </w:r>
    </w:p>
    <w:p w14:paraId="255D58BE" w14:textId="77777777" w:rsidR="001779E3" w:rsidRDefault="001779E3" w:rsidP="001779E3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153D63"/>
          <w:sz w:val="20"/>
          <w:szCs w:val="20"/>
        </w:rPr>
        <w:spacing w:before="0" w:after="65" w:line="240" w:lineRule="auto"/>
        <w:keepLines/>
      </w:pPr>
      <w:r>
        <w:rPr>
          <w:rFonts w:ascii="Arial" w:hAnsi="Arial" w:cs="Arial"/>
          <w:color w:val="153D63"/>
          <w:sz w:val="20"/>
          <w:szCs w:val="20"/>
          <w:b/>
        </w:rPr>
        <w:t xml:space="preserve">Bad - the mix upgrade has not lifted group margins.</w:t>
      </w:r>
      <w:r>
        <w:rPr>
          <w:rFonts w:ascii="Arial" w:hAnsi="Arial" w:cs="Arial"/>
          <w:color w:val="153D63"/>
          <w:sz w:val="20"/>
          <w:szCs w:val="20"/>
        </w:rPr>
        <w:t xml:space="preserve"> EIIR gross margin reached 54.8%, but group margin slipped to 48.4% from 49.2% YoY as equipment and modules weakened. Orders need to produce both higher gross profit and slower expense growth before the AI theme improves shareholder earnings.</w:t>
      </w:r>
    </w:p>
    <w:p w14:paraId="255D58BE" w14:textId="77777777" w:rsidR="001779E3" w:rsidRDefault="001779E3" w:rsidP="001779E3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153D63"/>
          <w:sz w:val="20"/>
          <w:szCs w:val="20"/>
        </w:rPr>
        <w:spacing w:before="0" w:after="65" w:line="240" w:lineRule="auto"/>
        <w:keepLines/>
      </w:pPr>
      <w:r>
        <w:rPr>
          <w:rFonts w:ascii="Arial" w:hAnsi="Arial" w:cs="Arial"/>
          <w:color w:val="153D63"/>
          <w:sz w:val="20"/>
          <w:szCs w:val="20"/>
          <w:b/>
        </w:rPr>
        <w:t xml:space="preserve">Bad - working capital still absorbs cash.</w:t>
      </w:r>
      <w:r>
        <w:rPr>
          <w:rFonts w:ascii="Arial" w:hAnsi="Arial" w:cs="Arial"/>
          <w:color w:val="153D63"/>
          <w:sz w:val="20"/>
          <w:szCs w:val="20"/>
        </w:rPr>
        <w:t xml:space="preserve"> Five-month operating cash turned positive at RMB12.7m, yet receivable days remain 188. Inventory rose 51%; turnover slowed to 98 days from 83, and provisions increased. Inventory supports delivery, but slower conversion raises funding and write-down risk.</w:t>
      </w:r>
    </w:p>
    <w:p w14:paraId="255D58BE" w14:textId="77777777" w:rsidR="001779E3" w:rsidRDefault="001779E3" w:rsidP="001779E3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153D63"/>
          <w:sz w:val="20"/>
          <w:szCs w:val="20"/>
        </w:rPr>
        <w:spacing w:before="0" w:after="65" w:line="240" w:lineRule="auto"/>
        <w:keepLines/>
      </w:pPr>
      <w:r>
        <w:rPr>
          <w:rFonts w:ascii="Arial" w:hAnsi="Arial" w:cs="Arial"/>
          <w:color w:val="153D63"/>
          <w:sz w:val="20"/>
          <w:szCs w:val="20"/>
          <w:b/>
        </w:rPr>
        <w:t xml:space="preserve">Bad - little demand is committed by the cornerstone.</w:t>
      </w:r>
      <w:r>
        <w:rPr>
          <w:rFonts w:ascii="Arial" w:hAnsi="Arial" w:cs="Arial"/>
          <w:color w:val="153D63"/>
          <w:sz w:val="20"/>
          <w:szCs w:val="20"/>
        </w:rPr>
        <w:t xml:space="preserve"> Elbe Rhein Investment Limited, wholly owned by Mr. Liu Jonas, commits HK$15.7m: 2.21% of the offer at the stated midpoint, locked for six months. It is a private investment/asset-management company. The book still needs broad demand; this is limited valuation endorsement.</w:t>
      </w:r>
    </w:p>
    <w:p w14:paraId="1AF2FA83" w14:textId="77777777" w:rsidR="001779E3" w:rsidRDefault="001779E3" w:rsidP="001779E3">
      <w:pPr>
        <w:rPr>
          <w:rFonts w:ascii="Arial" w:eastAsiaTheme="minorEastAsia" w:hAnsi="Arial" w:cs="Arial"/>
          <w:color w:val="153D63"/>
          <w:sz w:val="20"/>
          <w:szCs w:val="20"/>
        </w:rPr>
        <w:spacing w:before="0" w:after="55" w:line="240" w:lineRule="auto"/>
        <w:keepLines/>
      </w:pPr>
      <w:r>
        <w:rPr>
          <w:rFonts w:ascii="Arial" w:hAnsi="Arial" w:cs="Arial"/>
          <w:color w:val="153D63"/>
          <w:sz w:val="20"/>
          <w:szCs w:val="20"/>
          <w:b/>
        </w:rPr>
        <w:t xml:space="preserve">Evidence: </w:t>
      </w:r>
      <w:hyperlink r:id="rId17">
        <w:r>
          <w:rPr>
            <w:rFonts w:ascii="Arial" w:hAnsi="Arial" w:cs="Arial"/>
            <w:color w:val="153D63"/>
            <w:sz w:val="20"/>
            <w:szCs w:val="20"/>
            <w:u w:val="single"/>
          </w:rPr>
          <w:t xml:space="preserve">20 Oct prospectus</w:t>
        </w:r>
      </w:hyperlink>
      <w:r>
        <w:rPr>
          <w:rFonts w:ascii="Arial" w:hAnsi="Arial" w:cs="Arial"/>
          <w:color w:val="153D63"/>
          <w:sz w:val="20"/>
          <w:szCs w:val="20"/>
        </w:rPr>
        <w:t xml:space="preserve">; </w:t>
      </w:r>
      <w:hyperlink r:id="rId18">
        <w:r>
          <w:rPr>
            <w:rFonts w:ascii="Arial" w:hAnsi="Arial" w:cs="Arial"/>
            <w:color w:val="153D63"/>
            <w:sz w:val="20"/>
            <w:szCs w:val="20"/>
            <w:u w:val="single"/>
          </w:rPr>
          <w:t xml:space="preserve">Niuniu</w:t>
        </w:r>
      </w:hyperlink>
      <w:r>
        <w:rPr>
          <w:rFonts w:ascii="Arial" w:hAnsi="Arial" w:cs="Arial"/>
          <w:color w:val="153D63"/>
          <w:sz w:val="20"/>
          <w:szCs w:val="20"/>
        </w:rPr>
        <w:t xml:space="preserve">; </w:t>
      </w:r>
      <w:hyperlink r:id="rId19">
        <w:r>
          <w:rPr>
            <w:rFonts w:ascii="Arial" w:hAnsi="Arial" w:cs="Arial"/>
            <w:color w:val="153D63"/>
            <w:sz w:val="20"/>
            <w:szCs w:val="20"/>
            <w:u w:val="single"/>
          </w:rPr>
          <w:t xml:space="preserve">Xueqiu excerpts</w:t>
        </w:r>
      </w:hyperlink>
    </w:p>
    <w:p w14:paraId="52FB51E6" w14:textId="77777777" w:rsidR="001779E3" w:rsidRDefault="001779E3" w:rsidP="001779E3">
      <w:pPr>
        <w:rPr>
          <w:rFonts w:ascii="Arial" w:hAnsi="Arial" w:cs="Arial"/>
          <w:color w:val="FF0000"/>
          <w:sz w:val="20"/>
          <w:szCs w:val="20"/>
        </w:rPr>
        <w:spacing w:before="85" w:after="75" w:line="240" w:lineRule="auto"/>
        <w:keepLines/>
        <w:keepNext/>
      </w:pPr>
      <w:r>
        <w:rPr>
          <w:rFonts w:ascii="Arial" w:hAnsi="Arial" w:cs="Arial"/>
          <w:b/>
          <w:bCs/>
          <w:color w:val="FF0000"/>
          <w:sz w:val="20"/>
          <w:szCs w:val="20"/>
        </w:rPr>
        <w:t xml:space="preserve">Offer valuation</w:t>
      </w:r>
    </w:p>
    <w:tbl>
      <w:tblPr>
        <w:tblW w:w="9972" w:type="dxa"/>
        <w:tblCellMar>
          <w:left w:w="65" w:type="dxa"/>
          <w:right w:w="65" w:type="dxa"/>
          <w:top w:w="65" w:type="dxa"/>
          <w:bottom w:w="65" w:type="dxa"/>
        </w:tblCellMar>
        <w:tblLook w:val="04A0" w:firstRow="1" w:lastRow="0" w:firstColumn="1" w:lastColumn="0" w:noHBand="0" w:noVBand="1"/>
        <w:tblLayout w:type="fixed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100"/>
        <w:gridCol w:w="1957"/>
        <w:gridCol w:w="1957"/>
        <w:gridCol w:w="1958"/>
      </w:tblGrid>
      <w:tr>
        <w:trPr>
          <w:cantSplit/>
          <w:tblHeader/>
        </w:trPr>
        <w:tc>
          <w:tcPr>
            <w:tcW w:w="4100" w:type="dxa"/>
            <w:vAlign w:val="center"/>
            <w:shd w:val="clear" w:color="auto" w:fill="F2F2F2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left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  <w:b/>
              </w:rPr>
              <w:t xml:space="preserve">Price case</w:t>
            </w:r>
          </w:p>
        </w:tc>
        <w:tc>
          <w:tcPr>
            <w:tcW w:w="1957" w:type="dxa"/>
            <w:hideMark/>
            <w:vAlign w:val="center"/>
            <w:shd w:val="clear" w:color="auto" w:fill="F2F2F2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  <w:b/>
              </w:rPr>
              <w:t xml:space="preserve">Low HK$16.63</w:t>
            </w:r>
          </w:p>
        </w:tc>
        <w:tc>
          <w:tcPr>
            <w:tcW w:w="1957" w:type="dxa"/>
            <w:hideMark/>
            <w:vAlign w:val="center"/>
            <w:shd w:val="clear" w:color="auto" w:fill="F2F2F2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  <w:b/>
              </w:rPr>
              <w:t xml:space="preserve">Mid HK$19.05</w:t>
            </w:r>
          </w:p>
        </w:tc>
        <w:tc>
          <w:tcPr>
            <w:tcW w:w="1958" w:type="dxa"/>
            <w:hideMark/>
            <w:vAlign w:val="center"/>
            <w:shd w:val="clear" w:color="auto" w:fill="F2F2F2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  <w:b/>
              </w:rPr>
              <w:t xml:space="preserve">High HK$21.46</w:t>
            </w:r>
          </w:p>
        </w:tc>
      </w:tr>
      <w:tr>
        <w:trPr>
          <w:cantSplit/>
        </w:trPr>
        <w:tc>
          <w:tcPr>
            <w:tcW w:w="410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left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  <w:b/>
              </w:rPr>
              <w:t xml:space="preserve">Total equity value (HK$bn)</w:t>
            </w:r>
          </w:p>
        </w:tc>
        <w:tc>
          <w:tcPr>
            <w:tcW w:w="1957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6.199</w:t>
            </w:r>
          </w:p>
        </w:tc>
        <w:tc>
          <w:tcPr>
            <w:tcW w:w="1957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7.101</w:t>
            </w:r>
          </w:p>
        </w:tc>
        <w:tc>
          <w:tcPr>
            <w:tcW w:w="1958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7.999</w:t>
            </w:r>
          </w:p>
        </w:tc>
      </w:tr>
      <w:tr>
        <w:trPr>
          <w:cantSplit/>
        </w:trPr>
        <w:tc>
          <w:tcPr>
            <w:tcW w:w="410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left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  <w:b/>
              </w:rPr>
              <w:t xml:space="preserve">FY2025 P/S</w:t>
            </w:r>
          </w:p>
        </w:tc>
        <w:tc>
          <w:tcPr>
            <w:tcW w:w="1957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6.7x</w:t>
            </w:r>
          </w:p>
        </w:tc>
        <w:tc>
          <w:tcPr>
            <w:tcW w:w="1957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7.6x</w:t>
            </w:r>
          </w:p>
        </w:tc>
        <w:tc>
          <w:tcPr>
            <w:tcW w:w="1958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8.6x</w:t>
            </w:r>
          </w:p>
        </w:tc>
      </w:tr>
      <w:tr>
        <w:trPr>
          <w:cantSplit/>
        </w:trPr>
        <w:tc>
          <w:tcPr>
            <w:tcW w:w="410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left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  <w:b/>
              </w:rPr>
              <w:t xml:space="preserve">LTM reported / adjusted P/E</w:t>
            </w:r>
          </w:p>
        </w:tc>
        <w:tc>
          <w:tcPr>
            <w:tcW w:w="1957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258.5x / 90.5x</w:t>
            </w:r>
          </w:p>
        </w:tc>
        <w:tc>
          <w:tcPr>
            <w:tcW w:w="1957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296.1x / 103.7x</w:t>
            </w:r>
          </w:p>
        </w:tc>
        <w:tc>
          <w:tcPr>
            <w:tcW w:w="1958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333.6x / 116.8x</w:t>
            </w:r>
          </w:p>
        </w:tc>
      </w:tr>
      <w:tr>
        <w:trPr>
          <w:cantSplit/>
        </w:trPr>
        <w:tc>
          <w:tcPr>
            <w:tcW w:w="410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left"/>
            </w:pPr>
            <w:r>
              <w:rPr>
                <w:rFonts w:ascii="Arial" w:hAnsi="Arial" w:cs="Arial"/>
                <w:color w:val="153D63"/>
                <w:sz w:val="20"/>
                <w:szCs w:val="20"/>
                <w:b/>
              </w:rPr>
              <w:t xml:space="preserve">FY2026 P/E floor if profitable*</w:t>
            </w:r>
          </w:p>
        </w:tc>
        <w:tc>
          <w:tcPr>
            <w:tcW w:w="1957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&gt;235.6x</w:t>
            </w:r>
          </w:p>
        </w:tc>
        <w:tc>
          <w:tcPr>
            <w:tcW w:w="1957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&gt;269.9x</w:t>
            </w:r>
          </w:p>
        </w:tc>
        <w:tc>
          <w:tcPr>
            <w:tcW w:w="1958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&gt;304.1x</w:t>
            </w:r>
          </w:p>
        </w:tc>
      </w:tr>
    </w:tbl>
    <w:p w14:paraId="1AF2FA83" w14:textId="77777777" w:rsidR="001779E3" w:rsidRDefault="001779E3" w:rsidP="001779E3">
      <w:pPr>
        <w:rPr>
          <w:rFonts w:ascii="Arial" w:eastAsiaTheme="minorEastAsia" w:hAnsi="Arial" w:cs="Arial"/>
          <w:color w:val="153D63"/>
          <w:sz w:val="20"/>
          <w:szCs w:val="20"/>
        </w:rPr>
        <w:spacing w:before="65" w:after="60" w:line="240" w:lineRule="auto"/>
        <w:keepLines/>
      </w:pPr>
      <w:r>
        <w:rPr>
          <w:rFonts w:ascii="Arial" w:hAnsi="Arial" w:cs="Arial"/>
          <w:color w:val="153D63"/>
          <w:sz w:val="20"/>
          <w:szCs w:val="20"/>
        </w:rPr>
        <w:t xml:space="preserve">*Conditional bounds from issuer guidance, not exact earnings forecasts. If FY2026 is loss-making, P/E is NM. No verified FY2027 forecast. LTM to May 2026: reported profit RMB20.5m; adjusted profit RMB58.6m. Adjusted earnings add back share payments, redemption interest and listing expenses.</w:t>
      </w:r>
    </w:p>
    <w:p w14:paraId="52FB51E6" w14:textId="77777777" w:rsidR="001779E3" w:rsidRDefault="001779E3" w:rsidP="001779E3">
      <w:pPr>
        <w:rPr>
          <w:rFonts w:ascii="Arial" w:hAnsi="Arial" w:cs="Arial"/>
          <w:color w:val="FF0000"/>
          <w:sz w:val="20"/>
          <w:szCs w:val="20"/>
        </w:rPr>
        <w:spacing w:before="0" w:after="85" w:line="240" w:lineRule="auto"/>
        <w:keepLines/>
        <w:keepNext/>
        <w:pageBreakBefore/>
      </w:pPr>
      <w:r>
        <w:rPr>
          <w:rFonts w:ascii="Arial" w:hAnsi="Arial" w:cs="Arial"/>
          <w:b/>
          <w:bCs/>
          <w:color w:val="FF0000"/>
          <w:sz w:val="20"/>
          <w:szCs w:val="20"/>
        </w:rPr>
        <w:t xml:space="preserve">Valuation and H share peers</w:t>
      </w:r>
    </w:p>
    <w:p w14:paraId="1AF2FA83" w14:textId="77777777" w:rsidR="001779E3" w:rsidRDefault="001779E3" w:rsidP="001779E3">
      <w:pPr>
        <w:rPr>
          <w:rFonts w:ascii="Arial" w:eastAsiaTheme="minorEastAsia" w:hAnsi="Arial" w:cs="Arial"/>
          <w:color w:val="153D63"/>
          <w:sz w:val="20"/>
          <w:szCs w:val="20"/>
        </w:rPr>
        <w:spacing w:before="0" w:after="90" w:line="240" w:lineRule="auto"/>
        <w:keepLines/>
        <w:keepNext/>
      </w:pPr>
      <w:r>
        <w:rPr>
          <w:rFonts w:ascii="Arial" w:hAnsi="Arial" w:cs="Arial"/>
          <w:color w:val="153D63"/>
          <w:sz w:val="20"/>
          <w:szCs w:val="20"/>
        </w:rPr>
        <w:t xml:space="preserve">20 October closes. P/S uses actual FY2025 sales for every row; forward P/E uses dated selected broker attributable-profit estimates.</w:t>
      </w:r>
    </w:p>
    <w:tbl>
      <w:tblPr>
        <w:tblW w:w="9972" w:type="dxa"/>
        <w:tblCellMar>
          <w:left w:w="65" w:type="dxa"/>
          <w:right w:w="65" w:type="dxa"/>
          <w:top w:w="65" w:type="dxa"/>
          <w:bottom w:w="65" w:type="dxa"/>
        </w:tblCellMar>
        <w:tblLook w:val="04A0" w:firstRow="1" w:lastRow="0" w:firstColumn="1" w:lastColumn="0" w:noHBand="0" w:noVBand="1"/>
        <w:tblLayout w:type="fixed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950"/>
        <w:gridCol w:w="1300"/>
        <w:gridCol w:w="950"/>
        <w:gridCol w:w="1000"/>
        <w:gridCol w:w="1000"/>
        <w:gridCol w:w="2772"/>
      </w:tblGrid>
      <w:tr>
        <w:trPr>
          <w:cantSplit/>
          <w:tblHeader/>
        </w:trPr>
        <w:tc>
          <w:tcPr>
            <w:tcW w:w="2950" w:type="dxa"/>
            <w:vAlign w:val="center"/>
            <w:shd w:val="clear" w:color="auto" w:fill="F2F2F2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left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  <w:b/>
              </w:rPr>
              <w:t xml:space="preserve">Company / product overlap</w:t>
            </w:r>
          </w:p>
        </w:tc>
        <w:tc>
          <w:tcPr>
            <w:tcW w:w="1300" w:type="dxa"/>
            <w:hideMark/>
            <w:vAlign w:val="center"/>
            <w:shd w:val="clear" w:color="auto" w:fill="F2F2F2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  <w:b/>
              </w:rPr>
              <w:t xml:space="preserve">20 Oct close</w:t>
            </w:r>
          </w:p>
        </w:tc>
        <w:tc>
          <w:tcPr>
            <w:tcW w:w="950" w:type="dxa"/>
            <w:hideMark/>
            <w:vAlign w:val="center"/>
            <w:shd w:val="clear" w:color="auto" w:fill="F2F2F2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  <w:b/>
              </w:rPr>
              <w:t xml:space="preserve">FY2025</w:t>
              <w:br/>
              <w:t xml:space="preserve">P/S</w:t>
            </w:r>
          </w:p>
        </w:tc>
        <w:tc>
          <w:tcPr>
            <w:tcW w:w="1000" w:type="dxa"/>
            <w:hideMark/>
            <w:vAlign w:val="center"/>
            <w:shd w:val="clear" w:color="auto" w:fill="F2F2F2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  <w:b/>
              </w:rPr>
              <w:t xml:space="preserve">FY2026E</w:t>
              <w:br/>
              <w:t xml:space="preserve">P/E</w:t>
            </w:r>
          </w:p>
        </w:tc>
        <w:tc>
          <w:tcPr>
            <w:tcW w:w="1000" w:type="dxa"/>
            <w:hideMark/>
            <w:vAlign w:val="center"/>
            <w:shd w:val="clear" w:color="auto" w:fill="F2F2F2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  <w:b/>
              </w:rPr>
              <w:t xml:space="preserve">FY2027E</w:t>
              <w:br/>
              <w:t xml:space="preserve">P/E</w:t>
            </w:r>
          </w:p>
        </w:tc>
        <w:tc>
          <w:tcPr>
            <w:tcW w:w="2772" w:type="dxa"/>
            <w:hideMark/>
            <w:vAlign w:val="center"/>
            <w:shd w:val="clear" w:color="auto" w:fill="F2F2F2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left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  <w:b/>
              </w:rPr>
              <w:t xml:space="preserve">Forecast source / date</w:t>
            </w:r>
          </w:p>
        </w:tc>
      </w:tr>
      <w:tr>
        <w:trPr>
          <w:cantSplit/>
        </w:trPr>
        <w:tc>
          <w:tcPr>
            <w:tcW w:w="295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left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  <w:b/>
              </w:rPr>
              <w:t xml:space="preserve">Microintelligence H (03275)</w:t>
              <w:br/>
              <w:t xml:space="preserve">EIIR products / factory AI</w:t>
            </w:r>
          </w:p>
        </w:tc>
        <w:tc>
          <w:tcPr>
            <w:tcW w:w="130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HK$16.63-</w:t>
              <w:br/>
              <w:t xml:space="preserve">21.46</w:t>
            </w:r>
          </w:p>
        </w:tc>
        <w:tc>
          <w:tcPr>
            <w:tcW w:w="95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6.7-8.6x</w:t>
            </w:r>
          </w:p>
        </w:tc>
        <w:tc>
          <w:tcPr>
            <w:tcW w:w="100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n/c*</w:t>
            </w:r>
          </w:p>
        </w:tc>
        <w:tc>
          <w:tcPr>
            <w:tcW w:w="100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n/c</w:t>
            </w:r>
          </w:p>
        </w:tc>
        <w:tc>
          <w:tcPr>
            <w:tcW w:w="2772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left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Issuer guidance*</w:t>
            </w:r>
          </w:p>
        </w:tc>
      </w:tr>
      <w:tr>
        <w:trPr>
          <w:cantSplit/>
        </w:trPr>
        <w:tc>
          <w:tcPr>
            <w:tcW w:w="295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left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  <w:b/>
              </w:rPr>
              <w:t xml:space="preserve">Mech-Mind H (09615)</w:t>
              <w:br/>
              <w:t xml:space="preserve">3D vision / AI</w:t>
            </w:r>
          </w:p>
        </w:tc>
        <w:tc>
          <w:tcPr>
            <w:tcW w:w="130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HK$88.100</w:t>
            </w:r>
          </w:p>
        </w:tc>
        <w:tc>
          <w:tcPr>
            <w:tcW w:w="95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24.3x</w:t>
            </w:r>
          </w:p>
        </w:tc>
        <w:tc>
          <w:tcPr>
            <w:tcW w:w="100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n/c</w:t>
            </w:r>
          </w:p>
        </w:tc>
        <w:tc>
          <w:tcPr>
            <w:tcW w:w="100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n/c</w:t>
            </w:r>
          </w:p>
        </w:tc>
        <w:tc>
          <w:tcPr>
            <w:tcW w:w="2772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left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No verified estimate</w:t>
            </w:r>
          </w:p>
        </w:tc>
      </w:tr>
      <w:tr>
        <w:trPr>
          <w:cantSplit/>
        </w:trPr>
        <w:tc>
          <w:tcPr>
            <w:tcW w:w="295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left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  <w:b/>
              </w:rPr>
              <w:t xml:space="preserve">Dobot H (02432)</w:t>
              <w:br/>
              <w:t xml:space="preserve">Cobot / motion</w:t>
            </w:r>
          </w:p>
        </w:tc>
        <w:tc>
          <w:tcPr>
            <w:tcW w:w="130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HK$17.320</w:t>
            </w:r>
          </w:p>
        </w:tc>
        <w:tc>
          <w:tcPr>
            <w:tcW w:w="95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13.3x</w:t>
            </w:r>
          </w:p>
        </w:tc>
        <w:tc>
          <w:tcPr>
            <w:tcW w:w="100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NM</w:t>
            </w:r>
          </w:p>
        </w:tc>
        <w:tc>
          <w:tcPr>
            <w:tcW w:w="100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NM</w:t>
            </w:r>
          </w:p>
        </w:tc>
        <w:tc>
          <w:tcPr>
            <w:tcW w:w="2772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left"/>
              <w:keepNext/>
            </w:pPr>
            <w:hyperlink r:id="rId20">
              <w:r>
                <w:rPr>
                  <w:rFonts w:ascii="Arial" w:hAnsi="Arial" w:cs="Arial"/>
                  <w:color w:val="153D63"/>
                  <w:sz w:val="20"/>
                  <w:szCs w:val="20"/>
                  <w:u w:val="single"/>
                </w:rPr>
                <w:t xml:space="preserve">CICC via EtNet 25 Aug</w:t>
              </w:r>
            </w:hyperlink>
          </w:p>
        </w:tc>
      </w:tr>
      <w:tr>
        <w:trPr>
          <w:cantSplit/>
        </w:trPr>
        <w:tc>
          <w:tcPr>
            <w:tcW w:w="295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left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  <w:b/>
              </w:rPr>
              <w:t xml:space="preserve">Huayan H (01021)</w:t>
              <w:br/>
              <w:t xml:space="preserve">Cobot / components</w:t>
            </w:r>
          </w:p>
        </w:tc>
        <w:tc>
          <w:tcPr>
            <w:tcW w:w="130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HK$6.895</w:t>
            </w:r>
          </w:p>
        </w:tc>
        <w:tc>
          <w:tcPr>
            <w:tcW w:w="95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8.5x</w:t>
            </w:r>
          </w:p>
        </w:tc>
        <w:tc>
          <w:tcPr>
            <w:tcW w:w="100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n/c</w:t>
            </w:r>
          </w:p>
        </w:tc>
        <w:tc>
          <w:tcPr>
            <w:tcW w:w="100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n/c</w:t>
            </w:r>
          </w:p>
        </w:tc>
        <w:tc>
          <w:tcPr>
            <w:tcW w:w="2772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left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No verified estimate</w:t>
            </w:r>
          </w:p>
        </w:tc>
      </w:tr>
      <w:tr>
        <w:trPr>
          <w:cantSplit/>
        </w:trPr>
        <w:tc>
          <w:tcPr>
            <w:tcW w:w="295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left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  <w:b/>
              </w:rPr>
              <w:t xml:space="preserve">Estun H (02715)</w:t>
              <w:br/>
              <w:t xml:space="preserve">Industrial robots</w:t>
            </w:r>
          </w:p>
        </w:tc>
        <w:tc>
          <w:tcPr>
            <w:tcW w:w="130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HK$12.500</w:t>
            </w:r>
          </w:p>
        </w:tc>
        <w:tc>
          <w:tcPr>
            <w:tcW w:w="95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2.1x</w:t>
            </w:r>
          </w:p>
        </w:tc>
        <w:tc>
          <w:tcPr>
            <w:tcW w:w="100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36.4x</w:t>
            </w:r>
          </w:p>
        </w:tc>
        <w:tc>
          <w:tcPr>
            <w:tcW w:w="100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25.8x</w:t>
            </w:r>
          </w:p>
        </w:tc>
        <w:tc>
          <w:tcPr>
            <w:tcW w:w="2772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left"/>
              <w:keepNext/>
            </w:pPr>
            <w:hyperlink r:id="rId21">
              <w:r>
                <w:rPr>
                  <w:rFonts w:ascii="Arial" w:hAnsi="Arial" w:cs="Arial"/>
                  <w:color w:val="153D63"/>
                  <w:sz w:val="20"/>
                  <w:szCs w:val="20"/>
                  <w:u w:val="single"/>
                </w:rPr>
                <w:t xml:space="preserve">Soochow 30 Aug</w:t>
              </w:r>
            </w:hyperlink>
          </w:p>
        </w:tc>
      </w:tr>
      <w:tr>
        <w:trPr>
          <w:cantSplit/>
        </w:trPr>
        <w:tc>
          <w:tcPr>
            <w:tcW w:w="295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left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  <w:b/>
              </w:rPr>
              <w:t xml:space="preserve">OPT A (688686)</w:t>
              <w:br/>
              <w:t xml:space="preserve">Vision components</w:t>
            </w:r>
          </w:p>
        </w:tc>
        <w:tc>
          <w:tcPr>
            <w:tcW w:w="130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RMB121.49</w:t>
            </w:r>
          </w:p>
        </w:tc>
        <w:tc>
          <w:tcPr>
            <w:tcW w:w="95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11.7x</w:t>
            </w:r>
          </w:p>
        </w:tc>
        <w:tc>
          <w:tcPr>
            <w:tcW w:w="100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59.4x</w:t>
            </w:r>
          </w:p>
        </w:tc>
        <w:tc>
          <w:tcPr>
            <w:tcW w:w="100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43.8x</w:t>
            </w:r>
          </w:p>
        </w:tc>
        <w:tc>
          <w:tcPr>
            <w:tcW w:w="2772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left"/>
              <w:keepNext/>
            </w:pPr>
            <w:hyperlink r:id="rId22">
              <w:r>
                <w:rPr>
                  <w:rFonts w:ascii="Arial" w:hAnsi="Arial" w:cs="Arial"/>
                  <w:color w:val="153D63"/>
                  <w:sz w:val="20"/>
                  <w:szCs w:val="20"/>
                  <w:u w:val="single"/>
                </w:rPr>
                <w:t xml:space="preserve">China Post 31 Aug</w:t>
              </w:r>
            </w:hyperlink>
          </w:p>
        </w:tc>
      </w:tr>
      <w:tr>
        <w:trPr>
          <w:cantSplit/>
        </w:trPr>
        <w:tc>
          <w:tcPr>
            <w:tcW w:w="295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left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  <w:b/>
              </w:rPr>
              <w:t xml:space="preserve">TZTEK A (688003)</w:t>
              <w:br/>
              <w:t xml:space="preserve">Vision / AI equipment</w:t>
            </w:r>
          </w:p>
        </w:tc>
        <w:tc>
          <w:tcPr>
            <w:tcW w:w="130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RMB66.42</w:t>
            </w:r>
          </w:p>
        </w:tc>
        <w:tc>
          <w:tcPr>
            <w:tcW w:w="95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7.2x</w:t>
            </w:r>
          </w:p>
        </w:tc>
        <w:tc>
          <w:tcPr>
            <w:tcW w:w="100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75.7x</w:t>
            </w:r>
          </w:p>
        </w:tc>
        <w:tc>
          <w:tcPr>
            <w:tcW w:w="100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  <w:keepNext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48.5x</w:t>
            </w:r>
          </w:p>
        </w:tc>
        <w:tc>
          <w:tcPr>
            <w:tcW w:w="2772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left"/>
              <w:keepNext/>
            </w:pPr>
            <w:hyperlink r:id="rId23">
              <w:r>
                <w:rPr>
                  <w:rFonts w:ascii="Arial" w:hAnsi="Arial" w:cs="Arial"/>
                  <w:color w:val="153D63"/>
                  <w:sz w:val="20"/>
                  <w:szCs w:val="20"/>
                  <w:u w:val="single"/>
                </w:rPr>
                <w:t xml:space="preserve">Huaxin 23 Sep</w:t>
              </w:r>
            </w:hyperlink>
          </w:p>
        </w:tc>
      </w:tr>
      <w:tr>
        <w:trPr>
          <w:cantSplit/>
        </w:trPr>
        <w:tc>
          <w:tcPr>
            <w:tcW w:w="295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left"/>
            </w:pPr>
            <w:r>
              <w:rPr>
                <w:rFonts w:ascii="Arial" w:hAnsi="Arial" w:cs="Arial"/>
                <w:color w:val="153D63"/>
                <w:sz w:val="20"/>
                <w:szCs w:val="20"/>
                <w:b/>
              </w:rPr>
              <w:t xml:space="preserve">Estun A (002747)</w:t>
              <w:br/>
              <w:t xml:space="preserve">Same group as H</w:t>
            </w:r>
          </w:p>
        </w:tc>
        <w:tc>
          <w:tcPr>
            <w:tcW w:w="130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RMB26.30</w:t>
            </w:r>
          </w:p>
        </w:tc>
        <w:tc>
          <w:tcPr>
            <w:tcW w:w="95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5.2x</w:t>
            </w:r>
          </w:p>
        </w:tc>
        <w:tc>
          <w:tcPr>
            <w:tcW w:w="100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89.4x</w:t>
            </w:r>
          </w:p>
        </w:tc>
        <w:tc>
          <w:tcPr>
            <w:tcW w:w="1000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center"/>
            </w:pPr>
            <w:r>
              <w:rPr>
                <w:rFonts w:ascii="Arial" w:hAnsi="Arial" w:cs="Arial"/>
                <w:color w:val="153D63"/>
                <w:sz w:val="20"/>
                <w:szCs w:val="20"/>
              </w:rPr>
              <w:t xml:space="preserve">63.5x</w:t>
            </w:r>
          </w:p>
        </w:tc>
        <w:tc>
          <w:tcPr>
            <w:tcW w:w="2772" w:type="dxa"/>
            <w:hideMark/>
            <w:vAlign w:val="center"/>
          </w:tcPr>
          <w:p w14:paraId="1AF2FA83" w14:textId="77777777" w:rsidR="001779E3" w:rsidRDefault="001779E3" w:rsidP="001779E3">
            <w:pPr>
              <w:rPr>
                <w:rFonts w:ascii="Arial" w:eastAsiaTheme="minorEastAsia" w:hAnsi="Arial" w:cs="Arial"/>
                <w:color w:val="153D63"/>
                <w:sz w:val="20"/>
                <w:szCs w:val="20"/>
              </w:rPr>
              <w:spacing w:before="0" w:after="0" w:line="240" w:lineRule="auto"/>
              <w:keepLines/>
              <w:jc w:val="left"/>
            </w:pPr>
            <w:hyperlink r:id="rId24">
              <w:r>
                <w:rPr>
                  <w:rFonts w:ascii="Arial" w:hAnsi="Arial" w:cs="Arial"/>
                  <w:color w:val="153D63"/>
                  <w:sz w:val="20"/>
                  <w:szCs w:val="20"/>
                  <w:u w:val="single"/>
                </w:rPr>
                <w:t xml:space="preserve">Soochow 30 Aug</w:t>
              </w:r>
            </w:hyperlink>
          </w:p>
        </w:tc>
      </w:tr>
    </w:tbl>
    <w:p w14:paraId="1AF2FA83" w14:textId="77777777" w:rsidR="001779E3" w:rsidRDefault="001779E3" w:rsidP="001779E3">
      <w:pPr>
        <w:rPr>
          <w:rFonts w:ascii="Arial" w:eastAsiaTheme="minorEastAsia" w:hAnsi="Arial" w:cs="Arial"/>
          <w:color w:val="153D63"/>
          <w:sz w:val="20"/>
          <w:szCs w:val="20"/>
        </w:rPr>
        <w:spacing w:before="75" w:after="80" w:line="240" w:lineRule="auto"/>
        <w:keepLines/>
      </w:pPr>
      <w:r>
        <w:rPr>
          <w:rFonts w:ascii="Arial" w:hAnsi="Arial" w:cs="Arial"/>
          <w:color w:val="153D63"/>
          <w:sz w:val="20"/>
          <w:szCs w:val="20"/>
        </w:rPr>
        <w:t xml:space="preserve">n/c = no verified exact full-year estimate. NM = selected forecast loss. *Microintelligence has only qualitative FY2026 guidance; see the conditional P/E floors on page 1. CICC estimates are distributed by EtNet; its original note was not publicly verified.</w:t>
      </w:r>
    </w:p>
    <w:p w14:paraId="52FB51E6" w14:textId="77777777" w:rsidR="001779E3" w:rsidRDefault="001779E3" w:rsidP="001779E3">
      <w:pPr>
        <w:rPr>
          <w:rFonts w:ascii="Arial" w:hAnsi="Arial" w:cs="Arial"/>
          <w:color w:val="FF0000"/>
          <w:sz w:val="20"/>
          <w:szCs w:val="20"/>
        </w:rPr>
        <w:spacing w:before="80" w:after="70" w:line="240" w:lineRule="auto"/>
        <w:keepLines/>
        <w:keepNext/>
      </w:pPr>
      <w:r>
        <w:rPr>
          <w:rFonts w:ascii="Arial" w:hAnsi="Arial" w:cs="Arial"/>
          <w:b/>
          <w:bCs/>
          <w:color w:val="FF0000"/>
          <w:sz w:val="20"/>
          <w:szCs w:val="20"/>
        </w:rPr>
        <w:t xml:space="preserve">How to read the comparison</w:t>
      </w:r>
    </w:p>
    <w:p w14:paraId="255D58BE" w14:textId="77777777" w:rsidR="001779E3" w:rsidRDefault="001779E3" w:rsidP="001779E3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153D63"/>
          <w:sz w:val="20"/>
          <w:szCs w:val="20"/>
        </w:rPr>
        <w:spacing w:before="0" w:after="75" w:line="240" w:lineRule="auto"/>
        <w:keepLines/>
      </w:pPr>
      <w:r>
        <w:rPr>
          <w:rFonts w:ascii="Arial" w:hAnsi="Arial" w:cs="Arial"/>
          <w:color w:val="153D63"/>
          <w:sz w:val="20"/>
          <w:szCs w:val="20"/>
          <w:b/>
        </w:rPr>
        <w:t xml:space="preserve">Revenue valuation offers some room; earnings do not yet support a rerating.</w:t>
      </w:r>
      <w:r>
        <w:rPr>
          <w:rFonts w:ascii="Arial" w:hAnsi="Arial" w:cs="Arial"/>
          <w:color w:val="153D63"/>
          <w:sz w:val="20"/>
          <w:szCs w:val="20"/>
        </w:rPr>
        <w:t xml:space="preserve"> The offer is 6.7-8.6x FY2025 sales, below Mech-Mind's 24.3x and Dobot's 13.3x, around Huayan's 8.5x. Different growth, margins and product standardisation justify different multiples. A lower P/S alone does not establish cheapness.</w:t>
      </w:r>
    </w:p>
    <w:p w14:paraId="255D58BE" w14:textId="77777777" w:rsidR="001779E3" w:rsidRDefault="001779E3" w:rsidP="001779E3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153D63"/>
          <w:sz w:val="20"/>
          <w:szCs w:val="20"/>
        </w:rPr>
        <w:spacing w:before="0" w:after="75" w:line="240" w:lineRule="auto"/>
        <w:keepLines/>
      </w:pPr>
      <w:r>
        <w:rPr>
          <w:rFonts w:ascii="Arial" w:hAnsi="Arial" w:cs="Arial"/>
          <w:color w:val="153D63"/>
          <w:sz w:val="20"/>
          <w:szCs w:val="20"/>
          <w:b/>
        </w:rPr>
        <w:t xml:space="preserve">The profit hurdle is substantial.</w:t>
      </w:r>
      <w:r>
        <w:rPr>
          <w:rFonts w:ascii="Arial" w:hAnsi="Arial" w:cs="Arial"/>
          <w:color w:val="153D63"/>
          <w:sz w:val="20"/>
          <w:szCs w:val="20"/>
        </w:rPr>
        <w:t xml:space="preserve"> A future 30x P/E would need RMB177-228m annual owner profit, versus RMB20.5m reported LTM. That is a sensitivity, not a forecast or target multiple. Watch repeat orders, gross margin and R&amp;D intensity together.</w:t>
      </w:r>
    </w:p>
    <w:p w14:paraId="255D58BE" w14:textId="77777777" w:rsidR="001779E3" w:rsidRDefault="001779E3" w:rsidP="001779E3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153D63"/>
          <w:sz w:val="20"/>
          <w:szCs w:val="20"/>
        </w:rPr>
        <w:spacing w:before="0" w:after="75" w:line="240" w:lineRule="auto"/>
        <w:keepLines/>
      </w:pPr>
      <w:r>
        <w:rPr>
          <w:rFonts w:ascii="Arial" w:hAnsi="Arial" w:cs="Arial"/>
          <w:color w:val="153D63"/>
          <w:sz w:val="20"/>
          <w:szCs w:val="20"/>
          <w:b/>
        </w:rPr>
        <w:t xml:space="preserve">Peer fit matters.</w:t>
      </w:r>
      <w:r>
        <w:rPr>
          <w:rFonts w:ascii="Arial" w:hAnsi="Arial" w:cs="Arial"/>
          <w:color w:val="153D63"/>
          <w:sz w:val="20"/>
          <w:szCs w:val="20"/>
        </w:rPr>
        <w:t xml:space="preserve"> Mech-Mind is the closest H vision/AI reference; Dobot and Huayan cover cobots and motion hardware. Estun is a broader industrial robot platform. OPT and TZTEK provide A-share vision/inspection anchors. These are product overlaps, not identical whole-company peers. Estun H and A use the same profit estimates.</w:t>
      </w:r>
    </w:p>
    <w:p w14:paraId="1AF2FA83" w14:textId="77777777" w:rsidR="001779E3" w:rsidRDefault="001779E3" w:rsidP="001779E3">
      <w:pPr>
        <w:rPr>
          <w:rFonts w:ascii="Arial" w:eastAsiaTheme="minorEastAsia" w:hAnsi="Arial" w:cs="Arial"/>
          <w:color w:val="153D63"/>
          <w:sz w:val="20"/>
          <w:szCs w:val="20"/>
        </w:rPr>
        <w:spacing w:before="85" w:after="75" w:line="240" w:lineRule="auto"/>
        <w:keepLines/>
      </w:pPr>
      <w:r>
        <w:rPr>
          <w:rFonts w:ascii="Arial" w:hAnsi="Arial" w:cs="Arial"/>
          <w:color w:val="153D63"/>
          <w:sz w:val="20"/>
          <w:szCs w:val="20"/>
        </w:rPr>
        <w:t xml:space="preserve">Basis: H price x total ordinary shares, converted at 1HK$ = RMB0.85628 (20 Oct official parity). A rows use quoted total-company equity values. These are line-implied values, not combined A+H market caps. All FYs end December. IPO total shares: 372,757,356 before the greenshoe. LTM = FY2025 minus 5M2025 plus 5M2026; interim results are not annualised. Broker estimates are selected, not consensus.</w:t>
      </w:r>
    </w:p>
    <w:p w14:paraId="1AF2FA83" w14:textId="77777777" w:rsidR="001779E3" w:rsidRDefault="001779E3" w:rsidP="001779E3">
      <w:pPr>
        <w:rPr>
          <w:rFonts w:ascii="Arial" w:eastAsiaTheme="minorEastAsia" w:hAnsi="Arial" w:cs="Arial"/>
          <w:color w:val="153D63"/>
          <w:sz w:val="20"/>
          <w:szCs w:val="20"/>
        </w:rPr>
        <w:spacing w:before="0" w:after="55" w:line="240" w:lineRule="auto"/>
        <w:keepLines/>
      </w:pPr>
      <w:r>
        <w:rPr>
          <w:rFonts w:ascii="Arial" w:hAnsi="Arial" w:cs="Arial"/>
          <w:color w:val="153D63"/>
          <w:sz w:val="20"/>
          <w:szCs w:val="20"/>
          <w:b/>
        </w:rPr>
        <w:t xml:space="preserve">Primary sources: </w:t>
      </w:r>
      <w:hyperlink r:id="rId25">
        <w:r>
          <w:rPr>
            <w:rFonts w:ascii="Arial" w:hAnsi="Arial" w:cs="Arial"/>
            <w:color w:val="153D63"/>
            <w:sz w:val="20"/>
            <w:szCs w:val="20"/>
            <w:u w:val="single"/>
          </w:rPr>
          <w:t xml:space="preserve">Microintelligence filing</w:t>
        </w:r>
      </w:hyperlink>
      <w:r>
        <w:rPr>
          <w:rFonts w:ascii="Arial" w:hAnsi="Arial" w:cs="Arial"/>
          <w:color w:val="153D63"/>
          <w:sz w:val="20"/>
          <w:szCs w:val="20"/>
        </w:rPr>
        <w:t xml:space="preserve">; </w:t>
      </w:r>
      <w:hyperlink r:id="rId26">
        <w:r>
          <w:rPr>
            <w:rFonts w:ascii="Arial" w:hAnsi="Arial" w:cs="Arial"/>
            <w:color w:val="153D63"/>
            <w:sz w:val="20"/>
            <w:szCs w:val="20"/>
            <w:u w:val="single"/>
          </w:rPr>
          <w:t xml:space="preserve">Mech-Mind filing</w:t>
        </w:r>
      </w:hyperlink>
      <w:r>
        <w:rPr>
          <w:rFonts w:ascii="Arial" w:hAnsi="Arial" w:cs="Arial"/>
          <w:color w:val="153D63"/>
          <w:sz w:val="20"/>
          <w:szCs w:val="20"/>
        </w:rPr>
        <w:t xml:space="preserve">; </w:t>
      </w:r>
      <w:hyperlink r:id="rId27">
        <w:r>
          <w:rPr>
            <w:rFonts w:ascii="Arial" w:hAnsi="Arial" w:cs="Arial"/>
            <w:color w:val="153D63"/>
            <w:sz w:val="20"/>
            <w:szCs w:val="20"/>
            <w:u w:val="single"/>
          </w:rPr>
          <w:t xml:space="preserve">Dobot FY2025</w:t>
        </w:r>
      </w:hyperlink>
      <w:r>
        <w:rPr>
          <w:rFonts w:ascii="Arial" w:hAnsi="Arial" w:cs="Arial"/>
          <w:color w:val="153D63"/>
          <w:sz w:val="20"/>
          <w:szCs w:val="20"/>
        </w:rPr>
        <w:t xml:space="preserve">; </w:t>
      </w:r>
      <w:hyperlink r:id="rId28">
        <w:r>
          <w:rPr>
            <w:rFonts w:ascii="Arial" w:hAnsi="Arial" w:cs="Arial"/>
            <w:color w:val="153D63"/>
            <w:sz w:val="20"/>
            <w:szCs w:val="20"/>
            <w:u w:val="single"/>
          </w:rPr>
          <w:t xml:space="preserve">Huayan FY2025</w:t>
        </w:r>
      </w:hyperlink>
      <w:r>
        <w:rPr>
          <w:rFonts w:ascii="Arial" w:hAnsi="Arial" w:cs="Arial"/>
          <w:color w:val="153D63"/>
          <w:sz w:val="20"/>
          <w:szCs w:val="20"/>
        </w:rPr>
        <w:t xml:space="preserve">; </w:t>
      </w:r>
      <w:hyperlink r:id="rId29">
        <w:r>
          <w:rPr>
            <w:rFonts w:ascii="Arial" w:hAnsi="Arial" w:cs="Arial"/>
            <w:color w:val="153D63"/>
            <w:sz w:val="20"/>
            <w:szCs w:val="20"/>
            <w:u w:val="single"/>
          </w:rPr>
          <w:t xml:space="preserve">FX parity</w:t>
        </w:r>
      </w:hyperlink>
    </w:p>
    <w:p w14:paraId="1AF2FA83" w14:textId="77777777" w:rsidR="001779E3" w:rsidRDefault="001779E3" w:rsidP="001779E3">
      <w:pPr>
        <w:rPr>
          <w:rFonts w:ascii="Arial" w:eastAsiaTheme="minorEastAsia" w:hAnsi="Arial" w:cs="Arial"/>
          <w:color w:val="153D63"/>
          <w:sz w:val="20"/>
          <w:szCs w:val="20"/>
        </w:rPr>
        <w:spacing w:before="0" w:after="55" w:line="240" w:lineRule="auto"/>
        <w:keepLines/>
      </w:pPr>
      <w:r>
        <w:rPr>
          <w:rFonts w:ascii="Arial" w:hAnsi="Arial" w:cs="Arial"/>
          <w:color w:val="153D63"/>
          <w:sz w:val="20"/>
          <w:szCs w:val="20"/>
          <w:b/>
        </w:rPr>
        <w:t xml:space="preserve">Market data: </w:t>
      </w:r>
      <w:hyperlink r:id="rId30">
        <w:r>
          <w:rPr>
            <w:rFonts w:ascii="Arial" w:hAnsi="Arial" w:cs="Arial"/>
            <w:color w:val="153D63"/>
            <w:sz w:val="20"/>
            <w:szCs w:val="20"/>
            <w:u w:val="single"/>
          </w:rPr>
          <w:t xml:space="preserve">Tencent close snapshot</w:t>
        </w:r>
      </w:hyperlink>
      <w:r>
        <w:rPr>
          <w:rFonts w:ascii="Arial" w:hAnsi="Arial" w:cs="Arial"/>
          <w:color w:val="153D63"/>
          <w:sz w:val="20"/>
          <w:szCs w:val="20"/>
        </w:rPr>
        <w:t xml:space="preserve">; </w:t>
      </w:r>
      <w:hyperlink r:id="rId31">
        <w:r>
          <w:rPr>
            <w:rFonts w:ascii="Arial" w:hAnsi="Arial" w:cs="Arial"/>
            <w:color w:val="153D63"/>
            <w:sz w:val="20"/>
            <w:szCs w:val="20"/>
            <w:u w:val="single"/>
          </w:rPr>
          <w:t xml:space="preserve">Sina cross-check</w:t>
        </w:r>
      </w:hyperlink>
    </w:p>
    <w:sectPr w:rsidR="001779E3" w:rsidRPr="001779E3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2CE49E4"/>
    <w:multiLevelType w:val="hybridMultilevel"/>
    <w:tmpl w:val="87B829EE"/>
    <w:lvl w:ilvl="0" w:tplc="6E682264">
      <w:start w:val="2"/>
      <w:numFmt w:val="bullet"/>
      <w:lvlText w:val="-"/>
      <w:lvlJc w:val="left"/>
      <w:pPr>
        <w:ind w:left="720" w:hanging="360"/>
      </w:pPr>
      <w:rPr>
        <w:rFonts w:ascii="Arial" w:eastAsia="DengXi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659386">
    <w:abstractNumId w:val="8"/>
  </w:num>
  <w:num w:numId="2" w16cid:durableId="248775921">
    <w:abstractNumId w:val="6"/>
  </w:num>
  <w:num w:numId="3" w16cid:durableId="1014383259">
    <w:abstractNumId w:val="5"/>
  </w:num>
  <w:num w:numId="4" w16cid:durableId="223570614">
    <w:abstractNumId w:val="4"/>
  </w:num>
  <w:num w:numId="5" w16cid:durableId="1252543603">
    <w:abstractNumId w:val="7"/>
  </w:num>
  <w:num w:numId="6" w16cid:durableId="1064109539">
    <w:abstractNumId w:val="3"/>
  </w:num>
  <w:num w:numId="7" w16cid:durableId="2063360551">
    <w:abstractNumId w:val="2"/>
  </w:num>
  <w:num w:numId="8" w16cid:durableId="732773102">
    <w:abstractNumId w:val="1"/>
  </w:num>
  <w:num w:numId="9" w16cid:durableId="1621374489">
    <w:abstractNumId w:val="0"/>
  </w:num>
  <w:num w:numId="10" w16cid:durableId="1662268595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5EC"/>
    <w:rsid w:val="0015074B"/>
    <w:rsid w:val="001779E3"/>
    <w:rsid w:val="0029639D"/>
    <w:rsid w:val="00326F90"/>
    <w:rsid w:val="00AA1D8D"/>
    <w:rsid w:val="00AD06F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98ACF3"/>
  <w14:defaultImageDpi w14:val="300"/>
  <w15:docId w15:val="{19D0C469-DB53-4FEC-B251-DC57C00C4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Microsoft JhengHe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A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1779E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xueqiu.com/3075122481/410597135" TargetMode="External"/><Relationship Id="rId13" Type="http://schemas.openxmlformats.org/officeDocument/2006/relationships/hyperlink" Target="https://www.xueqiu.com/3075122481/411479979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xueqiu.com/3075122481/411316419" TargetMode="External"/><Relationship Id="rId12" Type="http://schemas.openxmlformats.org/officeDocument/2006/relationships/hyperlink" Target="https://www.xueqiu.com/4649754500/411783600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xueqiu.com/5710624967/411734921" TargetMode="External"/><Relationship Id="rId11" Type="http://schemas.openxmlformats.org/officeDocument/2006/relationships/hyperlink" Target="https://www.huxiu.com/article/4881452.htm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xueqiu.com/8991898356/36580652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xueqiu.com/3773859662/392911431" TargetMode="External"/><Relationship Id="rId14" Type="http://schemas.openxmlformats.org/officeDocument/2006/relationships/hyperlink" Target="https://www.xueqiu.com/3338215700/357866037" TargetMode="External"/><Relationship Id="rId17" Type="http://schemas.openxmlformats.org/officeDocument/2006/relationships/hyperlink" Target="https://www1.hkexnews.hk/listedco/listconews/sehk/2026/1020/2026102000029.pdf" TargetMode="External"/><Relationship Id="rId18" Type="http://schemas.openxmlformats.org/officeDocument/2006/relationships/hyperlink" Target="https://q.futunn.com/feed/117415434452996" TargetMode="External"/><Relationship Id="rId19" Type="http://schemas.openxmlformats.org/officeDocument/2006/relationships/hyperlink" Target="https://www.xueqiu.com/7274583832/412089663" TargetMode="External"/><Relationship Id="rId20" Type="http://schemas.openxmlformats.org/officeDocument/2006/relationships/hyperlink" Target="https://www.etnet.com.hk/www/tc/stocks/realtime/quote_profit.php?code=02432" TargetMode="External"/><Relationship Id="rId21" Type="http://schemas.openxmlformats.org/officeDocument/2006/relationships/hyperlink" Target="https://pdf.dfcfw.com/pdf/H3_AP202608301828746890_1.pdf" TargetMode="External"/><Relationship Id="rId22" Type="http://schemas.openxmlformats.org/officeDocument/2006/relationships/hyperlink" Target="https://pdf.dfcfw.com/pdf/H3_AP202608311828803718_1.pdf" TargetMode="External"/><Relationship Id="rId23" Type="http://schemas.openxmlformats.org/officeDocument/2006/relationships/hyperlink" Target="https://pdf.dfcfw.com/pdf/H3_AP202609241829841491_1.pdf" TargetMode="External"/><Relationship Id="rId24" Type="http://schemas.openxmlformats.org/officeDocument/2006/relationships/hyperlink" Target="https://pdf.dfcfw.com/pdf/H3_AP202608301828746890_1.pdf" TargetMode="External"/><Relationship Id="rId25" Type="http://schemas.openxmlformats.org/officeDocument/2006/relationships/hyperlink" Target="https://www1.hkexnews.hk/listedco/listconews/sehk/2026/1020/2026102000029.pdf" TargetMode="External"/><Relationship Id="rId26" Type="http://schemas.openxmlformats.org/officeDocument/2006/relationships/hyperlink" Target="https://www1.hkexnews.hk/listedco/listconews/sehk/2026/0824/2026082400017.pdf" TargetMode="External"/><Relationship Id="rId27" Type="http://schemas.openxmlformats.org/officeDocument/2006/relationships/hyperlink" Target="https://www1.hkexnews.hk/listedco/listconews/sehk/2026/0330/2026033001834.pdf" TargetMode="External"/><Relationship Id="rId28" Type="http://schemas.openxmlformats.org/officeDocument/2006/relationships/hyperlink" Target="https://www1.hkexnews.hk/listedco/listconews/sehk/2026/0427/2026042703294.pdf" TargetMode="External"/><Relationship Id="rId29" Type="http://schemas.openxmlformats.org/officeDocument/2006/relationships/hyperlink" Target="https://www.safe.gov.cn/AppStructured/hlw/RMBQuery.do" TargetMode="External"/><Relationship Id="rId30" Type="http://schemas.openxmlformats.org/officeDocument/2006/relationships/hyperlink" Target="https://qt.gtimg.cn/q=hk09615,hk02715,hk02432,hk01021,sh688686,sh688003,sz002747" TargetMode="External"/><Relationship Id="rId31" Type="http://schemas.openxmlformats.org/officeDocument/2006/relationships/hyperlink" Target="https://hq.sinajs.cn/list=rt_hk09615,rt_hk02715,rt_hk02432,rt_hk01021,sh688686,sh688003,sz0027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9133a70-897c-4909-bbcd-cb29bcf187fc}" enabled="1" method="Standard" siteId="{4f5ffafc-2407-4998-9cda-2524c60b901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5</Pages>
  <Words>778</Words>
  <Characters>4440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Tam, Kenny (GM/HK)</cp:lastModifiedBy>
  <cp:revision>2</cp:revision>
  <dcterms:created xsi:type="dcterms:W3CDTF">2026-10-13T09:37:00Z</dcterms:created>
  <dcterms:modified xsi:type="dcterms:W3CDTF">2026-10-13T09:37:00Z</dcterms:modified>
  <cp:category/>
</cp:coreProperties>
</file>