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Written 27 Aug 2026, Medcaptain added 30 Aug  ·  SHEIN &amp; Mech-Mind list Mon 1 Sep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Plus quick ones on Ingenic (interims Saturday) and Medcaptain, a new medtech deal open now — we'd pass on it.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And think about what each profit dollar actually is: PDD's is a platform take-rate at ~20% net margin; SHEIN's is 1P retail at 4.9% — and it halved the moment one customs rule changed. Lower-quality earnings shouldn't cost more.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64.6%</w:t>
      </w:r>
      <w:r>
        <w:t xml:space="preserve"> in 2025, and the path there matters: 39.1% → 51.1% → 64.6%, holding at 64.8% in Q1'26 (all filed in the PHIP). For scale, Rokae runs ~22% blended — 34.8% on cobots, 21.6% on industrial arms, just 10.7% on its embodied arms. The gap isn't branding and it isn't 'AI' as a slogan. An arm's selling price is mostly its bill of materials — reducers, servos, castings — sold into a price war among dozens of makers. A vision system's price is mostly software, sold by the company holding 27% global share. Margin is simply what pricing power looks like once it hits the accounts.</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three times Rokae's gross margin (</w:t>
      </w:r>
      <w:r>
        <w:rPr>
          <w:b/>
        </w:rPr>
        <w:t>64.6% vs 21.9%</w:t>
      </w:r>
      <w:r>
        <w:t xml:space="preserve">, both prospectus-filed) screens relatively cheap. Run it in gross-profit terms and the point is stark: at the same P/S you're paying roughly </w:t>
      </w:r>
      <w:r>
        <w:rPr>
          <w:b/>
        </w:rPr>
        <w:t>45x gross profit for Mech-Mind versus ~130x for Rokae</w:t>
      </w:r>
      <w:r>
        <w:t xml:space="preserve"> — three times more per dollar of gross profit for the hardware name. That relative 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(3223 HK) — the print landed, close-out</w:t>
      </w:r>
    </w:p>
    <w:p>
      <w:r>
        <w:t>New H-listing from Monday, results out Saturday — so keeping this short and practical.</w:t>
      </w:r>
    </w:p>
    <w:p>
      <w:pPr>
        <w:pStyle w:val="Heading2"/>
      </w:pPr>
      <w:r>
        <w:t>What you need to know</w:t>
      </w:r>
    </w:p>
    <w:p>
      <w:pPr>
        <w:pStyle w:val="ListBullet"/>
      </w:pPr>
      <w:r>
        <w:t xml:space="preserve">Despite the CPU history, this is a </w:t>
      </w:r>
      <w:r>
        <w:rPr>
          <w:b/>
        </w:rPr>
        <w:t>memory company</w:t>
      </w:r>
      <w:r>
        <w:t>: 61% of revenue is auto/industrial SRAM (global #1 in auto SRAM), niche DRAM and NOR flash, with camera SoCs and some analog around it. Treat it as a leveraged play on legacy memory pricing.</w:t>
      </w:r>
    </w:p>
    <w:p>
      <w:pPr>
        <w:pStyle w:val="ListBullet"/>
      </w:pPr>
      <w:r>
        <w:t xml:space="preserve">And legacy memory is on fire. Samsung, Hynix and Micron walked away from DDR4 to build HBM, the stuff went into shortage, spot rose another 17% in July. Ingenic reprices quarterly with a lag and is sitting on roughly a year of old-cost inventory — so while prices rise, every quarter's margin beats the last. Q1 profit was +332%; H1 is guided </w:t>
      </w:r>
      <w:r>
        <w:rPr>
          <w:b/>
        </w:rPr>
        <w:t>+431–531% (RMB 1.08–1.28bn — versus 375m for all of last year)</w:t>
      </w:r>
      <w:r>
        <w:t>.</w:t>
      </w:r>
    </w:p>
    <w:p>
      <w:pPr>
        <w:pStyle w:val="Heading2"/>
      </w:pPr>
      <w:r>
        <w:t>Saturday's print — what the buyside is watching</w:t>
      </w:r>
    </w:p>
    <w:p>
      <w:pPr>
        <w:pStyle w:val="ListBullet"/>
      </w:pPr>
      <w:r>
        <w:t xml:space="preserve">Revenue (+77%) and the profit range are already public, so the print itself is about three things: </w:t>
      </w:r>
      <w:r>
        <w:rPr>
          <w:b/>
        </w:rPr>
        <w:t>Q2 gross margin</w:t>
      </w:r>
      <w:r>
        <w:t xml:space="preserve"> (Q1 was 43% blended, memory 39% — the street wants memory in the mid-40s), </w:t>
      </w:r>
      <w:r>
        <w:rPr>
          <w:b/>
        </w:rPr>
        <w:t>inventory</w:t>
      </w:r>
      <w:r>
        <w:t xml:space="preserve"> (drawing down into strength, or still building), and whether management repeats that </w:t>
      </w:r>
      <w:r>
        <w:rPr>
          <w:b/>
        </w:rPr>
        <w:t>Q3/Q4 hikes are still coming</w:t>
      </w:r>
      <w:r>
        <w:t>.</w:t>
      </w:r>
    </w:p>
    <w:p>
      <w:pPr>
        <w:pStyle w:val="ListBullet"/>
      </w:pPr>
      <w:r>
        <w:rPr>
          <w:b/>
        </w:rPr>
        <w:t>Buyside expectation is top of the guided range, ~RMB 1.25bn</w:t>
      </w:r>
      <w:r>
        <w:t xml:space="preserve"> — the range was set 13 Jul and spot kept climbing after that, so mid-range would actually read as a miss. Screen consensus is stale (still shows less for the full year than H1 alone could print) — ignore it, the whisper is the bar.</w:t>
      </w:r>
    </w:p>
    <w:p>
      <w:pPr>
        <w:pStyle w:val="ListBullet"/>
      </w:pPr>
      <w:r>
        <w:t>Positioning is cleaner than you'd guess: the stock is ~35% off its July high, margin longs got flushed, and the +77% revenue disclosure was *sold* on the day. The fast money already left. That's the GigaDevice setup — it fell seven straight days into its print, then went limit-up on the actual numbers.</w:t>
      </w:r>
    </w:p>
    <w:p>
      <w:pPr>
        <w:pStyle w:val="ListBullet"/>
      </w:pPr>
      <w:r>
        <w:rPr>
          <w:b/>
        </w:rPr>
        <w:t>Our number: H1 ~1.20–1.25bn, Q2 gross margin 46–48%. Slight positive lean into Monday.</w:t>
      </w:r>
      <w:r>
        <w:t xml:space="preserve"> The risk case is mid-range profit with memory margin stuck near 40 — then sell-the-fact wins the day.</w:t>
      </w:r>
    </w:p>
    <w:p>
      <w:pPr>
        <w:pStyle w:val="Heading2"/>
      </w:pPr>
      <w:r>
        <w:t>Update — results are in (1 Sep)</w:t>
      </w:r>
    </w:p>
    <w:p>
      <w:pPr>
        <w:pStyle w:val="ListBullet"/>
      </w:pPr>
      <w:r>
        <w:t xml:space="preserve">H1 profit printed </w:t>
      </w:r>
      <w:r>
        <w:rPr>
          <w:b/>
        </w:rPr>
        <w:t>RMB 1,198m, +490%</w:t>
      </w:r>
      <w:r>
        <w:t xml:space="preserve"> — mid-upper of the guided range, a touch under the top-of-range whisper (and a hair below our 1.20–1.25bn call). But the quality was there: revenue +76%, and </w:t>
      </w:r>
      <w:r>
        <w:rPr>
          <w:b/>
        </w:rPr>
        <w:t>operating cash flow positive at RMB 959m</w:t>
      </w:r>
      <w:r>
        <w:t xml:space="preserve"> — the margins are real and the cash confirms it. No sell-the-fact: Monday the A closed +3.1%, the H +2.6% at HK$101.50, still holding just above the HK$100 issue price.</w:t>
      </w:r>
    </w:p>
    <w:p>
      <w:pPr>
        <w:pStyle w:val="ListBullet"/>
      </w:pPr>
      <w:r>
        <w:t>Nothing changes in the view: it's the cycle trade at ~19x, and the next thing that matters is Q3 hike confirmation. Worth keeping on because of Longsys below — Ingenic is now the control case for what a *good* memory business looks like in this cycle.</w:t>
      </w:r>
    </w:p>
    <w:p>
      <w:pPr>
        <w:pStyle w:val="Heading2"/>
      </w:pPr>
      <w:r>
        <w:t>Valuation</w:t>
      </w:r>
    </w:p>
    <w:p>
      <w:pPr>
        <w:pStyle w:val="ListBullet"/>
      </w:pPr>
      <w:r>
        <w:t xml:space="preserve">At ~HK$101 the H costs about </w:t>
      </w:r>
      <w:r>
        <w:rPr>
          <w:b/>
        </w:rPr>
        <w:t>19x this year's annualised earnings</w:t>
      </w:r>
      <w:r>
        <w:t>. GigaDevice — same cycle, just printed H1 +1,092% — trades at 36x. Montage is over 100x. Global memory (Micron, Winbond) sits around 20x forward. So: not expensive against the China cohort, in line with global.</w:t>
      </w:r>
    </w:p>
    <w:p>
      <w:pPr>
        <w:pStyle w:val="ListBullet"/>
      </w:pPr>
      <w:r>
        <w:t xml:space="preserve">Just be clear what you own at 19x: </w:t>
      </w:r>
      <w:r>
        <w:rPr>
          <w:b/>
        </w:rPr>
        <w:t>a cycle position, not a value stock</w:t>
      </w:r>
      <w:r>
        <w:t>. The company itself says it can't see past mid-2027, Taiwan is already muttering about a Q4 margin-defence war, and the same year of cheap inventory driving the beats becomes the writedown when prices roll. Trade the print and the hikes; don't marry it.</w:t>
      </w:r>
    </w:p>
    <w:p>
      <w:pPr>
        <w:pStyle w:val="Heading1"/>
      </w:pPr>
      <w:r>
        <w:t>4. Medcaptain (2041 HK) — new deal, book open now</w:t>
      </w:r>
    </w:p>
    <w:p>
      <w:r>
        <w:t>Medtech deal launched Friday: closes Wed 2 Sep, grey market 4 Sep, lists Mon 7 Sep. Fixed price HK$15.42 (no range), ~HK$600m raise, ~HK$8.3bn market cap, Morgan Stanley and Huatai running it. Entry ticket is small, HK$1,558 a lot.</w:t>
      </w:r>
    </w:p>
    <w:p>
      <w:pPr>
        <w:pStyle w:val="Heading2"/>
      </w:pPr>
      <w:r>
        <w:t>What you need to know</w:t>
      </w:r>
    </w:p>
    <w:p>
      <w:pPr>
        <w:pStyle w:val="ListBullet"/>
      </w:pPr>
      <w:r>
        <w:t>The pitch is 'mini-Mindray': the chairman is Mindray's ex-CFO/COO, five of seven senior managers are ex-Mindray, and Hillhouse owns 21% pre-IPO. It's China #1 in infusion workstations (every year since 2018), ~90% of top-tier hospitals as customers, nearly half of revenue overseas, 54% gross margin.</w:t>
      </w:r>
    </w:p>
    <w:p>
      <w:pPr>
        <w:pStyle w:val="ListBullet"/>
      </w:pPr>
      <w:r>
        <w:t xml:space="preserve">But the shape of the business is an M&amp;A roll-up, and it shows. Half of revenue is GI endoscopy consumables that came with one acquisition — and the goodwill on the balance sheet equals </w:t>
      </w:r>
      <w:r>
        <w:rPr>
          <w:b/>
        </w:rPr>
        <w:t>half of net assets</w:t>
      </w:r>
      <w:r>
        <w:t>, mostly booked against that same unit. The UK anaesthesia business (Penlon) is shrinking. 83% of sales go through distributors.</w:t>
      </w:r>
    </w:p>
    <w:p>
      <w:pPr>
        <w:pStyle w:val="ListBullet"/>
      </w:pPr>
      <w:r>
        <w:t xml:space="preserve">Earnings are barely there: first-ever profit in 2025 (RMB 51m on RMB 1.62bn revenue — a 3% margin; RMB 129m on the adjusted basis), and </w:t>
      </w:r>
      <w:r>
        <w:rPr>
          <w:b/>
        </w:rPr>
        <w:t>Q1 2026 already slipped back to a small loss</w:t>
      </w:r>
      <w:r>
        <w:t>. Revenue growth is mid-teens, not the 39% CAGR in the marketing material — that figure is adjusted EBITDA, read the footnote.</w:t>
      </w:r>
    </w:p>
    <w:p>
      <w:pPr>
        <w:pStyle w:val="ListBullet"/>
      </w:pPr>
      <w:r>
        <w:t xml:space="preserve">And the deal structure is bare: </w:t>
      </w:r>
      <w:r>
        <w:rPr>
          <w:b/>
        </w:rPr>
        <w:t>no cornerstones, no greenshoe, no stabilising agent</w:t>
      </w:r>
      <w:r>
        <w:t xml:space="preserve"> — on a fixed price. Day one the book looked tepid (~7x margin cover). Then the weekend happened: </w:t>
      </w:r>
      <w:r>
        <w:rPr>
          <w:b/>
        </w:rPr>
        <w:t>~53x by Sunday midday and climbing</w:t>
      </w:r>
      <w:r>
        <w:t>. With free float at just 7.2% of the company and the public tranche capped at 15% even on a monster book, the debut mechanics now look like the micro-float medtech squeezes (Tianxing +116% day 1, Truehealth +217%) rather than the cold deal Friday suggested.</w:t>
      </w:r>
    </w:p>
    <w:p>
      <w:pPr>
        <w:pStyle w:val="ListBullet"/>
      </w:pPr>
      <w:r>
        <w:t xml:space="preserve">Three things from the deeper dig that sharpen the picture. First, </w:t>
      </w:r>
      <w:r>
        <w:rPr>
          <w:b/>
        </w:rPr>
        <w:t>VBP isn't a hypothetical here</w:t>
      </w:r>
      <w:r>
        <w:t xml:space="preserve"> — the GI segment's hemostatic clips already went through the Beijing-Tianjin-Hebei alliance tender in April 2024 (its unit won, at prices ~25% lower), and segment growth promptly halved from +23% (2024) to +13% (2025). Second, </w:t>
      </w:r>
      <w:r>
        <w:rPr>
          <w:b/>
        </w:rPr>
        <w:t>Penlon is genuinely struggling</w:t>
      </w:r>
      <w:r>
        <w:t>: revenue −16% last year, Q1 gross margin 18.4% against the group's 54%. Third, the goodwill story is worse up close: they paid RMB 1.7bn for the GI business — ~22% above a valuation the CSRC had blocked a year earlier — and the goodwill sitting on it equals ~18x that unit's annual profit.</w:t>
      </w:r>
    </w:p>
    <w:p>
      <w:pPr>
        <w:pStyle w:val="ListBullet"/>
      </w:pPr>
      <w:r>
        <w:t xml:space="preserve">On the plus side: 2025 was the first year of </w:t>
      </w:r>
      <w:r>
        <w:rPr>
          <w:b/>
        </w:rPr>
        <w:t>positive operating cash flow (+RMB 204m)</w:t>
      </w:r>
      <w:r>
        <w:t>, Q1's adjusted net margin was 7.9% (the IFRS loss is share-based comp plus listing costs), and the H1 interim — due shortly after the Sep 7 listing — is the first catalyst either way.</w:t>
      </w:r>
    </w:p>
    <w:p>
      <w:pPr>
        <w:pStyle w:val="Heading2"/>
      </w:pPr>
      <w:r>
        <w:t>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sz w:val="19"/>
              </w:rPr>
            </w:r>
          </w:p>
        </w:tc>
        <w:tc>
          <w:tcPr>
            <w:tcW w:type="dxa" w:w="2160"/>
          </w:tcPr>
          <w:p>
            <w:r/>
            <w:r>
              <w:rPr>
                <w:b/>
                <w:sz w:val="19"/>
              </w:rPr>
              <w:t>Trail P/E</w:t>
            </w:r>
          </w:p>
        </w:tc>
        <w:tc>
          <w:tcPr>
            <w:tcW w:type="dxa" w:w="1440"/>
          </w:tcPr>
          <w:p>
            <w:r/>
            <w:r>
              <w:rPr>
                <w:b/>
                <w:sz w:val="19"/>
              </w:rPr>
              <w:t>P/S</w:t>
            </w:r>
          </w:p>
        </w:tc>
        <w:tc>
          <w:tcPr>
            <w:tcW w:type="dxa" w:w="1296"/>
          </w:tcPr>
          <w:p>
            <w:r/>
            <w:r>
              <w:rPr>
                <w:b/>
                <w:sz w:val="19"/>
              </w:rPr>
              <w:t>Rev growth</w:t>
            </w:r>
          </w:p>
        </w:tc>
        <w:tc>
          <w:tcPr>
            <w:tcW w:type="dxa" w:w="1296"/>
          </w:tcPr>
          <w:p>
            <w:r/>
            <w:r>
              <w:rPr>
                <w:b/>
                <w:sz w:val="19"/>
              </w:rPr>
              <w:t>vs IPO</w:t>
            </w:r>
          </w:p>
        </w:tc>
        <w:tc>
          <w:tcPr>
            <w:tcW w:type="dxa" w:w="2448"/>
          </w:tcPr>
          <w:p>
            <w:r/>
            <w:r>
              <w:rPr>
                <w:b/>
                <w:sz w:val="19"/>
              </w:rPr>
              <w:t>Note</w:t>
            </w:r>
          </w:p>
        </w:tc>
      </w:tr>
      <w:tr>
        <w:tc>
          <w:tcPr>
            <w:tcW w:type="dxa" w:w="2880"/>
          </w:tcPr>
          <w:p>
            <w:r>
              <w:rPr>
                <w:sz w:val="19"/>
              </w:rPr>
            </w:r>
            <w:r>
              <w:rPr>
                <w:b/>
                <w:sz w:val="19"/>
              </w:rPr>
              <w:t>Medcaptain @ HK$15.42</w:t>
            </w:r>
          </w:p>
        </w:tc>
        <w:tc>
          <w:tcPr>
            <w:tcW w:type="dxa" w:w="2160"/>
          </w:tcPr>
          <w:p>
            <w:r>
              <w:rPr>
                <w:sz w:val="19"/>
              </w:rPr>
            </w:r>
            <w:r>
              <w:rPr>
                <w:b/>
                <w:sz w:val="19"/>
              </w:rPr>
              <w:t>~150x IFRS / ~59x adj.</w:t>
            </w:r>
          </w:p>
        </w:tc>
        <w:tc>
          <w:tcPr>
            <w:tcW w:type="dxa" w:w="1440"/>
          </w:tcPr>
          <w:p>
            <w:r>
              <w:rPr>
                <w:sz w:val="19"/>
              </w:rPr>
            </w:r>
            <w:r>
              <w:rPr>
                <w:b/>
                <w:sz w:val="19"/>
              </w:rPr>
              <w:t>4.7x</w:t>
            </w:r>
          </w:p>
        </w:tc>
        <w:tc>
          <w:tcPr>
            <w:tcW w:type="dxa" w:w="1296"/>
          </w:tcPr>
          <w:p>
            <w:r>
              <w:rPr>
                <w:sz w:val="19"/>
              </w:rPr>
            </w:r>
            <w:r>
              <w:rPr>
                <w:sz w:val="19"/>
              </w:rPr>
              <w:t>+16%</w:t>
            </w:r>
          </w:p>
        </w:tc>
        <w:tc>
          <w:tcPr>
            <w:tcW w:type="dxa" w:w="1296"/>
          </w:tcPr>
          <w:p>
            <w:r>
              <w:rPr>
                <w:sz w:val="19"/>
              </w:rPr>
            </w:r>
            <w:r>
              <w:rPr>
                <w:sz w:val="19"/>
              </w:rPr>
              <w:t>—</w:t>
            </w:r>
          </w:p>
        </w:tc>
        <w:tc>
          <w:tcPr>
            <w:tcW w:type="dxa" w:w="2448"/>
          </w:tcPr>
          <w:p>
            <w:r>
              <w:rPr>
                <w:sz w:val="19"/>
              </w:rPr>
            </w:r>
            <w:r>
              <w:rPr>
                <w:sz w:val="19"/>
              </w:rPr>
              <w:t>3% net margin (8% adj.)</w:t>
            </w:r>
          </w:p>
        </w:tc>
      </w:tr>
      <w:tr>
        <w:tc>
          <w:tcPr>
            <w:tcW w:type="dxa" w:w="2880"/>
          </w:tcPr>
          <w:p>
            <w:r>
              <w:rPr>
                <w:sz w:val="19"/>
              </w:rPr>
            </w:r>
            <w:r>
              <w:rPr>
                <w:b/>
                <w:sz w:val="19"/>
              </w:rPr>
              <w:t>Micro-Tech 南微 (direct comp)</w:t>
            </w:r>
          </w:p>
        </w:tc>
        <w:tc>
          <w:tcPr>
            <w:tcW w:type="dxa" w:w="2160"/>
          </w:tcPr>
          <w:p>
            <w:r>
              <w:rPr>
                <w:sz w:val="19"/>
              </w:rPr>
            </w:r>
            <w:r>
              <w:rPr>
                <w:sz w:val="19"/>
              </w:rPr>
              <w:t>28.5x</w:t>
            </w:r>
          </w:p>
        </w:tc>
        <w:tc>
          <w:tcPr>
            <w:tcW w:type="dxa" w:w="1440"/>
          </w:tcPr>
          <w:p>
            <w:r>
              <w:rPr>
                <w:sz w:val="19"/>
              </w:rPr>
            </w:r>
            <w:r>
              <w:rPr>
                <w:sz w:val="19"/>
              </w:rPr>
              <w:t>4.3x</w:t>
            </w:r>
          </w:p>
        </w:tc>
        <w:tc>
          <w:tcPr>
            <w:tcW w:type="dxa" w:w="1296"/>
          </w:tcPr>
          <w:p>
            <w:r>
              <w:rPr>
                <w:sz w:val="19"/>
              </w:rPr>
            </w:r>
            <w:r>
              <w:rPr>
                <w:sz w:val="19"/>
              </w:rPr>
              <w:t>+12%</w:t>
            </w:r>
          </w:p>
        </w:tc>
        <w:tc>
          <w:tcPr>
            <w:tcW w:type="dxa" w:w="1296"/>
          </w:tcPr>
          <w:p>
            <w:r>
              <w:rPr>
                <w:sz w:val="19"/>
              </w:rPr>
            </w:r>
            <w:r>
              <w:rPr>
                <w:sz w:val="19"/>
              </w:rPr>
              <w:t>—</w:t>
            </w:r>
          </w:p>
        </w:tc>
        <w:tc>
          <w:tcPr>
            <w:tcW w:type="dxa" w:w="2448"/>
          </w:tcPr>
          <w:p>
            <w:r>
              <w:rPr>
                <w:sz w:val="19"/>
              </w:rPr>
            </w:r>
            <w:r>
              <w:rPr>
                <w:sz w:val="19"/>
              </w:rPr>
              <w:t>15% margin, same VBP</w:t>
            </w:r>
          </w:p>
        </w:tc>
      </w:tr>
      <w:tr>
        <w:tc>
          <w:tcPr>
            <w:tcW w:type="dxa" w:w="2880"/>
          </w:tcPr>
          <w:p>
            <w:r>
              <w:rPr>
                <w:sz w:val="19"/>
              </w:rPr>
            </w:r>
            <w:r>
              <w:rPr>
                <w:sz w:val="19"/>
              </w:rPr>
              <w:t>Mindray 300760</w:t>
            </w:r>
          </w:p>
        </w:tc>
        <w:tc>
          <w:tcPr>
            <w:tcW w:type="dxa" w:w="2160"/>
          </w:tcPr>
          <w:p>
            <w:r>
              <w:rPr>
                <w:sz w:val="19"/>
              </w:rPr>
            </w:r>
            <w:r>
              <w:rPr>
                <w:sz w:val="19"/>
              </w:rPr>
              <w:t>25.5x</w:t>
            </w:r>
          </w:p>
        </w:tc>
        <w:tc>
          <w:tcPr>
            <w:tcW w:type="dxa" w:w="1440"/>
          </w:tcPr>
          <w:p>
            <w:r>
              <w:rPr>
                <w:sz w:val="19"/>
              </w:rPr>
            </w:r>
            <w:r>
              <w:rPr>
                <w:sz w:val="19"/>
              </w:rPr>
              <w:t>5.8x</w:t>
            </w:r>
          </w:p>
        </w:tc>
        <w:tc>
          <w:tcPr>
            <w:tcW w:type="dxa" w:w="1296"/>
          </w:tcPr>
          <w:p>
            <w:r>
              <w:rPr>
                <w:sz w:val="19"/>
              </w:rPr>
            </w:r>
            <w:r>
              <w:rPr>
                <w:sz w:val="19"/>
              </w:rPr>
              <w:t>+4%</w:t>
            </w:r>
          </w:p>
        </w:tc>
        <w:tc>
          <w:tcPr>
            <w:tcW w:type="dxa" w:w="1296"/>
          </w:tcPr>
          <w:p>
            <w:r>
              <w:rPr>
                <w:sz w:val="19"/>
              </w:rPr>
            </w:r>
            <w:r>
              <w:rPr>
                <w:sz w:val="19"/>
              </w:rPr>
              <w:t>—</w:t>
            </w:r>
          </w:p>
        </w:tc>
        <w:tc>
          <w:tcPr>
            <w:tcW w:type="dxa" w:w="2448"/>
          </w:tcPr>
          <w:p>
            <w:r>
              <w:rPr>
                <w:sz w:val="19"/>
              </w:rPr>
            </w:r>
            <w:r>
              <w:rPr>
                <w:sz w:val="19"/>
              </w:rPr>
              <w:t>the quality anchor</w:t>
            </w:r>
          </w:p>
        </w:tc>
      </w:tr>
      <w:tr>
        <w:tc>
          <w:tcPr>
            <w:tcW w:type="dxa" w:w="2880"/>
          </w:tcPr>
          <w:p>
            <w:r>
              <w:rPr>
                <w:sz w:val="19"/>
              </w:rPr>
            </w:r>
            <w:r>
              <w:rPr>
                <w:sz w:val="19"/>
              </w:rPr>
              <w:t>AK Medical 1789</w:t>
            </w:r>
          </w:p>
        </w:tc>
        <w:tc>
          <w:tcPr>
            <w:tcW w:type="dxa" w:w="2160"/>
          </w:tcPr>
          <w:p>
            <w:r>
              <w:rPr>
                <w:sz w:val="19"/>
              </w:rPr>
            </w:r>
            <w:r>
              <w:rPr>
                <w:sz w:val="19"/>
              </w:rPr>
              <w:t>13.2x</w:t>
            </w:r>
          </w:p>
        </w:tc>
        <w:tc>
          <w:tcPr>
            <w:tcW w:type="dxa" w:w="1440"/>
          </w:tcPr>
          <w:p>
            <w:r>
              <w:rPr>
                <w:sz w:val="19"/>
              </w:rPr>
            </w:r>
            <w:r>
              <w:rPr>
                <w:sz w:val="19"/>
              </w:rPr>
              <w:t>3.1x</w:t>
            </w:r>
          </w:p>
        </w:tc>
        <w:tc>
          <w:tcPr>
            <w:tcW w:type="dxa" w:w="1296"/>
          </w:tcPr>
          <w:p>
            <w:r>
              <w:rPr>
                <w:sz w:val="19"/>
              </w:rPr>
            </w:r>
            <w:r>
              <w:rPr>
                <w:sz w:val="19"/>
              </w:rPr>
              <w:t>+12%</w:t>
            </w:r>
          </w:p>
        </w:tc>
        <w:tc>
          <w:tcPr>
            <w:tcW w:type="dxa" w:w="1296"/>
          </w:tcPr>
          <w:p>
            <w:r>
              <w:rPr>
                <w:sz w:val="19"/>
              </w:rPr>
            </w:r>
            <w:r>
              <w:rPr>
                <w:sz w:val="19"/>
              </w:rPr>
              <w:t>—</w:t>
            </w:r>
          </w:p>
        </w:tc>
        <w:tc>
          <w:tcPr>
            <w:tcW w:type="dxa" w:w="2448"/>
          </w:tcPr>
          <w:p>
            <w:r>
              <w:rPr>
                <w:sz w:val="19"/>
              </w:rPr>
            </w:r>
          </w:p>
        </w:tc>
      </w:tr>
      <w:tr>
        <w:tc>
          <w:tcPr>
            <w:tcW w:type="dxa" w:w="2880"/>
          </w:tcPr>
          <w:p>
            <w:r>
              <w:rPr>
                <w:sz w:val="19"/>
              </w:rPr>
            </w:r>
            <w:r>
              <w:rPr>
                <w:sz w:val="19"/>
              </w:rPr>
              <w:t>Weigao 1066</w:t>
            </w:r>
          </w:p>
        </w:tc>
        <w:tc>
          <w:tcPr>
            <w:tcW w:type="dxa" w:w="2160"/>
          </w:tcPr>
          <w:p>
            <w:r>
              <w:rPr>
                <w:sz w:val="19"/>
              </w:rPr>
            </w:r>
            <w:r>
              <w:rPr>
                <w:sz w:val="19"/>
              </w:rPr>
              <w:t>9.5x</w:t>
            </w:r>
          </w:p>
        </w:tc>
        <w:tc>
          <w:tcPr>
            <w:tcW w:type="dxa" w:w="1440"/>
          </w:tcPr>
          <w:p>
            <w:r>
              <w:rPr>
                <w:sz w:val="19"/>
              </w:rPr>
            </w:r>
            <w:r>
              <w:rPr>
                <w:sz w:val="19"/>
              </w:rPr>
              <w:t>~1.0x</w:t>
            </w:r>
          </w:p>
        </w:tc>
        <w:tc>
          <w:tcPr>
            <w:tcW w:type="dxa" w:w="1296"/>
          </w:tcPr>
          <w:p>
            <w:r>
              <w:rPr>
                <w:sz w:val="19"/>
              </w:rPr>
            </w:r>
            <w:r>
              <w:rPr>
                <w:sz w:val="19"/>
              </w:rPr>
              <w:t>+4%</w:t>
            </w:r>
          </w:p>
        </w:tc>
        <w:tc>
          <w:tcPr>
            <w:tcW w:type="dxa" w:w="1296"/>
          </w:tcPr>
          <w:p>
            <w:r>
              <w:rPr>
                <w:sz w:val="19"/>
              </w:rPr>
            </w:r>
            <w:r>
              <w:rPr>
                <w:sz w:val="19"/>
              </w:rPr>
              <w:t>—</w:t>
            </w:r>
          </w:p>
        </w:tc>
        <w:tc>
          <w:tcPr>
            <w:tcW w:type="dxa" w:w="2448"/>
          </w:tcPr>
          <w:p>
            <w:r>
              <w:rPr>
                <w:sz w:val="19"/>
              </w:rPr>
            </w:r>
            <w:r>
              <w:rPr>
                <w:sz w:val="19"/>
              </w:rPr>
              <w:t>distributor model, like-for-like channel</w:t>
            </w:r>
          </w:p>
        </w:tc>
      </w:tr>
      <w:tr>
        <w:tc>
          <w:tcPr>
            <w:tcW w:type="dxa" w:w="2880"/>
          </w:tcPr>
          <w:p>
            <w:r>
              <w:rPr>
                <w:sz w:val="19"/>
              </w:rPr>
            </w:r>
            <w:r>
              <w:rPr>
                <w:sz w:val="19"/>
              </w:rPr>
              <w:t>Boston Scientific</w:t>
            </w:r>
          </w:p>
        </w:tc>
        <w:tc>
          <w:tcPr>
            <w:tcW w:type="dxa" w:w="2160"/>
          </w:tcPr>
          <w:p>
            <w:r>
              <w:rPr>
                <w:sz w:val="19"/>
              </w:rPr>
            </w:r>
            <w:r>
              <w:rPr>
                <w:sz w:val="19"/>
              </w:rPr>
              <w:t>19x</w:t>
            </w:r>
          </w:p>
        </w:tc>
        <w:tc>
          <w:tcPr>
            <w:tcW w:type="dxa" w:w="1440"/>
          </w:tcPr>
          <w:p>
            <w:r>
              <w:rPr>
                <w:sz w:val="19"/>
              </w:rPr>
            </w:r>
            <w:r>
              <w:rPr>
                <w:sz w:val="19"/>
              </w:rPr>
              <w:t>3.2x</w:t>
            </w:r>
          </w:p>
        </w:tc>
        <w:tc>
          <w:tcPr>
            <w:tcW w:type="dxa" w:w="1296"/>
          </w:tcPr>
          <w:p>
            <w:r>
              <w:rPr>
                <w:sz w:val="19"/>
              </w:rPr>
            </w:r>
            <w:r>
              <w:rPr>
                <w:sz w:val="19"/>
              </w:rPr>
              <w:t>+13%</w:t>
            </w:r>
          </w:p>
        </w:tc>
        <w:tc>
          <w:tcPr>
            <w:tcW w:type="dxa" w:w="1296"/>
          </w:tcPr>
          <w:p>
            <w:r>
              <w:rPr>
                <w:sz w:val="19"/>
              </w:rPr>
            </w:r>
            <w:r>
              <w:rPr>
                <w:sz w:val="19"/>
              </w:rPr>
              <w:t>—</w:t>
            </w:r>
          </w:p>
        </w:tc>
        <w:tc>
          <w:tcPr>
            <w:tcW w:type="dxa" w:w="2448"/>
          </w:tcPr>
          <w:p>
            <w:r>
              <w:rPr>
                <w:sz w:val="19"/>
              </w:rPr>
            </w:r>
            <w:r>
              <w:rPr>
                <w:sz w:val="19"/>
              </w:rPr>
              <w:t>global GI anchor</w:t>
            </w:r>
          </w:p>
        </w:tc>
      </w:tr>
      <w:tr>
        <w:tc>
          <w:tcPr>
            <w:tcW w:type="dxa" w:w="2880"/>
          </w:tcPr>
          <w:p>
            <w:r>
              <w:rPr>
                <w:sz w:val="19"/>
              </w:rPr>
            </w:r>
            <w:r>
              <w:rPr>
                <w:sz w:val="19"/>
              </w:rPr>
              <w:t>— the recently listed HK shelf —</w:t>
            </w:r>
          </w:p>
        </w:tc>
        <w:tc>
          <w:tcPr>
            <w:tcW w:type="dxa" w:w="2160"/>
          </w:tcPr>
          <w:p>
            <w:r>
              <w:rPr>
                <w:sz w:val="19"/>
              </w:rPr>
            </w:r>
          </w:p>
        </w:tc>
        <w:tc>
          <w:tcPr>
            <w:tcW w:type="dxa" w:w="1440"/>
          </w:tcPr>
          <w:p>
            <w:r>
              <w:rPr>
                <w:sz w:val="19"/>
              </w:rPr>
            </w:r>
          </w:p>
        </w:tc>
        <w:tc>
          <w:tcPr>
            <w:tcW w:type="dxa" w:w="1296"/>
          </w:tcPr>
          <w:p>
            <w:r>
              <w:rPr>
                <w:sz w:val="19"/>
              </w:rPr>
            </w:r>
          </w:p>
        </w:tc>
        <w:tc>
          <w:tcPr>
            <w:tcW w:type="dxa" w:w="1296"/>
          </w:tcPr>
          <w:p>
            <w:r>
              <w:rPr>
                <w:sz w:val="19"/>
              </w:rPr>
            </w:r>
          </w:p>
        </w:tc>
        <w:tc>
          <w:tcPr>
            <w:tcW w:type="dxa" w:w="2448"/>
          </w:tcPr>
          <w:p>
            <w:r>
              <w:rPr>
                <w:sz w:val="19"/>
              </w:rPr>
            </w:r>
          </w:p>
        </w:tc>
      </w:tr>
      <w:tr>
        <w:tc>
          <w:tcPr>
            <w:tcW w:type="dxa" w:w="2880"/>
          </w:tcPr>
          <w:p>
            <w:r>
              <w:rPr>
                <w:sz w:val="19"/>
              </w:rPr>
            </w:r>
            <w:r>
              <w:rPr>
                <w:sz w:val="19"/>
              </w:rPr>
              <w:t>Star Sports Med 1609</w:t>
            </w:r>
          </w:p>
        </w:tc>
        <w:tc>
          <w:tcPr>
            <w:tcW w:type="dxa" w:w="2160"/>
          </w:tcPr>
          <w:p>
            <w:r>
              <w:rPr>
                <w:sz w:val="19"/>
              </w:rPr>
            </w:r>
            <w:r>
              <w:rPr>
                <w:sz w:val="19"/>
              </w:rPr>
              <w:t>70.9x</w:t>
            </w:r>
          </w:p>
        </w:tc>
        <w:tc>
          <w:tcPr>
            <w:tcW w:type="dxa" w:w="1440"/>
          </w:tcPr>
          <w:p>
            <w:r>
              <w:rPr>
                <w:sz w:val="19"/>
              </w:rPr>
            </w:r>
            <w:r>
              <w:rPr>
                <w:sz w:val="19"/>
              </w:rPr>
              <w:t>20.9x</w:t>
            </w:r>
          </w:p>
        </w:tc>
        <w:tc>
          <w:tcPr>
            <w:tcW w:type="dxa" w:w="1296"/>
          </w:tcPr>
          <w:p>
            <w:r>
              <w:rPr>
                <w:sz w:val="19"/>
              </w:rPr>
            </w:r>
            <w:r>
              <w:rPr>
                <w:sz w:val="19"/>
              </w:rPr>
              <w:t>+22%</w:t>
            </w:r>
          </w:p>
        </w:tc>
        <w:tc>
          <w:tcPr>
            <w:tcW w:type="dxa" w:w="1296"/>
          </w:tcPr>
          <w:p>
            <w:r>
              <w:rPr>
                <w:sz w:val="19"/>
              </w:rPr>
            </w:r>
            <w:r>
              <w:rPr>
                <w:b/>
                <w:sz w:val="19"/>
              </w:rPr>
              <w:t>+67%</w:t>
            </w:r>
          </w:p>
        </w:tc>
        <w:tc>
          <w:tcPr>
            <w:tcW w:type="dxa" w:w="2448"/>
          </w:tcPr>
          <w:p>
            <w:r>
              <w:rPr>
                <w:sz w:val="19"/>
              </w:rPr>
            </w:r>
            <w:r>
              <w:rPr>
                <w:sz w:val="19"/>
              </w:rPr>
              <w:t>profitable niche #1, tiny float</w:t>
            </w:r>
          </w:p>
        </w:tc>
      </w:tr>
      <w:tr>
        <w:tc>
          <w:tcPr>
            <w:tcW w:type="dxa" w:w="2880"/>
          </w:tcPr>
          <w:p>
            <w:r>
              <w:rPr>
                <w:sz w:val="19"/>
              </w:rPr>
            </w:r>
            <w:r>
              <w:rPr>
                <w:sz w:val="19"/>
              </w:rPr>
              <w:t>Cofoe 可孚 1187 (A+H)</w:t>
            </w:r>
          </w:p>
        </w:tc>
        <w:tc>
          <w:tcPr>
            <w:tcW w:type="dxa" w:w="2160"/>
          </w:tcPr>
          <w:p>
            <w:r>
              <w:rPr>
                <w:sz w:val="19"/>
              </w:rPr>
            </w:r>
            <w:r>
              <w:rPr>
                <w:sz w:val="19"/>
              </w:rPr>
              <w:t>19.0x</w:t>
            </w:r>
          </w:p>
        </w:tc>
        <w:tc>
          <w:tcPr>
            <w:tcW w:type="dxa" w:w="1440"/>
          </w:tcPr>
          <w:p>
            <w:r>
              <w:rPr>
                <w:sz w:val="19"/>
              </w:rPr>
            </w:r>
            <w:r>
              <w:rPr>
                <w:sz w:val="19"/>
              </w:rPr>
              <w:t>2.0x</w:t>
            </w:r>
          </w:p>
        </w:tc>
        <w:tc>
          <w:tcPr>
            <w:tcW w:type="dxa" w:w="1296"/>
          </w:tcPr>
          <w:p>
            <w:r>
              <w:rPr>
                <w:sz w:val="19"/>
              </w:rPr>
            </w:r>
            <w:r>
              <w:rPr>
                <w:sz w:val="19"/>
              </w:rPr>
              <w:t>+39%</w:t>
            </w:r>
          </w:p>
        </w:tc>
        <w:tc>
          <w:tcPr>
            <w:tcW w:type="dxa" w:w="1296"/>
          </w:tcPr>
          <w:p>
            <w:r>
              <w:rPr>
                <w:sz w:val="19"/>
              </w:rPr>
            </w:r>
            <w:r>
              <w:rPr>
                <w:b/>
                <w:sz w:val="19"/>
              </w:rPr>
              <w:t>−17%</w:t>
            </w:r>
          </w:p>
        </w:tc>
        <w:tc>
          <w:tcPr>
            <w:tcW w:type="dxa" w:w="2448"/>
          </w:tcPr>
          <w:p>
            <w:r>
              <w:rPr>
                <w:sz w:val="19"/>
              </w:rPr>
            </w:r>
            <w:r>
              <w:rPr>
                <w:sz w:val="19"/>
              </w:rPr>
              <w:t>profitable, growing — and below offer</w:t>
            </w:r>
          </w:p>
        </w:tc>
      </w:tr>
      <w:tr>
        <w:tc>
          <w:tcPr>
            <w:tcW w:type="dxa" w:w="2880"/>
          </w:tcPr>
          <w:p>
            <w:r>
              <w:rPr>
                <w:sz w:val="19"/>
              </w:rPr>
            </w:r>
            <w:r>
              <w:rPr>
                <w:sz w:val="19"/>
              </w:rPr>
              <w:t>Edge Medical 2675</w:t>
            </w:r>
          </w:p>
        </w:tc>
        <w:tc>
          <w:tcPr>
            <w:tcW w:type="dxa" w:w="2160"/>
          </w:tcPr>
          <w:p>
            <w:r>
              <w:rPr>
                <w:sz w:val="19"/>
              </w:rPr>
            </w:r>
            <w:r>
              <w:rPr>
                <w:sz w:val="19"/>
              </w:rPr>
              <w:t>n/m</w:t>
            </w:r>
          </w:p>
        </w:tc>
        <w:tc>
          <w:tcPr>
            <w:tcW w:type="dxa" w:w="1440"/>
          </w:tcPr>
          <w:p>
            <w:r>
              <w:rPr>
                <w:sz w:val="19"/>
              </w:rPr>
            </w:r>
            <w:r>
              <w:rPr>
                <w:sz w:val="19"/>
              </w:rPr>
              <w:t>21.2x</w:t>
            </w:r>
          </w:p>
        </w:tc>
        <w:tc>
          <w:tcPr>
            <w:tcW w:type="dxa" w:w="1296"/>
          </w:tcPr>
          <w:p>
            <w:r>
              <w:rPr>
                <w:sz w:val="19"/>
              </w:rPr>
            </w:r>
            <w:r>
              <w:rPr>
                <w:sz w:val="19"/>
              </w:rPr>
              <w:t>+114%</w:t>
            </w:r>
          </w:p>
        </w:tc>
        <w:tc>
          <w:tcPr>
            <w:tcW w:type="dxa" w:w="1296"/>
          </w:tcPr>
          <w:p>
            <w:r>
              <w:rPr>
                <w:sz w:val="19"/>
              </w:rPr>
            </w:r>
            <w:r>
              <w:rPr>
                <w:sz w:val="19"/>
              </w:rPr>
              <w:t>−21%</w:t>
            </w:r>
          </w:p>
        </w:tc>
        <w:tc>
          <w:tcPr>
            <w:tcW w:type="dxa" w:w="2448"/>
          </w:tcPr>
          <w:p>
            <w:r>
              <w:rPr>
                <w:sz w:val="19"/>
              </w:rPr>
            </w:r>
            <w:r>
              <w:rPr>
                <w:sz w:val="19"/>
              </w:rPr>
              <w:t>surgical robots</w:t>
            </w:r>
          </w:p>
        </w:tc>
      </w:tr>
      <w:tr>
        <w:tc>
          <w:tcPr>
            <w:tcW w:type="dxa" w:w="2880"/>
          </w:tcPr>
          <w:p>
            <w:r>
              <w:rPr>
                <w:sz w:val="19"/>
              </w:rPr>
            </w:r>
            <w:r>
              <w:rPr>
                <w:sz w:val="19"/>
              </w:rPr>
              <w:t>Lepu ScienTech 2291</w:t>
            </w:r>
          </w:p>
        </w:tc>
        <w:tc>
          <w:tcPr>
            <w:tcW w:type="dxa" w:w="2160"/>
          </w:tcPr>
          <w:p>
            <w:r>
              <w:rPr>
                <w:sz w:val="19"/>
              </w:rPr>
            </w:r>
            <w:r>
              <w:rPr>
                <w:sz w:val="19"/>
              </w:rPr>
              <w:t>21.7x</w:t>
            </w:r>
          </w:p>
        </w:tc>
        <w:tc>
          <w:tcPr>
            <w:tcW w:type="dxa" w:w="1440"/>
          </w:tcPr>
          <w:p>
            <w:r>
              <w:rPr>
                <w:sz w:val="19"/>
              </w:rPr>
            </w:r>
            <w:r>
              <w:rPr>
                <w:sz w:val="19"/>
              </w:rPr>
              <w:t>8.7x</w:t>
            </w:r>
          </w:p>
        </w:tc>
        <w:tc>
          <w:tcPr>
            <w:tcW w:type="dxa" w:w="1296"/>
          </w:tcPr>
          <w:p>
            <w:r>
              <w:rPr>
                <w:sz w:val="19"/>
              </w:rPr>
            </w:r>
            <w:r>
              <w:rPr>
                <w:sz w:val="19"/>
              </w:rPr>
              <w:t>−6%</w:t>
            </w:r>
          </w:p>
        </w:tc>
        <w:tc>
          <w:tcPr>
            <w:tcW w:type="dxa" w:w="1296"/>
          </w:tcPr>
          <w:p>
            <w:r>
              <w:rPr>
                <w:sz w:val="19"/>
              </w:rPr>
            </w:r>
            <w:r>
              <w:rPr>
                <w:sz w:val="19"/>
              </w:rPr>
              <w:t>—</w:t>
            </w:r>
          </w:p>
        </w:tc>
        <w:tc>
          <w:tcPr>
            <w:tcW w:type="dxa" w:w="2448"/>
          </w:tcPr>
          <w:p>
            <w:r>
              <w:rPr>
                <w:sz w:val="19"/>
              </w:rPr>
            </w:r>
          </w:p>
        </w:tc>
      </w:tr>
      <w:tr>
        <w:tc>
          <w:tcPr>
            <w:tcW w:type="dxa" w:w="2880"/>
          </w:tcPr>
          <w:p>
            <w:r>
              <w:rPr>
                <w:sz w:val="19"/>
              </w:rPr>
            </w:r>
            <w:r>
              <w:rPr>
                <w:sz w:val="19"/>
              </w:rPr>
              <w:t>AngelAlign 6699</w:t>
            </w:r>
          </w:p>
        </w:tc>
        <w:tc>
          <w:tcPr>
            <w:tcW w:type="dxa" w:w="2160"/>
          </w:tcPr>
          <w:p>
            <w:r>
              <w:rPr>
                <w:sz w:val="19"/>
              </w:rPr>
            </w:r>
            <w:r>
              <w:rPr>
                <w:sz w:val="19"/>
              </w:rPr>
              <w:t>58.8x</w:t>
            </w:r>
          </w:p>
        </w:tc>
        <w:tc>
          <w:tcPr>
            <w:tcW w:type="dxa" w:w="1440"/>
          </w:tcPr>
          <w:p>
            <w:r>
              <w:rPr>
                <w:sz w:val="19"/>
              </w:rPr>
            </w:r>
            <w:r>
              <w:rPr>
                <w:sz w:val="19"/>
              </w:rPr>
              <w:t>5.5x</w:t>
            </w:r>
          </w:p>
        </w:tc>
        <w:tc>
          <w:tcPr>
            <w:tcW w:type="dxa" w:w="1296"/>
          </w:tcPr>
          <w:p>
            <w:r>
              <w:rPr>
                <w:sz w:val="19"/>
              </w:rPr>
            </w:r>
            <w:r>
              <w:rPr>
                <w:sz w:val="19"/>
              </w:rPr>
              <w:t>+43%</w:t>
            </w:r>
          </w:p>
        </w:tc>
        <w:tc>
          <w:tcPr>
            <w:tcW w:type="dxa" w:w="1296"/>
          </w:tcPr>
          <w:p>
            <w:r>
              <w:rPr>
                <w:sz w:val="19"/>
              </w:rPr>
            </w:r>
            <w:r>
              <w:rPr>
                <w:sz w:val="19"/>
              </w:rPr>
              <w:t>—</w:t>
            </w:r>
          </w:p>
        </w:tc>
        <w:tc>
          <w:tcPr>
            <w:tcW w:type="dxa" w:w="2448"/>
          </w:tcPr>
          <w:p>
            <w:r>
              <w:rPr>
                <w:sz w:val="19"/>
              </w:rPr>
            </w:r>
          </w:p>
        </w:tc>
      </w:tr>
      <w:tr>
        <w:tc>
          <w:tcPr>
            <w:tcW w:type="dxa" w:w="2880"/>
          </w:tcPr>
          <w:p>
            <w:r>
              <w:rPr>
                <w:sz w:val="19"/>
              </w:rPr>
            </w:r>
            <w:r>
              <w:rPr>
                <w:sz w:val="19"/>
              </w:rPr>
              <w:t>True Health 2697 / Diagens 2526</w:t>
            </w:r>
          </w:p>
        </w:tc>
        <w:tc>
          <w:tcPr>
            <w:tcW w:type="dxa" w:w="2160"/>
          </w:tcPr>
          <w:p>
            <w:r>
              <w:rPr>
                <w:sz w:val="19"/>
              </w:rPr>
            </w:r>
            <w:r>
              <w:rPr>
                <w:sz w:val="19"/>
              </w:rPr>
              <w:t>n/m</w:t>
            </w:r>
          </w:p>
        </w:tc>
        <w:tc>
          <w:tcPr>
            <w:tcW w:type="dxa" w:w="1440"/>
          </w:tcPr>
          <w:p>
            <w:r>
              <w:rPr>
                <w:sz w:val="19"/>
              </w:rPr>
            </w:r>
            <w:r>
              <w:rPr>
                <w:sz w:val="19"/>
              </w:rPr>
              <w:t>~1,280x / 252x</w:t>
            </w:r>
          </w:p>
        </w:tc>
        <w:tc>
          <w:tcPr>
            <w:tcW w:type="dxa" w:w="1296"/>
          </w:tcPr>
          <w:p>
            <w:r>
              <w:rPr>
                <w:sz w:val="19"/>
              </w:rPr>
            </w:r>
            <w:r>
              <w:rPr>
                <w:sz w:val="19"/>
              </w:rPr>
              <w:t>n/m</w:t>
            </w:r>
          </w:p>
        </w:tc>
        <w:tc>
          <w:tcPr>
            <w:tcW w:type="dxa" w:w="1296"/>
          </w:tcPr>
          <w:p>
            <w:r>
              <w:rPr>
                <w:sz w:val="19"/>
              </w:rPr>
            </w:r>
            <w:r>
              <w:rPr>
                <w:sz w:val="19"/>
              </w:rPr>
              <w:t>+404% / +425%</w:t>
            </w:r>
          </w:p>
        </w:tc>
        <w:tc>
          <w:tcPr>
            <w:tcW w:type="dxa" w:w="2448"/>
          </w:tcPr>
          <w:p>
            <w:r>
              <w:rPr>
                <w:sz w:val="19"/>
              </w:rPr>
            </w:r>
            <w:r>
              <w:rPr>
                <w:sz w:val="19"/>
              </w:rPr>
              <w:t>micro-float squeezes — not valuations</w:t>
            </w:r>
          </w:p>
        </w:tc>
      </w:tr>
    </w:tbl>
    <w:p/>
    <w:p>
      <w:r>
        <w:t xml:space="preserve">Here's how we read the full shelf. It splits cleanly in two. The float freaks — True Health, Diagens, and honestly Star Sports Med too — trade on scarcity, and their multiples tell you nothing about what a business is worth. The real-money tier — Micro-Tech at 28.5x, Cofoe at 19x, ScienTech at 22x, AK at 13x — is where profitable device companies actually clear. Medcaptain at 59x adjusted sits far above every profitable name on the list, and the only tier that 'supports' its price is the float-freak one. Which is the point: </w:t>
      </w:r>
      <w:r>
        <w:rPr>
          <w:b/>
        </w:rPr>
        <w:t>this deal is priced as a float trade, not as a company.</w:t>
      </w:r>
      <w:r>
        <w:t xml:space="preserve"> Cofoe is the cautionary row — profitable, +39% growth, A+H, and still 17% below its May offer. Sum-of-parts on real-money multiples still lands around </w:t>
      </w:r>
      <w:r>
        <w:rPr>
          <w:b/>
        </w:rPr>
        <w:t>RMB 4.8–5.1bn against the 7.6bn ask</w:t>
      </w:r>
      <w:r>
        <w:t>. And Kangji — profitable HK MI-consumables — went private last December at a mid-teens multiple. That's the floor when the music stops.</w:t>
      </w:r>
    </w:p>
    <w:p>
      <w:pPr>
        <w:pStyle w:val="ListBullet"/>
      </w:pPr>
      <w:r>
        <w:t>The deal tells you the same thing the comps do: priced below the 2023 private round, no anchor wanted their name on it, nobody hired to defend it in the aftermarket. When a Morgan Stanley deal ships bare, the syndicate is telling you what the institutional bid looked like.</w:t>
      </w:r>
    </w:p>
    <w:p>
      <w:pPr>
        <w:pStyle w:val="ListBullet"/>
      </w:pPr>
      <w:r>
        <w:rPr>
          <w:b/>
        </w:rPr>
        <w:t>Verdict unchanged as an investment: pass — it needs growth, margin AND multiple to all come through to justify the price.</w:t>
      </w:r>
      <w:r>
        <w:t xml:space="preserve"> But separate the trade: the weekend book turned this into a pure float game, and the 4 Sep grey market will likely print hot. If you play it, you are playing scarcity, not value — sell into the open, and remember that below issue there is no stabiliser, no shoe, no net. By design.</w:t>
      </w:r>
    </w:p>
    <w:p>
      <w:pPr>
        <w:pStyle w:val="Heading1"/>
      </w:pPr>
      <w:r>
        <w:t>5. Longsys (9976 HK) — open now; your inventory concern is the whole story</w:t>
      </w:r>
    </w:p>
    <w:p>
      <w:r>
        <w:t xml:space="preserve">The memory module maker (Lexar brand) launched Monday morning: closes Wed 3 Sep noon, lists Mon 8 Sep. Max price HK$240.60 (final can strike lower), raising ~HK$6.3bn — up to US$1.06bn with the upsize and shoe — at an implied ~HK$110bn market cap, a </w:t>
      </w:r>
      <w:r>
        <w:rPr>
          <w:b/>
        </w:rPr>
        <w:t>44–45% discount to its A-share</w:t>
      </w:r>
      <w:r>
        <w:t xml:space="preserve">. CITIC/CLSA and Citi running it, CLSA stabilising until 3 Oct. Cornerstones US$151m ≈ 19% of the deal — and the roster is customers and channel: Transsion, Lenovo, Lens Tech, Colorful, Phison-affiliated HXY… plus, notably, </w:t>
      </w:r>
      <w:r>
        <w:rPr>
          <w:b/>
        </w:rPr>
        <w:t>Ingenic's own HK vehicle</w:t>
      </w:r>
      <w:r>
        <w:t>. Entry ticket is chunky at HK$12,151 a lot.</w:t>
      </w:r>
    </w:p>
    <w:p>
      <w:pPr>
        <w:pStyle w:val="Heading2"/>
      </w:pPr>
      <w:r>
        <w:t>The business — and why your concern is exactly right</w:t>
      </w:r>
    </w:p>
    <w:p>
      <w:pPr>
        <w:pStyle w:val="ListBullet"/>
      </w:pPr>
      <w:r>
        <w:t xml:space="preserve">What it is: the #2 independent memory module house globally. It buys NAND and DRAM wafers from Samsung, Hynix and Micron — </w:t>
      </w:r>
      <w:r>
        <w:rPr>
          <w:b/>
        </w:rPr>
        <w:t>wafers are 88% of its cost of goods</w:t>
      </w:r>
      <w:r>
        <w:t xml:space="preserve"> — and packages them into eMMC/UFS, SSDs and Lexar cards. Real scale (H1 revenue RMB 24.1bn, +136%), real brands (Lexar, Zilia in Brazil), and a genuinely fast-growing enterprise line (+209%).</w:t>
      </w:r>
    </w:p>
    <w:p>
      <w:pPr>
        <w:pStyle w:val="ListBullet"/>
      </w:pPr>
      <w:r>
        <w:t xml:space="preserve">But look at the margin through one full cycle and you see the model naked: gross margin </w:t>
      </w:r>
      <w:r>
        <w:rPr>
          <w:b/>
        </w:rPr>
        <w:t>10.4% (2022) → 4.7% (2023 trough) → 18% (2025) → 59% (H1 2026)</w:t>
      </w:r>
      <w:r>
        <w:t>. In the downcycle, embedded ASPs fell 68% and sub-segments went gross-negative — that is what zero pricing power looks like. In the upcycle, the margin explodes — not because it can raise prices, but because it is sitting on inventory bought cheap.</w:t>
      </w:r>
    </w:p>
    <w:p>
      <w:pPr>
        <w:pStyle w:val="ListBullet"/>
      </w:pPr>
      <w:r>
        <w:t xml:space="preserve">The filings confirm your 5-buys-to-50 deduction line by line. Operating cash flow: </w:t>
      </w:r>
      <w:r>
        <w:rPr>
          <w:b/>
        </w:rPr>
        <w:t>−2.8bn, −1.2bn, −1.2bn (2023–25) — then −3.15bn in H1 2026 alone. The boom made the burn worse.</w:t>
      </w:r>
      <w:r>
        <w:t xml:space="preserve"> Inventory went 11.7bn → </w:t>
      </w:r>
      <w:r>
        <w:rPr>
          <w:b/>
        </w:rPr>
        <w:t>25.8bn in six months — 60% of total assets</w:t>
      </w:r>
      <w:r>
        <w:t xml:space="preserve"> — with ~70% of it bought at trough prices and prepayments to wafer suppliers up 440%. The P&amp;L books the windfall while the cash goes straight back out to buy the same wafers at the new price. Debt 16.7bn against 3.1bn cash, quick ratio 0.39. Bear analysts (eastmoney/10jqka, and a Zhongyuan Securities periodicity warning) put the cheap-inventory runway at ~Q4 2026, normal gross margin at 15–25%, and normal earnings at RMB 6–10bn — versus the 21bn run-rate being marketed.</w:t>
      </w:r>
    </w:p>
    <w:p>
      <w:pPr>
        <w:pStyle w:val="ListBullet"/>
      </w:pPr>
      <w:r>
        <w:t>And watch what insiders do, not what the deal says: ~</w:t>
      </w:r>
      <w:r>
        <w:rPr>
          <w:b/>
        </w:rPr>
        <w:t>RMB 4bn of insider selling</w:t>
      </w:r>
      <w:r>
        <w:t xml:space="preserve"> on the way up, an A-share placement done at RMB 560 in early August that is already ~32% underwater, and now ~RMB 10bn being raised across two markets in one month. The people who know the inventory position best are sellers and raisers at these levels.</w:t>
      </w:r>
    </w:p>
    <w:p>
      <w:pPr>
        <w:pStyle w:val="Heading2"/>
      </w:pPr>
      <w:r>
        <w:t>Longsys vs Ingenic — same cycle, different machines</w:t>
      </w:r>
    </w:p>
    <w:tbl>
      <w:tblPr>
        <w:tblStyle w:val="LightGrid-Accent1"/>
        <w:tblW w:type="auto" w:w="0"/>
        <w:tblLook w:firstColumn="1" w:firstRow="1" w:lastColumn="0" w:lastRow="0" w:noHBand="0" w:noVBand="1" w:val="04A0"/>
      </w:tblPr>
      <w:tblGrid>
        <w:gridCol w:w="2880"/>
        <w:gridCol w:w="2880"/>
        <w:gridCol w:w="2880"/>
      </w:tblGrid>
      <w:tr>
        <w:tc>
          <w:tcPr>
            <w:tcW w:type="dxa" w:w="2016"/>
          </w:tcPr>
          <w:p>
            <w:r/>
            <w:r>
              <w:rPr>
                <w:b/>
                <w:sz w:val="19"/>
              </w:rPr>
            </w:r>
          </w:p>
        </w:tc>
        <w:tc>
          <w:tcPr>
            <w:tcW w:type="dxa" w:w="4032"/>
          </w:tcPr>
          <w:p>
            <w:r/>
            <w:r>
              <w:rPr>
                <w:b/>
                <w:sz w:val="19"/>
              </w:rPr>
              <w:t>Longsys (9976)</w:t>
            </w:r>
          </w:p>
        </w:tc>
        <w:tc>
          <w:tcPr>
            <w:tcW w:type="dxa" w:w="4032"/>
          </w:tcPr>
          <w:p>
            <w:r/>
            <w:r>
              <w:rPr>
                <w:b/>
                <w:sz w:val="19"/>
              </w:rPr>
              <w:t>Ingenic (3223)</w:t>
            </w:r>
          </w:p>
        </w:tc>
      </w:tr>
      <w:tr>
        <w:tc>
          <w:tcPr>
            <w:tcW w:type="dxa" w:w="2016"/>
          </w:tcPr>
          <w:p>
            <w:r>
              <w:rPr>
                <w:sz w:val="19"/>
              </w:rPr>
            </w:r>
            <w:r>
              <w:rPr>
                <w:sz w:val="19"/>
              </w:rPr>
              <w:t>What it is</w:t>
            </w:r>
          </w:p>
        </w:tc>
        <w:tc>
          <w:tcPr>
            <w:tcW w:type="dxa" w:w="4032"/>
          </w:tcPr>
          <w:p>
            <w:r>
              <w:rPr>
                <w:sz w:val="19"/>
              </w:rPr>
            </w:r>
            <w:r>
              <w:rPr>
                <w:sz w:val="19"/>
              </w:rPr>
              <w:t>Assembler: buys wafers (88% of COGS) from the oligopoly, sells modules</w:t>
            </w:r>
          </w:p>
        </w:tc>
        <w:tc>
          <w:tcPr>
            <w:tcW w:type="dxa" w:w="4032"/>
          </w:tcPr>
          <w:p>
            <w:r>
              <w:rPr>
                <w:sz w:val="19"/>
              </w:rPr>
            </w:r>
            <w:r>
              <w:rPr>
                <w:sz w:val="19"/>
              </w:rPr>
              <w:t>Designer: owns the chip, auto-qualified sockets, 60% share in its niche</w:t>
            </w:r>
          </w:p>
        </w:tc>
      </w:tr>
      <w:tr>
        <w:tc>
          <w:tcPr>
            <w:tcW w:type="dxa" w:w="2016"/>
          </w:tcPr>
          <w:p>
            <w:r>
              <w:rPr>
                <w:sz w:val="19"/>
              </w:rPr>
            </w:r>
            <w:r>
              <w:rPr>
                <w:sz w:val="19"/>
              </w:rPr>
              <w:t>Downcycle proof (2023)</w:t>
            </w:r>
          </w:p>
        </w:tc>
        <w:tc>
          <w:tcPr>
            <w:tcW w:type="dxa" w:w="4032"/>
          </w:tcPr>
          <w:p>
            <w:r>
              <w:rPr>
                <w:sz w:val="19"/>
              </w:rPr>
            </w:r>
            <w:r>
              <w:rPr>
                <w:sz w:val="19"/>
              </w:rPr>
              <w:t>GM 4.7%, embedded ASP −68%, sub-segments negative</w:t>
            </w:r>
          </w:p>
        </w:tc>
        <w:tc>
          <w:tcPr>
            <w:tcW w:type="dxa" w:w="4032"/>
          </w:tcPr>
          <w:p>
            <w:r>
              <w:rPr>
                <w:sz w:val="19"/>
              </w:rPr>
            </w:r>
            <w:r>
              <w:rPr>
                <w:sz w:val="19"/>
              </w:rPr>
              <w:t>GM held ~32–39% through the same trough</w:t>
            </w:r>
          </w:p>
        </w:tc>
      </w:tr>
      <w:tr>
        <w:tc>
          <w:tcPr>
            <w:tcW w:type="dxa" w:w="2016"/>
          </w:tcPr>
          <w:p>
            <w:r>
              <w:rPr>
                <w:sz w:val="19"/>
              </w:rPr>
            </w:r>
            <w:r>
              <w:rPr>
                <w:sz w:val="19"/>
              </w:rPr>
              <w:t>Upcycle GM (H1'26)</w:t>
            </w:r>
          </w:p>
        </w:tc>
        <w:tc>
          <w:tcPr>
            <w:tcW w:type="dxa" w:w="4032"/>
          </w:tcPr>
          <w:p>
            <w:r>
              <w:rPr>
                <w:sz w:val="19"/>
              </w:rPr>
            </w:r>
            <w:r>
              <w:rPr>
                <w:sz w:val="19"/>
              </w:rPr>
              <w:t>59% — mostly old-cost inventory clearing</w:t>
            </w:r>
          </w:p>
        </w:tc>
        <w:tc>
          <w:tcPr>
            <w:tcW w:type="dxa" w:w="4032"/>
          </w:tcPr>
          <w:p>
            <w:r>
              <w:rPr>
                <w:sz w:val="19"/>
              </w:rPr>
            </w:r>
            <w:r>
              <w:rPr>
                <w:sz w:val="19"/>
              </w:rPr>
              <w:t>43–47% — quarterly price hikes it sets itself</w:t>
            </w:r>
          </w:p>
        </w:tc>
      </w:tr>
      <w:tr>
        <w:tc>
          <w:tcPr>
            <w:tcW w:type="dxa" w:w="2016"/>
          </w:tcPr>
          <w:p>
            <w:r>
              <w:rPr>
                <w:sz w:val="19"/>
              </w:rPr>
            </w:r>
            <w:r>
              <w:rPr>
                <w:sz w:val="19"/>
              </w:rPr>
              <w:t>Op. cash flow H1'26</w:t>
            </w:r>
          </w:p>
        </w:tc>
        <w:tc>
          <w:tcPr>
            <w:tcW w:type="dxa" w:w="4032"/>
          </w:tcPr>
          <w:p>
            <w:r>
              <w:rPr>
                <w:sz w:val="19"/>
              </w:rPr>
            </w:r>
            <w:r>
              <w:rPr>
                <w:b/>
                <w:sz w:val="19"/>
              </w:rPr>
              <w:t>−3.15bn</w:t>
            </w:r>
          </w:p>
        </w:tc>
        <w:tc>
          <w:tcPr>
            <w:tcW w:type="dxa" w:w="4032"/>
          </w:tcPr>
          <w:p>
            <w:r>
              <w:rPr>
                <w:sz w:val="19"/>
              </w:rPr>
            </w:r>
            <w:r>
              <w:rPr>
                <w:b/>
                <w:sz w:val="19"/>
              </w:rPr>
              <w:t>+959m</w:t>
            </w:r>
          </w:p>
        </w:tc>
      </w:tr>
      <w:tr>
        <w:tc>
          <w:tcPr>
            <w:tcW w:type="dxa" w:w="2016"/>
          </w:tcPr>
          <w:p>
            <w:r>
              <w:rPr>
                <w:sz w:val="19"/>
              </w:rPr>
            </w:r>
            <w:r>
              <w:rPr>
                <w:sz w:val="19"/>
              </w:rPr>
              <w:t>Inventory</w:t>
            </w:r>
          </w:p>
        </w:tc>
        <w:tc>
          <w:tcPr>
            <w:tcW w:type="dxa" w:w="4032"/>
          </w:tcPr>
          <w:p>
            <w:r>
              <w:rPr>
                <w:sz w:val="19"/>
              </w:rPr>
            </w:r>
            <w:r>
              <w:rPr>
                <w:sz w:val="19"/>
              </w:rPr>
              <w:t>25.8bn = 60% of assets</w:t>
            </w:r>
          </w:p>
        </w:tc>
        <w:tc>
          <w:tcPr>
            <w:tcW w:type="dxa" w:w="4032"/>
          </w:tcPr>
          <w:p>
            <w:r>
              <w:rPr>
                <w:sz w:val="19"/>
              </w:rPr>
            </w:r>
            <w:r>
              <w:rPr>
                <w:sz w:val="19"/>
              </w:rPr>
              <w:t>~1 year, but sold into a 60%-share niche</w:t>
            </w:r>
          </w:p>
        </w:tc>
      </w:tr>
      <w:tr>
        <w:tc>
          <w:tcPr>
            <w:tcW w:type="dxa" w:w="2016"/>
          </w:tcPr>
          <w:p>
            <w:r>
              <w:rPr>
                <w:sz w:val="19"/>
              </w:rPr>
            </w:r>
            <w:r>
              <w:rPr>
                <w:sz w:val="19"/>
              </w:rPr>
              <w:t>H-share valuation</w:t>
            </w:r>
          </w:p>
        </w:tc>
        <w:tc>
          <w:tcPr>
            <w:tcW w:type="dxa" w:w="4032"/>
          </w:tcPr>
          <w:p>
            <w:r>
              <w:rPr>
                <w:sz w:val="19"/>
              </w:rPr>
            </w:r>
            <w:r>
              <w:rPr>
                <w:sz w:val="19"/>
              </w:rPr>
              <w:t>~8x trailing / ~5x 2026E annualised</w:t>
            </w:r>
          </w:p>
        </w:tc>
        <w:tc>
          <w:tcPr>
            <w:tcW w:type="dxa" w:w="4032"/>
          </w:tcPr>
          <w:p>
            <w:r>
              <w:rPr>
                <w:sz w:val="19"/>
              </w:rPr>
            </w:r>
            <w:r>
              <w:rPr>
                <w:sz w:val="19"/>
              </w:rPr>
              <w:t>~19x 2026E annualised</w:t>
            </w:r>
          </w:p>
        </w:tc>
      </w:tr>
      <w:tr>
        <w:tc>
          <w:tcPr>
            <w:tcW w:type="dxa" w:w="2016"/>
          </w:tcPr>
          <w:p>
            <w:r>
              <w:rPr>
                <w:sz w:val="19"/>
              </w:rPr>
            </w:r>
            <w:r>
              <w:rPr>
                <w:sz w:val="19"/>
              </w:rPr>
              <w:t>A/H discount at pricing</w:t>
            </w:r>
          </w:p>
        </w:tc>
        <w:tc>
          <w:tcPr>
            <w:tcW w:type="dxa" w:w="4032"/>
          </w:tcPr>
          <w:p>
            <w:r>
              <w:rPr>
                <w:sz w:val="19"/>
              </w:rPr>
            </w:r>
            <w:r>
              <w:rPr>
                <w:sz w:val="19"/>
              </w:rPr>
              <w:t>44–45%</w:t>
            </w:r>
          </w:p>
        </w:tc>
        <w:tc>
          <w:tcPr>
            <w:tcW w:type="dxa" w:w="4032"/>
          </w:tcPr>
          <w:p>
            <w:r>
              <w:rPr>
                <w:sz w:val="19"/>
              </w:rPr>
            </w:r>
            <w:r>
              <w:rPr>
                <w:sz w:val="19"/>
              </w:rPr>
              <w:t>38%</w:t>
            </w:r>
          </w:p>
        </w:tc>
      </w:tr>
    </w:tbl>
    <w:p/>
    <w:p>
      <w:r>
        <w:t>The 8x-versus-19x gap is not an anomaly to arbitrage — it's the market telling you which earnings it believes. Longsys's 2026 profit is an inventory gain wearing a P/E; put the bears' normalised RMB 6–10bn under the same market cap and you're at 10–17x for a 15–25%-margin assembler that never converts profit to cash. That's not cheap, that's fairly priced for what it is. Ingenic's 19x sits on earnings backed by positive cash flow and a niche it prices. Same cycle, but one owns a pricing lever and the other owns a warehouse.</w:t>
      </w:r>
    </w:p>
    <w:p>
      <w:r>
        <w:t>On the A/H angle you raised — yes, it helps, but only for the debut. A live anchor 44% higher makes it hard to lose much on day one (Ingenic, with identical physics, closed its debut flat and sits +1.5% a week later, discount 38%→34%). It is support for the *listing*, not a convergence trade — these discounts sit for years. And note this deal is HK$6.3bn of real supply with a HK$12k entry ticket: expect an Ingenic-style muted open, not a squeeze.</w:t>
      </w:r>
    </w:p>
    <w:p>
      <w:r>
        <w:t>One more sanity check — the 2026 A+H hardware shelf, since Longsys joins it next week. Same H-share, same season, very different receptions: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592"/>
          </w:tcPr>
          <w:p>
            <w:r/>
            <w:r>
              <w:rPr>
                <w:b/>
                <w:sz w:val="19"/>
              </w:rPr>
            </w:r>
          </w:p>
        </w:tc>
        <w:tc>
          <w:tcPr>
            <w:tcW w:type="dxa" w:w="2304"/>
          </w:tcPr>
          <w:p>
            <w:r/>
            <w:r>
              <w:rPr>
                <w:b/>
                <w:sz w:val="19"/>
              </w:rPr>
              <w:t>Trail P/E</w:t>
            </w:r>
          </w:p>
        </w:tc>
        <w:tc>
          <w:tcPr>
            <w:tcW w:type="dxa" w:w="1152"/>
          </w:tcPr>
          <w:p>
            <w:r/>
            <w:r>
              <w:rPr>
                <w:b/>
                <w:sz w:val="19"/>
              </w:rPr>
              <w:t>P/S</w:t>
            </w:r>
          </w:p>
        </w:tc>
        <w:tc>
          <w:tcPr>
            <w:tcW w:type="dxa" w:w="1584"/>
          </w:tcPr>
          <w:p>
            <w:r/>
            <w:r>
              <w:rPr>
                <w:b/>
                <w:sz w:val="19"/>
              </w:rPr>
              <w:t>H1-26 growth</w:t>
            </w:r>
          </w:p>
        </w:tc>
        <w:tc>
          <w:tcPr>
            <w:tcW w:type="dxa" w:w="2448"/>
          </w:tcPr>
          <w:p>
            <w:r/>
            <w:r>
              <w:rPr>
                <w:b/>
                <w:sz w:val="19"/>
              </w:rPr>
              <w:t>vs HK offer</w:t>
            </w:r>
          </w:p>
        </w:tc>
      </w:tr>
      <w:tr>
        <w:tc>
          <w:tcPr>
            <w:tcW w:type="dxa" w:w="2592"/>
          </w:tcPr>
          <w:p>
            <w:r>
              <w:rPr>
                <w:sz w:val="19"/>
              </w:rPr>
            </w:r>
            <w:r>
              <w:rPr>
                <w:b/>
                <w:sz w:val="19"/>
              </w:rPr>
              <w:t>Longsys H @ max</w:t>
            </w:r>
          </w:p>
        </w:tc>
        <w:tc>
          <w:tcPr>
            <w:tcW w:type="dxa" w:w="2304"/>
          </w:tcPr>
          <w:p>
            <w:r>
              <w:rPr>
                <w:sz w:val="19"/>
              </w:rPr>
            </w:r>
            <w:r>
              <w:rPr>
                <w:b/>
                <w:sz w:val="19"/>
              </w:rPr>
              <w:t>~8x</w:t>
            </w:r>
            <w:r>
              <w:rPr>
                <w:sz w:val="19"/>
              </w:rPr>
              <w:t xml:space="preserve"> (windfall E)</w:t>
            </w:r>
          </w:p>
        </w:tc>
        <w:tc>
          <w:tcPr>
            <w:tcW w:type="dxa" w:w="1152"/>
          </w:tcPr>
          <w:p>
            <w:r>
              <w:rPr>
                <w:sz w:val="19"/>
              </w:rPr>
            </w:r>
            <w:r>
              <w:rPr>
                <w:sz w:val="19"/>
              </w:rPr>
              <w:t>~2x</w:t>
            </w:r>
          </w:p>
        </w:tc>
        <w:tc>
          <w:tcPr>
            <w:tcW w:type="dxa" w:w="1584"/>
          </w:tcPr>
          <w:p>
            <w:r>
              <w:rPr>
                <w:sz w:val="19"/>
              </w:rPr>
            </w:r>
            <w:r>
              <w:rPr>
                <w:sz w:val="19"/>
              </w:rPr>
              <w:t>+136%</w:t>
            </w:r>
          </w:p>
        </w:tc>
        <w:tc>
          <w:tcPr>
            <w:tcW w:type="dxa" w:w="2448"/>
          </w:tcPr>
          <w:p>
            <w:r>
              <w:rPr>
                <w:sz w:val="19"/>
              </w:rPr>
            </w:r>
            <w:r>
              <w:rPr>
                <w:sz w:val="19"/>
              </w:rPr>
              <w:t>—</w:t>
            </w:r>
          </w:p>
        </w:tc>
      </w:tr>
      <w:tr>
        <w:tc>
          <w:tcPr>
            <w:tcW w:type="dxa" w:w="2592"/>
          </w:tcPr>
          <w:p>
            <w:r>
              <w:rPr>
                <w:sz w:val="19"/>
              </w:rPr>
            </w:r>
            <w:r>
              <w:rPr>
                <w:sz w:val="19"/>
              </w:rPr>
              <w:t>Innolight 中际旭创 3308</w:t>
            </w:r>
          </w:p>
        </w:tc>
        <w:tc>
          <w:tcPr>
            <w:tcW w:type="dxa" w:w="2304"/>
          </w:tcPr>
          <w:p>
            <w:r>
              <w:rPr>
                <w:sz w:val="19"/>
              </w:rPr>
            </w:r>
            <w:r>
              <w:rPr>
                <w:sz w:val="19"/>
              </w:rPr>
              <w:t>49.3x</w:t>
            </w:r>
          </w:p>
        </w:tc>
        <w:tc>
          <w:tcPr>
            <w:tcW w:type="dxa" w:w="1152"/>
          </w:tcPr>
          <w:p>
            <w:r>
              <w:rPr>
                <w:sz w:val="19"/>
              </w:rPr>
            </w:r>
            <w:r>
              <w:rPr>
                <w:sz w:val="19"/>
              </w:rPr>
              <w:t>15.4x</w:t>
            </w:r>
          </w:p>
        </w:tc>
        <w:tc>
          <w:tcPr>
            <w:tcW w:type="dxa" w:w="1584"/>
          </w:tcPr>
          <w:p>
            <w:r>
              <w:rPr>
                <w:sz w:val="19"/>
              </w:rPr>
            </w:r>
            <w:r>
              <w:rPr>
                <w:sz w:val="19"/>
              </w:rPr>
              <w:t>+183%</w:t>
            </w:r>
          </w:p>
        </w:tc>
        <w:tc>
          <w:tcPr>
            <w:tcW w:type="dxa" w:w="2448"/>
          </w:tcPr>
          <w:p>
            <w:r>
              <w:rPr>
                <w:sz w:val="19"/>
              </w:rPr>
            </w:r>
            <w:r>
              <w:rPr>
                <w:sz w:val="19"/>
              </w:rPr>
              <w:t>+5.6% (H trades ABOVE A)</w:t>
            </w:r>
          </w:p>
        </w:tc>
      </w:tr>
      <w:tr>
        <w:tc>
          <w:tcPr>
            <w:tcW w:type="dxa" w:w="2592"/>
          </w:tcPr>
          <w:p>
            <w:r>
              <w:rPr>
                <w:sz w:val="19"/>
              </w:rPr>
            </w:r>
            <w:r>
              <w:rPr>
                <w:sz w:val="19"/>
              </w:rPr>
              <w:t>CCTC 三环 6951</w:t>
            </w:r>
          </w:p>
        </w:tc>
        <w:tc>
          <w:tcPr>
            <w:tcW w:type="dxa" w:w="2304"/>
          </w:tcPr>
          <w:p>
            <w:r>
              <w:rPr>
                <w:sz w:val="19"/>
              </w:rPr>
            </w:r>
            <w:r>
              <w:rPr>
                <w:sz w:val="19"/>
              </w:rPr>
              <w:t>65.4x</w:t>
            </w:r>
          </w:p>
        </w:tc>
        <w:tc>
          <w:tcPr>
            <w:tcW w:type="dxa" w:w="1152"/>
          </w:tcPr>
          <w:p>
            <w:r>
              <w:rPr>
                <w:sz w:val="19"/>
              </w:rPr>
            </w:r>
            <w:r>
              <w:rPr>
                <w:sz w:val="19"/>
              </w:rPr>
              <w:t>19.2x</w:t>
            </w:r>
          </w:p>
        </w:tc>
        <w:tc>
          <w:tcPr>
            <w:tcW w:type="dxa" w:w="1584"/>
          </w:tcPr>
          <w:p>
            <w:r>
              <w:rPr>
                <w:sz w:val="19"/>
              </w:rPr>
            </w:r>
            <w:r>
              <w:rPr>
                <w:sz w:val="19"/>
              </w:rPr>
              <w:t>+55%</w:t>
            </w:r>
          </w:p>
        </w:tc>
        <w:tc>
          <w:tcPr>
            <w:tcW w:type="dxa" w:w="2448"/>
          </w:tcPr>
          <w:p>
            <w:r>
              <w:rPr>
                <w:sz w:val="19"/>
              </w:rPr>
            </w:r>
            <w:r>
              <w:rPr>
                <w:sz w:val="19"/>
              </w:rPr>
              <w:t>+9.7%</w:t>
            </w:r>
          </w:p>
        </w:tc>
      </w:tr>
      <w:tr>
        <w:tc>
          <w:tcPr>
            <w:tcW w:type="dxa" w:w="2592"/>
          </w:tcPr>
          <w:p>
            <w:r>
              <w:rPr>
                <w:sz w:val="19"/>
              </w:rPr>
            </w:r>
            <w:r>
              <w:rPr>
                <w:sz w:val="19"/>
              </w:rPr>
              <w:t>Anker 安克 0668</w:t>
            </w:r>
          </w:p>
        </w:tc>
        <w:tc>
          <w:tcPr>
            <w:tcW w:type="dxa" w:w="2304"/>
          </w:tcPr>
          <w:p>
            <w:r>
              <w:rPr>
                <w:sz w:val="19"/>
              </w:rPr>
            </w:r>
            <w:r>
              <w:rPr>
                <w:sz w:val="19"/>
              </w:rPr>
              <w:t>~22x</w:t>
            </w:r>
          </w:p>
        </w:tc>
        <w:tc>
          <w:tcPr>
            <w:tcW w:type="dxa" w:w="1152"/>
          </w:tcPr>
          <w:p>
            <w:r>
              <w:rPr>
                <w:sz w:val="19"/>
              </w:rPr>
            </w:r>
            <w:r>
              <w:rPr>
                <w:sz w:val="19"/>
              </w:rPr>
              <w:t>2.0x</w:t>
            </w:r>
          </w:p>
        </w:tc>
        <w:tc>
          <w:tcPr>
            <w:tcW w:type="dxa" w:w="1584"/>
          </w:tcPr>
          <w:p>
            <w:r>
              <w:rPr>
                <w:sz w:val="19"/>
              </w:rPr>
            </w:r>
            <w:r>
              <w:rPr>
                <w:sz w:val="19"/>
              </w:rPr>
              <w:t>+29%</w:t>
            </w:r>
          </w:p>
        </w:tc>
        <w:tc>
          <w:tcPr>
            <w:tcW w:type="dxa" w:w="2448"/>
          </w:tcPr>
          <w:p>
            <w:r>
              <w:rPr>
                <w:sz w:val="19"/>
              </w:rPr>
            </w:r>
            <w:r>
              <w:rPr>
                <w:b/>
                <w:sz w:val="19"/>
              </w:rPr>
              <w:t>+27%</w:t>
            </w:r>
          </w:p>
        </w:tc>
      </w:tr>
      <w:tr>
        <w:tc>
          <w:tcPr>
            <w:tcW w:type="dxa" w:w="2592"/>
          </w:tcPr>
          <w:p>
            <w:r>
              <w:rPr>
                <w:sz w:val="19"/>
              </w:rPr>
            </w:r>
            <w:r>
              <w:rPr>
                <w:sz w:val="19"/>
              </w:rPr>
              <w:t>Luxshare 立讯 2475</w:t>
            </w:r>
          </w:p>
        </w:tc>
        <w:tc>
          <w:tcPr>
            <w:tcW w:type="dxa" w:w="2304"/>
          </w:tcPr>
          <w:p>
            <w:r>
              <w:rPr>
                <w:sz w:val="19"/>
              </w:rPr>
            </w:r>
            <w:r>
              <w:rPr>
                <w:sz w:val="19"/>
              </w:rPr>
              <w:t>26.5x</w:t>
            </w:r>
          </w:p>
        </w:tc>
        <w:tc>
          <w:tcPr>
            <w:tcW w:type="dxa" w:w="1152"/>
          </w:tcPr>
          <w:p>
            <w:r>
              <w:rPr>
                <w:sz w:val="19"/>
              </w:rPr>
            </w:r>
            <w:r>
              <w:rPr>
                <w:sz w:val="19"/>
              </w:rPr>
              <w:t>1.2x</w:t>
            </w:r>
          </w:p>
        </w:tc>
        <w:tc>
          <w:tcPr>
            <w:tcW w:type="dxa" w:w="1584"/>
          </w:tcPr>
          <w:p>
            <w:r>
              <w:rPr>
                <w:sz w:val="19"/>
              </w:rPr>
            </w:r>
            <w:r>
              <w:rPr>
                <w:sz w:val="19"/>
              </w:rPr>
              <w:t>+40%</w:t>
            </w:r>
          </w:p>
        </w:tc>
        <w:tc>
          <w:tcPr>
            <w:tcW w:type="dxa" w:w="2448"/>
          </w:tcPr>
          <w:p>
            <w:r>
              <w:rPr>
                <w:sz w:val="19"/>
              </w:rPr>
            </w:r>
            <w:r>
              <w:rPr>
                <w:sz w:val="19"/>
              </w:rPr>
              <w:t>+0.3%</w:t>
            </w:r>
          </w:p>
        </w:tc>
      </w:tr>
      <w:tr>
        <w:tc>
          <w:tcPr>
            <w:tcW w:type="dxa" w:w="2592"/>
          </w:tcPr>
          <w:p>
            <w:r>
              <w:rPr>
                <w:sz w:val="19"/>
              </w:rPr>
            </w:r>
            <w:r>
              <w:rPr>
                <w:sz w:val="19"/>
              </w:rPr>
              <w:t>Creality 创想三维 3388</w:t>
            </w:r>
          </w:p>
        </w:tc>
        <w:tc>
          <w:tcPr>
            <w:tcW w:type="dxa" w:w="2304"/>
          </w:tcPr>
          <w:p>
            <w:r>
              <w:rPr>
                <w:sz w:val="19"/>
              </w:rPr>
            </w:r>
            <w:r>
              <w:rPr>
                <w:sz w:val="19"/>
              </w:rPr>
              <w:t>n/m</w:t>
            </w:r>
          </w:p>
        </w:tc>
        <w:tc>
          <w:tcPr>
            <w:tcW w:type="dxa" w:w="1152"/>
          </w:tcPr>
          <w:p>
            <w:r>
              <w:rPr>
                <w:sz w:val="19"/>
              </w:rPr>
            </w:r>
            <w:r>
              <w:rPr>
                <w:sz w:val="19"/>
              </w:rPr>
              <w:t>2.8x</w:t>
            </w:r>
          </w:p>
        </w:tc>
        <w:tc>
          <w:tcPr>
            <w:tcW w:type="dxa" w:w="1584"/>
          </w:tcPr>
          <w:p>
            <w:r>
              <w:rPr>
                <w:sz w:val="19"/>
              </w:rPr>
            </w:r>
            <w:r>
              <w:rPr>
                <w:sz w:val="19"/>
              </w:rPr>
              <w:t>+76%</w:t>
            </w:r>
          </w:p>
        </w:tc>
        <w:tc>
          <w:tcPr>
            <w:tcW w:type="dxa" w:w="2448"/>
          </w:tcPr>
          <w:p>
            <w:r>
              <w:rPr>
                <w:sz w:val="19"/>
              </w:rPr>
            </w:r>
            <w:r>
              <w:rPr>
                <w:sz w:val="19"/>
              </w:rPr>
              <w:t>+29%</w:t>
            </w:r>
          </w:p>
        </w:tc>
      </w:tr>
      <w:tr>
        <w:tc>
          <w:tcPr>
            <w:tcW w:type="dxa" w:w="2592"/>
          </w:tcPr>
          <w:p>
            <w:r>
              <w:rPr>
                <w:sz w:val="19"/>
              </w:rPr>
            </w:r>
            <w:r>
              <w:rPr>
                <w:sz w:val="19"/>
              </w:rPr>
              <w:t>Dtech 鼎泰 1377</w:t>
            </w:r>
          </w:p>
        </w:tc>
        <w:tc>
          <w:tcPr>
            <w:tcW w:type="dxa" w:w="2304"/>
          </w:tcPr>
          <w:p>
            <w:r>
              <w:rPr>
                <w:sz w:val="19"/>
              </w:rPr>
            </w:r>
            <w:r>
              <w:rPr>
                <w:sz w:val="19"/>
              </w:rPr>
              <w:t>very high (AI-PCB mania)</w:t>
            </w:r>
          </w:p>
        </w:tc>
        <w:tc>
          <w:tcPr>
            <w:tcW w:type="dxa" w:w="1152"/>
          </w:tcPr>
          <w:p>
            <w:r>
              <w:rPr>
                <w:sz w:val="19"/>
              </w:rPr>
            </w:r>
            <w:r>
              <w:rPr>
                <w:sz w:val="19"/>
              </w:rPr>
              <w:t>—</w:t>
            </w:r>
          </w:p>
        </w:tc>
        <w:tc>
          <w:tcPr>
            <w:tcW w:type="dxa" w:w="1584"/>
          </w:tcPr>
          <w:p>
            <w:r>
              <w:rPr>
                <w:sz w:val="19"/>
              </w:rPr>
            </w:r>
            <w:r>
              <w:rPr>
                <w:sz w:val="19"/>
              </w:rPr>
              <w:t>+115%</w:t>
            </w:r>
          </w:p>
        </w:tc>
        <w:tc>
          <w:tcPr>
            <w:tcW w:type="dxa" w:w="2448"/>
          </w:tcPr>
          <w:p>
            <w:r>
              <w:rPr>
                <w:sz w:val="19"/>
              </w:rPr>
            </w:r>
            <w:r>
              <w:rPr>
                <w:sz w:val="19"/>
              </w:rPr>
              <w:t>−12%</w:t>
            </w:r>
          </w:p>
        </w:tc>
      </w:tr>
      <w:tr>
        <w:tc>
          <w:tcPr>
            <w:tcW w:type="dxa" w:w="2592"/>
          </w:tcPr>
          <w:p>
            <w:r>
              <w:rPr>
                <w:sz w:val="19"/>
              </w:rPr>
            </w:r>
            <w:r>
              <w:rPr>
                <w:b/>
                <w:sz w:val="19"/>
              </w:rPr>
              <w:t>Lingyi 领益 1688</w:t>
            </w:r>
          </w:p>
        </w:tc>
        <w:tc>
          <w:tcPr>
            <w:tcW w:type="dxa" w:w="2304"/>
          </w:tcPr>
          <w:p>
            <w:r>
              <w:rPr>
                <w:sz w:val="19"/>
              </w:rPr>
            </w:r>
            <w:r>
              <w:rPr>
                <w:sz w:val="19"/>
              </w:rPr>
              <w:t>~21x (H basis)</w:t>
            </w:r>
          </w:p>
        </w:tc>
        <w:tc>
          <w:tcPr>
            <w:tcW w:type="dxa" w:w="1152"/>
          </w:tcPr>
          <w:p>
            <w:r>
              <w:rPr>
                <w:sz w:val="19"/>
              </w:rPr>
            </w:r>
            <w:r>
              <w:rPr>
                <w:sz w:val="19"/>
              </w:rPr>
              <w:t>0.8x</w:t>
            </w:r>
          </w:p>
        </w:tc>
        <w:tc>
          <w:tcPr>
            <w:tcW w:type="dxa" w:w="1584"/>
          </w:tcPr>
          <w:p>
            <w:r>
              <w:rPr>
                <w:sz w:val="19"/>
              </w:rPr>
            </w:r>
            <w:r>
              <w:rPr>
                <w:sz w:val="19"/>
              </w:rPr>
              <w:t>+7%</w:t>
            </w:r>
          </w:p>
        </w:tc>
        <w:tc>
          <w:tcPr>
            <w:tcW w:type="dxa" w:w="2448"/>
          </w:tcPr>
          <w:p>
            <w:r>
              <w:rPr>
                <w:sz w:val="19"/>
              </w:rPr>
            </w:r>
            <w:r>
              <w:rPr>
                <w:b/>
                <w:sz w:val="19"/>
              </w:rPr>
              <w:t>−38%</w:t>
            </w:r>
          </w:p>
        </w:tc>
      </w:tr>
    </w:tbl>
    <w:p/>
    <w:p>
      <w:r>
        <w:t>The pattern on that shelf is brutal and simple: HK pays up for franchise and AI linkage (Anker +27%, Innolight's H trading above its A) and it punishes pass-through processing — Lingyi, the closest thing to Longsys's business model on the list, sits 38% below its own June offer at 0.8x sales. Longsys screens as the cheapest name on the shelf at ~8x — but it's the only one whose trailing earnings are an inventory gain. Put the normalised RMB 6–10bn under it and it lands at 10–17x: middle of the shelf, for the shelf's most cyclical model. There's no free cheapness here.</w:t>
      </w:r>
    </w:p>
    <w:p>
      <w:pPr>
        <w:pStyle w:val="ListBullet"/>
      </w:pPr>
      <w:r>
        <w:rPr>
          <w:b/>
        </w:rPr>
        <w:t>Verdict: this is the trade your own deduction warns about — buying the top of an inventory-gain cycle from insiders who are selling it to you.</w:t>
      </w:r>
      <w:r>
        <w:t xml:space="preserve"> The anchor and stabiliser make the debut low-risk but also low-fun; the real exposure is the Q4 gross-margin print. Skip, or flip small and be out before the cheap inventory runs dry. If you want this cycle in the book, own Ingenic, rent Longsys — or don't rent it at all.</w:t>
      </w:r>
    </w:p>
    <w:p>
      <w:pPr>
        <w:pStyle w:val="Heading1"/>
      </w:pPr>
      <w:r>
        <w:t>6. Excelland Robotics (3231 HK) — the one you asked about, and the weakest deal in this note</w:t>
      </w:r>
    </w:p>
    <w:p>
      <w:r>
        <w:t xml:space="preserve">First, the name: the deal marketed around 'Excellent Robotics' is </w:t>
      </w:r>
      <w:r>
        <w:rPr>
          <w:b/>
        </w:rPr>
        <w:t>Excelland Robotics 优地机器人</w:t>
      </w:r>
      <w:r>
        <w:t xml:space="preserve"> — the UTStarcom spin-out making hotel delivery robots (Yomie), cleaning and vending robots, plus a project-based AI-vision side business. 18C listing, range HK$14.45–19.55, market cap HK$6.0–8.1bn, book closes Thu 4 Sep, lists Tue 9 Sep. Entry HK$3,949 a lot.</w:t>
      </w:r>
    </w:p>
    <w:p>
      <w:pPr>
        <w:pStyle w:val="Heading2"/>
      </w:pPr>
      <w:r>
        <w:t>What the prospectus actually shows</w:t>
      </w:r>
    </w:p>
    <w:p>
      <w:pPr>
        <w:pStyle w:val="ListBullet"/>
      </w:pPr>
      <w:r>
        <w:t xml:space="preserve">Revenue RMB 318m last year, +19%. </w:t>
      </w:r>
      <w:r>
        <w:rPr>
          <w:b/>
        </w:rPr>
        <w:t>Gross margin 13.9%</w:t>
      </w:r>
      <w:r>
        <w:t xml:space="preserve"> — against YunJi's ~35% and OneRobotics' ~50%. Its flagship hotel robot's ASP has fallen 45% since 2023 (RMB 20.1k → 11.1k) — the prospectus itself calls it pricing pressure. Net loss RMB 111m, and the Q1 loss is widening again.</w:t>
      </w:r>
    </w:p>
    <w:p>
      <w:pPr>
        <w:pStyle w:val="ListBullet"/>
      </w:pPr>
      <w:r>
        <w:t xml:space="preserve">The concentration is the scary part: top-5 customers are </w:t>
      </w:r>
      <w:r>
        <w:rPr>
          <w:b/>
        </w:rPr>
        <w:t>76–83% of revenue</w:t>
      </w:r>
      <w:r>
        <w:t>, and the largest — an AI-vision integrator founded only in 2021 — alone is ~32%. Essentially the whole 'AI vision' line (38% of revenue) is one young customer. There's also a related-party flag worth knowing: RMB 104m — 65% of one year's R&amp;D — went to buy an algorithm from an entity associated with a person who sits inside the company's own ESOP platform and whose associates were also customers.</w:t>
      </w:r>
    </w:p>
    <w:p>
      <w:pPr>
        <w:pStyle w:val="ListBullet"/>
      </w:pPr>
      <w:r>
        <w:t xml:space="preserve">And the balance sheet says this IPO is a rescue, not a choice: </w:t>
      </w:r>
      <w:r>
        <w:rPr>
          <w:b/>
        </w:rPr>
        <w:t>RMB 21.8m of cash at end-2025</w:t>
      </w:r>
      <w:r>
        <w:t xml:space="preserve">, gearing 234%, and pre-IPO redemption rights that </w:t>
      </w:r>
      <w:r>
        <w:rPr>
          <w:b/>
        </w:rPr>
        <w:t>automatically resurrect if the listing fails</w:t>
      </w:r>
      <w:r>
        <w:t>. They must list.</w:t>
      </w:r>
    </w:p>
    <w:p>
      <w:pPr>
        <w:pStyle w:val="ListBullet"/>
      </w:pPr>
      <w:r>
        <w:t xml:space="preserve">The deal mechanics agree: cornerstones are a token </w:t>
      </w:r>
      <w:r>
        <w:rPr>
          <w:b/>
        </w:rPr>
        <w:t>US$3m</w:t>
      </w:r>
      <w:r>
        <w:t xml:space="preserve"> — and both (SenseTime, 58 Group) are existing shareholders topping up, needing waivers to count at all. No greenshoe. Boutique sole sponsor. Listing costs eat 10% of the raise. Margin book ~</w:t>
      </w:r>
      <w:r>
        <w:rPr>
          <w:b/>
        </w:rPr>
        <w:t>8x</w:t>
      </w:r>
      <w:r>
        <w:t xml:space="preserve"> into day 2 — the same week retail threw 5,126x at LeDong and 110x at Medcaptain. Retail has a menu of robot deals and is visibly choosing other dishes.</w:t>
      </w:r>
    </w:p>
    <w:p>
      <w:pPr>
        <w:pStyle w:val="Heading2"/>
      </w:pPr>
      <w:r>
        <w:t>The peers — what their charts teach, and the forecast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sz w:val="19"/>
              </w:rPr>
            </w:r>
          </w:p>
        </w:tc>
        <w:tc>
          <w:tcPr>
            <w:tcW w:type="dxa" w:w="1872"/>
          </w:tcPr>
          <w:p>
            <w:r/>
            <w:r>
              <w:rPr>
                <w:b/>
                <w:sz w:val="19"/>
              </w:rPr>
              <w:t>P/S</w:t>
            </w:r>
          </w:p>
        </w:tc>
        <w:tc>
          <w:tcPr>
            <w:tcW w:type="dxa" w:w="864"/>
          </w:tcPr>
          <w:p>
            <w:r/>
            <w:r>
              <w:rPr>
                <w:b/>
                <w:sz w:val="19"/>
              </w:rPr>
              <w:t>P/E</w:t>
            </w:r>
          </w:p>
        </w:tc>
        <w:tc>
          <w:tcPr>
            <w:tcW w:type="dxa" w:w="1584"/>
          </w:tcPr>
          <w:p>
            <w:r/>
            <w:r>
              <w:rPr>
                <w:b/>
                <w:sz w:val="19"/>
              </w:rPr>
              <w:t>Growth</w:t>
            </w:r>
          </w:p>
        </w:tc>
        <w:tc>
          <w:tcPr>
            <w:tcW w:type="dxa" w:w="1728"/>
          </w:tcPr>
          <w:p>
            <w:r/>
            <w:r>
              <w:rPr>
                <w:b/>
                <w:sz w:val="19"/>
              </w:rPr>
              <w:t>vs IPO</w:t>
            </w:r>
          </w:p>
        </w:tc>
        <w:tc>
          <w:tcPr>
            <w:tcW w:type="dxa" w:w="2736"/>
          </w:tcPr>
          <w:p>
            <w:r/>
            <w:r>
              <w:rPr>
                <w:b/>
                <w:sz w:val="19"/>
              </w:rPr>
              <w:t>Note</w:t>
            </w:r>
          </w:p>
        </w:tc>
      </w:tr>
      <w:tr>
        <w:tc>
          <w:tcPr>
            <w:tcW w:type="dxa" w:w="2736"/>
          </w:tcPr>
          <w:p>
            <w:r>
              <w:rPr>
                <w:sz w:val="19"/>
              </w:rPr>
            </w:r>
            <w:r>
              <w:rPr>
                <w:b/>
                <w:sz w:val="19"/>
              </w:rPr>
              <w:t>Excelland @ range</w:t>
            </w:r>
          </w:p>
        </w:tc>
        <w:tc>
          <w:tcPr>
            <w:tcW w:type="dxa" w:w="1872"/>
          </w:tcPr>
          <w:p>
            <w:r>
              <w:rPr>
                <w:sz w:val="19"/>
              </w:rPr>
            </w:r>
            <w:r>
              <w:rPr>
                <w:b/>
                <w:sz w:val="19"/>
              </w:rPr>
              <w:t>17–23x FY25</w:t>
            </w:r>
          </w:p>
        </w:tc>
        <w:tc>
          <w:tcPr>
            <w:tcW w:type="dxa" w:w="864"/>
          </w:tcPr>
          <w:p>
            <w:r>
              <w:rPr>
                <w:sz w:val="19"/>
              </w:rPr>
            </w:r>
            <w:r>
              <w:rPr>
                <w:sz w:val="19"/>
              </w:rPr>
              <w:t>n/m</w:t>
            </w:r>
          </w:p>
        </w:tc>
        <w:tc>
          <w:tcPr>
            <w:tcW w:type="dxa" w:w="1584"/>
          </w:tcPr>
          <w:p>
            <w:r>
              <w:rPr>
                <w:sz w:val="19"/>
              </w:rPr>
            </w:r>
            <w:r>
              <w:rPr>
                <w:sz w:val="19"/>
              </w:rPr>
              <w:t>+19%</w:t>
            </w:r>
          </w:p>
        </w:tc>
        <w:tc>
          <w:tcPr>
            <w:tcW w:type="dxa" w:w="1728"/>
          </w:tcPr>
          <w:p>
            <w:r>
              <w:rPr>
                <w:sz w:val="19"/>
              </w:rPr>
            </w:r>
            <w:r>
              <w:rPr>
                <w:sz w:val="19"/>
              </w:rPr>
              <w:t>—</w:t>
            </w:r>
          </w:p>
        </w:tc>
        <w:tc>
          <w:tcPr>
            <w:tcW w:type="dxa" w:w="2736"/>
          </w:tcPr>
          <w:p>
            <w:r>
              <w:rPr>
                <w:sz w:val="19"/>
              </w:rPr>
            </w:r>
            <w:r>
              <w:rPr>
                <w:sz w:val="19"/>
              </w:rPr>
              <w:t>GM 13.9%; one customer = 32% of rev</w:t>
            </w:r>
          </w:p>
        </w:tc>
      </w:tr>
      <w:tr>
        <w:tc>
          <w:tcPr>
            <w:tcW w:type="dxa" w:w="2736"/>
          </w:tcPr>
          <w:p>
            <w:r>
              <w:rPr>
                <w:sz w:val="19"/>
              </w:rPr>
            </w:r>
            <w:r>
              <w:rPr>
                <w:sz w:val="19"/>
              </w:rPr>
              <w:t>YunJi 2670</w:t>
            </w:r>
          </w:p>
        </w:tc>
        <w:tc>
          <w:tcPr>
            <w:tcW w:type="dxa" w:w="1872"/>
          </w:tcPr>
          <w:p>
            <w:r>
              <w:rPr>
                <w:sz w:val="19"/>
              </w:rPr>
            </w:r>
            <w:r>
              <w:rPr>
                <w:sz w:val="19"/>
              </w:rPr>
              <w:t>26.6x FY25 / 18.3x TTM</w:t>
            </w:r>
          </w:p>
        </w:tc>
        <w:tc>
          <w:tcPr>
            <w:tcW w:type="dxa" w:w="864"/>
          </w:tcPr>
          <w:p>
            <w:r>
              <w:rPr>
                <w:sz w:val="19"/>
              </w:rPr>
            </w:r>
            <w:r>
              <w:rPr>
                <w:sz w:val="19"/>
              </w:rPr>
              <w:t>n/m</w:t>
            </w:r>
          </w:p>
        </w:tc>
        <w:tc>
          <w:tcPr>
            <w:tcW w:type="dxa" w:w="1584"/>
          </w:tcPr>
          <w:p>
            <w:r>
              <w:rPr>
                <w:sz w:val="19"/>
              </w:rPr>
            </w:r>
            <w:r>
              <w:rPr>
                <w:sz w:val="19"/>
              </w:rPr>
              <w:t>+72% H1</w:t>
            </w:r>
          </w:p>
        </w:tc>
        <w:tc>
          <w:tcPr>
            <w:tcW w:type="dxa" w:w="1728"/>
          </w:tcPr>
          <w:p>
            <w:r>
              <w:rPr>
                <w:sz w:val="19"/>
              </w:rPr>
            </w:r>
            <w:r>
              <w:rPr>
                <w:sz w:val="19"/>
              </w:rPr>
              <w:t>+32%</w:t>
            </w:r>
          </w:p>
        </w:tc>
        <w:tc>
          <w:tcPr>
            <w:tcW w:type="dxa" w:w="2736"/>
          </w:tcPr>
          <w:p>
            <w:r>
              <w:rPr>
                <w:sz w:val="19"/>
              </w:rPr>
            </w:r>
            <w:r>
              <w:rPr>
                <w:sz w:val="19"/>
              </w:rPr>
              <w:t>adj. loss +247%, float just expanded</w:t>
            </w:r>
          </w:p>
        </w:tc>
      </w:tr>
      <w:tr>
        <w:tc>
          <w:tcPr>
            <w:tcW w:type="dxa" w:w="2736"/>
          </w:tcPr>
          <w:p>
            <w:r>
              <w:rPr>
                <w:sz w:val="19"/>
              </w:rPr>
            </w:r>
            <w:r>
              <w:rPr>
                <w:sz w:val="19"/>
              </w:rPr>
              <w:t>UISEE 驭势 1511</w:t>
            </w:r>
          </w:p>
        </w:tc>
        <w:tc>
          <w:tcPr>
            <w:tcW w:type="dxa" w:w="1872"/>
          </w:tcPr>
          <w:p>
            <w:r>
              <w:rPr>
                <w:sz w:val="19"/>
              </w:rPr>
            </w:r>
            <w:r>
              <w:rPr>
                <w:sz w:val="19"/>
              </w:rPr>
              <w:t>25.6x</w:t>
            </w:r>
          </w:p>
        </w:tc>
        <w:tc>
          <w:tcPr>
            <w:tcW w:type="dxa" w:w="864"/>
          </w:tcPr>
          <w:p>
            <w:r>
              <w:rPr>
                <w:sz w:val="19"/>
              </w:rPr>
            </w:r>
            <w:r>
              <w:rPr>
                <w:sz w:val="19"/>
              </w:rPr>
              <w:t>n/m</w:t>
            </w:r>
          </w:p>
        </w:tc>
        <w:tc>
          <w:tcPr>
            <w:tcW w:type="dxa" w:w="1584"/>
          </w:tcPr>
          <w:p>
            <w:r>
              <w:rPr>
                <w:sz w:val="19"/>
              </w:rPr>
            </w:r>
            <w:r>
              <w:rPr>
                <w:sz w:val="19"/>
              </w:rPr>
              <w:t>+24%</w:t>
            </w:r>
          </w:p>
        </w:tc>
        <w:tc>
          <w:tcPr>
            <w:tcW w:type="dxa" w:w="1728"/>
          </w:tcPr>
          <w:p>
            <w:r>
              <w:rPr>
                <w:sz w:val="19"/>
              </w:rPr>
            </w:r>
            <w:r>
              <w:rPr>
                <w:sz w:val="19"/>
              </w:rPr>
              <w:t>−7%</w:t>
            </w:r>
          </w:p>
        </w:tc>
        <w:tc>
          <w:tcPr>
            <w:tcW w:type="dxa" w:w="2736"/>
          </w:tcPr>
          <w:p>
            <w:r>
              <w:rPr>
                <w:sz w:val="19"/>
              </w:rPr>
            </w:r>
          </w:p>
        </w:tc>
      </w:tr>
      <w:tr>
        <w:tc>
          <w:tcPr>
            <w:tcW w:type="dxa" w:w="2736"/>
          </w:tcPr>
          <w:p>
            <w:r>
              <w:rPr>
                <w:sz w:val="19"/>
              </w:rPr>
            </w:r>
            <w:r>
              <w:rPr>
                <w:sz w:val="19"/>
              </w:rPr>
              <w:t>Momenta 6880</w:t>
            </w:r>
          </w:p>
        </w:tc>
        <w:tc>
          <w:tcPr>
            <w:tcW w:type="dxa" w:w="1872"/>
          </w:tcPr>
          <w:p>
            <w:r>
              <w:rPr>
                <w:sz w:val="19"/>
              </w:rPr>
            </w:r>
            <w:r>
              <w:rPr>
                <w:sz w:val="19"/>
              </w:rPr>
              <w:t>20.2x</w:t>
            </w:r>
          </w:p>
        </w:tc>
        <w:tc>
          <w:tcPr>
            <w:tcW w:type="dxa" w:w="864"/>
          </w:tcPr>
          <w:p>
            <w:r>
              <w:rPr>
                <w:sz w:val="19"/>
              </w:rPr>
            </w:r>
            <w:r>
              <w:rPr>
                <w:sz w:val="19"/>
              </w:rPr>
              <w:t>n/m</w:t>
            </w:r>
          </w:p>
        </w:tc>
        <w:tc>
          <w:tcPr>
            <w:tcW w:type="dxa" w:w="1584"/>
          </w:tcPr>
          <w:p>
            <w:r>
              <w:rPr>
                <w:sz w:val="19"/>
              </w:rPr>
            </w:r>
            <w:r>
              <w:rPr>
                <w:sz w:val="19"/>
              </w:rPr>
              <w:t>+82%</w:t>
            </w:r>
          </w:p>
        </w:tc>
        <w:tc>
          <w:tcPr>
            <w:tcW w:type="dxa" w:w="1728"/>
          </w:tcPr>
          <w:p>
            <w:r>
              <w:rPr>
                <w:sz w:val="19"/>
              </w:rPr>
            </w:r>
            <w:r>
              <w:rPr>
                <w:sz w:val="19"/>
              </w:rPr>
              <w:t>−22%</w:t>
            </w:r>
          </w:p>
        </w:tc>
        <w:tc>
          <w:tcPr>
            <w:tcW w:type="dxa" w:w="2736"/>
          </w:tcPr>
          <w:p>
            <w:r>
              <w:rPr>
                <w:sz w:val="19"/>
              </w:rPr>
            </w:r>
            <w:r>
              <w:rPr>
                <w:sz w:val="19"/>
              </w:rPr>
              <w:t>HK$3.9bn ttm loss</w:t>
            </w:r>
          </w:p>
        </w:tc>
      </w:tr>
      <w:tr>
        <w:tc>
          <w:tcPr>
            <w:tcW w:type="dxa" w:w="2736"/>
          </w:tcPr>
          <w:p>
            <w:r>
              <w:rPr>
                <w:sz w:val="19"/>
              </w:rPr>
            </w:r>
            <w:r>
              <w:rPr>
                <w:sz w:val="19"/>
              </w:rPr>
              <w:t>Rokae 3752</w:t>
            </w:r>
          </w:p>
        </w:tc>
        <w:tc>
          <w:tcPr>
            <w:tcW w:type="dxa" w:w="1872"/>
          </w:tcPr>
          <w:p>
            <w:r>
              <w:rPr>
                <w:sz w:val="19"/>
              </w:rPr>
            </w:r>
            <w:r>
              <w:rPr>
                <w:sz w:val="19"/>
              </w:rPr>
              <w:t>19.6x</w:t>
            </w:r>
          </w:p>
        </w:tc>
        <w:tc>
          <w:tcPr>
            <w:tcW w:type="dxa" w:w="864"/>
          </w:tcPr>
          <w:p>
            <w:r>
              <w:rPr>
                <w:sz w:val="19"/>
              </w:rPr>
            </w:r>
            <w:r>
              <w:rPr>
                <w:sz w:val="19"/>
              </w:rPr>
              <w:t>n/m</w:t>
            </w:r>
          </w:p>
        </w:tc>
        <w:tc>
          <w:tcPr>
            <w:tcW w:type="dxa" w:w="1584"/>
          </w:tcPr>
          <w:p>
            <w:r>
              <w:rPr>
                <w:sz w:val="19"/>
              </w:rPr>
            </w:r>
            <w:r>
              <w:rPr>
                <w:sz w:val="19"/>
              </w:rPr>
              <w:t>+60%</w:t>
            </w:r>
          </w:p>
        </w:tc>
        <w:tc>
          <w:tcPr>
            <w:tcW w:type="dxa" w:w="1728"/>
          </w:tcPr>
          <w:p>
            <w:r>
              <w:rPr>
                <w:sz w:val="19"/>
              </w:rPr>
            </w:r>
            <w:r>
              <w:rPr>
                <w:sz w:val="19"/>
              </w:rPr>
              <w:t>+41%</w:t>
            </w:r>
          </w:p>
        </w:tc>
        <w:tc>
          <w:tcPr>
            <w:tcW w:type="dxa" w:w="2736"/>
          </w:tcPr>
          <w:p>
            <w:r>
              <w:rPr>
                <w:sz w:val="19"/>
              </w:rPr>
            </w:r>
            <w:r>
              <w:rPr>
                <w:sz w:val="19"/>
              </w:rPr>
              <w:t>−18.5% on Sep 1 alone (Mech-Mind debut repriced it)</w:t>
            </w:r>
          </w:p>
        </w:tc>
      </w:tr>
      <w:tr>
        <w:tc>
          <w:tcPr>
            <w:tcW w:type="dxa" w:w="2736"/>
          </w:tcPr>
          <w:p>
            <w:r>
              <w:rPr>
                <w:sz w:val="19"/>
              </w:rPr>
            </w:r>
            <w:r>
              <w:rPr>
                <w:sz w:val="19"/>
              </w:rPr>
              <w:t>LDRobot 乐动 1236</w:t>
            </w:r>
          </w:p>
        </w:tc>
        <w:tc>
          <w:tcPr>
            <w:tcW w:type="dxa" w:w="1872"/>
          </w:tcPr>
          <w:p>
            <w:r>
              <w:rPr>
                <w:sz w:val="19"/>
              </w:rPr>
            </w:r>
            <w:r>
              <w:rPr>
                <w:sz w:val="19"/>
              </w:rPr>
              <w:t>14.4x</w:t>
            </w:r>
          </w:p>
        </w:tc>
        <w:tc>
          <w:tcPr>
            <w:tcW w:type="dxa" w:w="864"/>
          </w:tcPr>
          <w:p>
            <w:r>
              <w:rPr>
                <w:sz w:val="19"/>
              </w:rPr>
            </w:r>
            <w:r>
              <w:rPr>
                <w:sz w:val="19"/>
              </w:rPr>
              <w:t>n/m</w:t>
            </w:r>
          </w:p>
        </w:tc>
        <w:tc>
          <w:tcPr>
            <w:tcW w:type="dxa" w:w="1584"/>
          </w:tcPr>
          <w:p>
            <w:r>
              <w:rPr>
                <w:sz w:val="19"/>
              </w:rPr>
            </w:r>
            <w:r>
              <w:rPr>
                <w:sz w:val="19"/>
              </w:rPr>
              <w:t>+60%</w:t>
            </w:r>
          </w:p>
        </w:tc>
        <w:tc>
          <w:tcPr>
            <w:tcW w:type="dxa" w:w="1728"/>
          </w:tcPr>
          <w:p>
            <w:r>
              <w:rPr>
                <w:sz w:val="19"/>
              </w:rPr>
            </w:r>
            <w:r>
              <w:rPr>
                <w:sz w:val="19"/>
              </w:rPr>
              <w:t>+36%</w:t>
            </w:r>
          </w:p>
        </w:tc>
        <w:tc>
          <w:tcPr>
            <w:tcW w:type="dxa" w:w="2736"/>
          </w:tcPr>
          <w:p>
            <w:r>
              <w:rPr>
                <w:sz w:val="19"/>
              </w:rPr>
            </w:r>
          </w:p>
        </w:tc>
      </w:tr>
      <w:tr>
        <w:tc>
          <w:tcPr>
            <w:tcW w:type="dxa" w:w="2736"/>
          </w:tcPr>
          <w:p>
            <w:r>
              <w:rPr>
                <w:sz w:val="19"/>
              </w:rPr>
            </w:r>
            <w:r>
              <w:rPr>
                <w:sz w:val="19"/>
              </w:rPr>
              <w:t>Robotphoenix 翼菲 6871</w:t>
            </w:r>
          </w:p>
        </w:tc>
        <w:tc>
          <w:tcPr>
            <w:tcW w:type="dxa" w:w="1872"/>
          </w:tcPr>
          <w:p>
            <w:r>
              <w:rPr>
                <w:sz w:val="19"/>
              </w:rPr>
            </w:r>
            <w:r>
              <w:rPr>
                <w:sz w:val="19"/>
              </w:rPr>
              <w:t>13.0x</w:t>
            </w:r>
          </w:p>
        </w:tc>
        <w:tc>
          <w:tcPr>
            <w:tcW w:type="dxa" w:w="864"/>
          </w:tcPr>
          <w:p>
            <w:r>
              <w:rPr>
                <w:sz w:val="19"/>
              </w:rPr>
            </w:r>
            <w:r>
              <w:rPr>
                <w:sz w:val="19"/>
              </w:rPr>
              <w:t>n/m</w:t>
            </w:r>
          </w:p>
        </w:tc>
        <w:tc>
          <w:tcPr>
            <w:tcW w:type="dxa" w:w="1584"/>
          </w:tcPr>
          <w:p>
            <w:r>
              <w:rPr>
                <w:sz w:val="19"/>
              </w:rPr>
            </w:r>
            <w:r>
              <w:rPr>
                <w:sz w:val="19"/>
              </w:rPr>
              <w:t>+45%</w:t>
            </w:r>
          </w:p>
        </w:tc>
        <w:tc>
          <w:tcPr>
            <w:tcW w:type="dxa" w:w="1728"/>
          </w:tcPr>
          <w:p>
            <w:r>
              <w:rPr>
                <w:sz w:val="19"/>
              </w:rPr>
            </w:r>
            <w:r>
              <w:rPr>
                <w:sz w:val="19"/>
              </w:rPr>
              <w:t>−10%</w:t>
            </w:r>
          </w:p>
        </w:tc>
        <w:tc>
          <w:tcPr>
            <w:tcW w:type="dxa" w:w="2736"/>
          </w:tcPr>
          <w:p>
            <w:r>
              <w:rPr>
                <w:sz w:val="19"/>
              </w:rPr>
            </w:r>
          </w:p>
        </w:tc>
      </w:tr>
      <w:tr>
        <w:tc>
          <w:tcPr>
            <w:tcW w:type="dxa" w:w="2736"/>
          </w:tcPr>
          <w:p>
            <w:r>
              <w:rPr>
                <w:sz w:val="19"/>
              </w:rPr>
            </w:r>
            <w:r>
              <w:rPr>
                <w:sz w:val="19"/>
              </w:rPr>
              <w:t>Seer 仙工 6106</w:t>
            </w:r>
          </w:p>
        </w:tc>
        <w:tc>
          <w:tcPr>
            <w:tcW w:type="dxa" w:w="1872"/>
          </w:tcPr>
          <w:p>
            <w:r>
              <w:rPr>
                <w:sz w:val="19"/>
              </w:rPr>
            </w:r>
            <w:r>
              <w:rPr>
                <w:sz w:val="19"/>
              </w:rPr>
              <w:t>11.8x</w:t>
            </w:r>
          </w:p>
        </w:tc>
        <w:tc>
          <w:tcPr>
            <w:tcW w:type="dxa" w:w="864"/>
          </w:tcPr>
          <w:p>
            <w:r>
              <w:rPr>
                <w:sz w:val="19"/>
              </w:rPr>
            </w:r>
            <w:r>
              <w:rPr>
                <w:sz w:val="19"/>
              </w:rPr>
              <w:t>n/m</w:t>
            </w:r>
          </w:p>
        </w:tc>
        <w:tc>
          <w:tcPr>
            <w:tcW w:type="dxa" w:w="1584"/>
          </w:tcPr>
          <w:p>
            <w:r>
              <w:rPr>
                <w:sz w:val="19"/>
              </w:rPr>
            </w:r>
            <w:r>
              <w:rPr>
                <w:sz w:val="19"/>
              </w:rPr>
              <w:t>+30%</w:t>
            </w:r>
          </w:p>
        </w:tc>
        <w:tc>
          <w:tcPr>
            <w:tcW w:type="dxa" w:w="1728"/>
          </w:tcPr>
          <w:p>
            <w:r>
              <w:rPr>
                <w:sz w:val="19"/>
              </w:rPr>
            </w:r>
            <w:r>
              <w:rPr>
                <w:sz w:val="19"/>
              </w:rPr>
              <w:t>−34%</w:t>
            </w:r>
          </w:p>
        </w:tc>
        <w:tc>
          <w:tcPr>
            <w:tcW w:type="dxa" w:w="2736"/>
          </w:tcPr>
          <w:p>
            <w:r>
              <w:rPr>
                <w:sz w:val="19"/>
              </w:rPr>
            </w:r>
          </w:p>
        </w:tc>
      </w:tr>
      <w:tr>
        <w:tc>
          <w:tcPr>
            <w:tcW w:type="dxa" w:w="2736"/>
          </w:tcPr>
          <w:p>
            <w:r>
              <w:rPr>
                <w:sz w:val="19"/>
              </w:rPr>
            </w:r>
            <w:r>
              <w:rPr>
                <w:sz w:val="19"/>
              </w:rPr>
              <w:t>Galaxis 凯乐士 2729</w:t>
            </w:r>
          </w:p>
        </w:tc>
        <w:tc>
          <w:tcPr>
            <w:tcW w:type="dxa" w:w="1872"/>
          </w:tcPr>
          <w:p>
            <w:r>
              <w:rPr>
                <w:sz w:val="19"/>
              </w:rPr>
            </w:r>
            <w:r>
              <w:rPr>
                <w:sz w:val="19"/>
              </w:rPr>
              <w:t>11.7x</w:t>
            </w:r>
          </w:p>
        </w:tc>
        <w:tc>
          <w:tcPr>
            <w:tcW w:type="dxa" w:w="864"/>
          </w:tcPr>
          <w:p>
            <w:r>
              <w:rPr>
                <w:sz w:val="19"/>
              </w:rPr>
            </w:r>
            <w:r>
              <w:rPr>
                <w:sz w:val="19"/>
              </w:rPr>
              <w:t>n/m</w:t>
            </w:r>
          </w:p>
        </w:tc>
        <w:tc>
          <w:tcPr>
            <w:tcW w:type="dxa" w:w="1584"/>
          </w:tcPr>
          <w:p>
            <w:r>
              <w:rPr>
                <w:sz w:val="19"/>
              </w:rPr>
            </w:r>
            <w:r>
              <w:rPr>
                <w:sz w:val="19"/>
              </w:rPr>
              <w:t>+26%</w:t>
            </w:r>
          </w:p>
        </w:tc>
        <w:tc>
          <w:tcPr>
            <w:tcW w:type="dxa" w:w="1728"/>
          </w:tcPr>
          <w:p>
            <w:r>
              <w:rPr>
                <w:sz w:val="19"/>
              </w:rPr>
            </w:r>
            <w:r>
              <w:rPr>
                <w:sz w:val="19"/>
              </w:rPr>
              <w:t>+99%</w:t>
            </w:r>
          </w:p>
        </w:tc>
        <w:tc>
          <w:tcPr>
            <w:tcW w:type="dxa" w:w="2736"/>
          </w:tcPr>
          <w:p>
            <w:r>
              <w:rPr>
                <w:sz w:val="19"/>
              </w:rPr>
            </w:r>
          </w:p>
        </w:tc>
      </w:tr>
      <w:tr>
        <w:tc>
          <w:tcPr>
            <w:tcW w:type="dxa" w:w="2736"/>
          </w:tcPr>
          <w:p>
            <w:r>
              <w:rPr>
                <w:sz w:val="19"/>
              </w:rPr>
            </w:r>
            <w:r>
              <w:rPr>
                <w:sz w:val="19"/>
              </w:rPr>
              <w:t>OneRobotics 6600</w:t>
            </w:r>
          </w:p>
        </w:tc>
        <w:tc>
          <w:tcPr>
            <w:tcW w:type="dxa" w:w="1872"/>
          </w:tcPr>
          <w:p>
            <w:r>
              <w:rPr>
                <w:sz w:val="19"/>
              </w:rPr>
            </w:r>
            <w:r>
              <w:rPr>
                <w:sz w:val="19"/>
              </w:rPr>
              <w:t>11.3x</w:t>
            </w:r>
          </w:p>
        </w:tc>
        <w:tc>
          <w:tcPr>
            <w:tcW w:type="dxa" w:w="864"/>
          </w:tcPr>
          <w:p>
            <w:r>
              <w:rPr>
                <w:sz w:val="19"/>
              </w:rPr>
            </w:r>
            <w:r>
              <w:rPr>
                <w:sz w:val="19"/>
              </w:rPr>
              <w:t>n/m</w:t>
            </w:r>
          </w:p>
        </w:tc>
        <w:tc>
          <w:tcPr>
            <w:tcW w:type="dxa" w:w="1584"/>
          </w:tcPr>
          <w:p>
            <w:r>
              <w:rPr>
                <w:sz w:val="19"/>
              </w:rPr>
            </w:r>
            <w:r>
              <w:rPr>
                <w:sz w:val="19"/>
              </w:rPr>
              <w:t>+48% FY25, slowing</w:t>
            </w:r>
          </w:p>
        </w:tc>
        <w:tc>
          <w:tcPr>
            <w:tcW w:type="dxa" w:w="1728"/>
          </w:tcPr>
          <w:p>
            <w:r>
              <w:rPr>
                <w:sz w:val="19"/>
              </w:rPr>
            </w:r>
            <w:r>
              <w:rPr>
                <w:b/>
                <w:sz w:val="19"/>
              </w:rPr>
              <w:t>−33%, at lows</w:t>
            </w:r>
          </w:p>
        </w:tc>
        <w:tc>
          <w:tcPr>
            <w:tcW w:type="dxa" w:w="2736"/>
          </w:tcPr>
          <w:p>
            <w:r>
              <w:rPr>
                <w:sz w:val="19"/>
              </w:rPr>
            </w:r>
            <w:r>
              <w:rPr>
                <w:sz w:val="19"/>
              </w:rPr>
              <w:t>GM 50%</w:t>
            </w:r>
          </w:p>
        </w:tc>
      </w:tr>
      <w:tr>
        <w:tc>
          <w:tcPr>
            <w:tcW w:type="dxa" w:w="2736"/>
          </w:tcPr>
          <w:p>
            <w:r>
              <w:rPr>
                <w:sz w:val="19"/>
              </w:rPr>
            </w:r>
            <w:r>
              <w:rPr>
                <w:sz w:val="19"/>
              </w:rPr>
              <w:t>EACON 易控 7687</w:t>
            </w:r>
          </w:p>
        </w:tc>
        <w:tc>
          <w:tcPr>
            <w:tcW w:type="dxa" w:w="1872"/>
          </w:tcPr>
          <w:p>
            <w:r>
              <w:rPr>
                <w:sz w:val="19"/>
              </w:rPr>
            </w:r>
            <w:r>
              <w:rPr>
                <w:sz w:val="19"/>
              </w:rPr>
              <w:t>7.4x</w:t>
            </w:r>
          </w:p>
        </w:tc>
        <w:tc>
          <w:tcPr>
            <w:tcW w:type="dxa" w:w="864"/>
          </w:tcPr>
          <w:p>
            <w:r>
              <w:rPr>
                <w:sz w:val="19"/>
              </w:rPr>
            </w:r>
            <w:r>
              <w:rPr>
                <w:sz w:val="19"/>
              </w:rPr>
              <w:t>n/m</w:t>
            </w:r>
          </w:p>
        </w:tc>
        <w:tc>
          <w:tcPr>
            <w:tcW w:type="dxa" w:w="1584"/>
          </w:tcPr>
          <w:p>
            <w:r>
              <w:rPr>
                <w:sz w:val="19"/>
              </w:rPr>
            </w:r>
            <w:r>
              <w:rPr>
                <w:sz w:val="19"/>
              </w:rPr>
              <w:t>+46%</w:t>
            </w:r>
          </w:p>
        </w:tc>
        <w:tc>
          <w:tcPr>
            <w:tcW w:type="dxa" w:w="1728"/>
          </w:tcPr>
          <w:p>
            <w:r>
              <w:rPr>
                <w:sz w:val="19"/>
              </w:rPr>
            </w:r>
            <w:r>
              <w:rPr>
                <w:sz w:val="19"/>
              </w:rPr>
              <w:t>−14%</w:t>
            </w:r>
          </w:p>
        </w:tc>
        <w:tc>
          <w:tcPr>
            <w:tcW w:type="dxa" w:w="2736"/>
          </w:tcPr>
          <w:p>
            <w:r>
              <w:rPr>
                <w:sz w:val="19"/>
              </w:rPr>
            </w:r>
          </w:p>
        </w:tc>
      </w:tr>
      <w:tr>
        <w:tc>
          <w:tcPr>
            <w:tcW w:type="dxa" w:w="2736"/>
          </w:tcPr>
          <w:p>
            <w:r>
              <w:rPr>
                <w:sz w:val="19"/>
              </w:rPr>
            </w:r>
            <w:r>
              <w:rPr>
                <w:sz w:val="19"/>
              </w:rPr>
              <w:t>Estun 2715 (profitable)</w:t>
            </w:r>
          </w:p>
        </w:tc>
        <w:tc>
          <w:tcPr>
            <w:tcW w:type="dxa" w:w="1872"/>
          </w:tcPr>
          <w:p>
            <w:r>
              <w:rPr>
                <w:sz w:val="19"/>
              </w:rPr>
            </w:r>
            <w:r>
              <w:rPr>
                <w:sz w:val="19"/>
              </w:rPr>
              <w:t>5.5x</w:t>
            </w:r>
          </w:p>
        </w:tc>
        <w:tc>
          <w:tcPr>
            <w:tcW w:type="dxa" w:w="864"/>
          </w:tcPr>
          <w:p>
            <w:r>
              <w:rPr>
                <w:sz w:val="19"/>
              </w:rPr>
            </w:r>
            <w:r>
              <w:rPr>
                <w:sz w:val="19"/>
              </w:rPr>
              <w:t>147x</w:t>
            </w:r>
          </w:p>
        </w:tc>
        <w:tc>
          <w:tcPr>
            <w:tcW w:type="dxa" w:w="1584"/>
          </w:tcPr>
          <w:p>
            <w:r>
              <w:rPr>
                <w:sz w:val="19"/>
              </w:rPr>
            </w:r>
            <w:r>
              <w:rPr>
                <w:sz w:val="19"/>
              </w:rPr>
              <w:t>+12%</w:t>
            </w:r>
          </w:p>
        </w:tc>
        <w:tc>
          <w:tcPr>
            <w:tcW w:type="dxa" w:w="1728"/>
          </w:tcPr>
          <w:p>
            <w:r>
              <w:rPr>
                <w:sz w:val="19"/>
              </w:rPr>
            </w:r>
            <w:r>
              <w:rPr>
                <w:sz w:val="19"/>
              </w:rPr>
              <w:t>+9%</w:t>
            </w:r>
          </w:p>
        </w:tc>
        <w:tc>
          <w:tcPr>
            <w:tcW w:type="dxa" w:w="2736"/>
          </w:tcPr>
          <w:p>
            <w:r>
              <w:rPr>
                <w:sz w:val="19"/>
              </w:rPr>
            </w:r>
          </w:p>
        </w:tc>
      </w:tr>
      <w:tr>
        <w:tc>
          <w:tcPr>
            <w:tcW w:type="dxa" w:w="2736"/>
          </w:tcPr>
          <w:p>
            <w:r>
              <w:rPr>
                <w:sz w:val="19"/>
              </w:rPr>
            </w:r>
            <w:r>
              <w:rPr>
                <w:sz w:val="19"/>
              </w:rPr>
              <w:t>Ninebot 689009 (profitable ref.)</w:t>
            </w:r>
          </w:p>
        </w:tc>
        <w:tc>
          <w:tcPr>
            <w:tcW w:type="dxa" w:w="1872"/>
          </w:tcPr>
          <w:p>
            <w:r>
              <w:rPr>
                <w:sz w:val="19"/>
              </w:rPr>
            </w:r>
            <w:r>
              <w:rPr>
                <w:sz w:val="19"/>
              </w:rPr>
              <w:t>1.3x</w:t>
            </w:r>
          </w:p>
        </w:tc>
        <w:tc>
          <w:tcPr>
            <w:tcW w:type="dxa" w:w="864"/>
          </w:tcPr>
          <w:p>
            <w:r>
              <w:rPr>
                <w:sz w:val="19"/>
              </w:rPr>
            </w:r>
            <w:r>
              <w:rPr>
                <w:sz w:val="19"/>
              </w:rPr>
              <w:t>~20x</w:t>
            </w:r>
          </w:p>
        </w:tc>
        <w:tc>
          <w:tcPr>
            <w:tcW w:type="dxa" w:w="1584"/>
          </w:tcPr>
          <w:p>
            <w:r>
              <w:rPr>
                <w:sz w:val="19"/>
              </w:rPr>
            </w:r>
            <w:r>
              <w:rPr>
                <w:sz w:val="19"/>
              </w:rPr>
              <w:t>—</w:t>
            </w:r>
          </w:p>
        </w:tc>
        <w:tc>
          <w:tcPr>
            <w:tcW w:type="dxa" w:w="1728"/>
          </w:tcPr>
          <w:p>
            <w:r>
              <w:rPr>
                <w:sz w:val="19"/>
              </w:rPr>
            </w:r>
            <w:r>
              <w:rPr>
                <w:sz w:val="19"/>
              </w:rPr>
              <w:t>—</w:t>
            </w:r>
          </w:p>
        </w:tc>
        <w:tc>
          <w:tcPr>
            <w:tcW w:type="dxa" w:w="2736"/>
          </w:tcPr>
          <w:p>
            <w:r>
              <w:rPr>
                <w:sz w:val="19"/>
              </w:rPr>
            </w:r>
            <w:r>
              <w:rPr>
                <w:sz w:val="19"/>
              </w:rPr>
              <w:t>what profitable robots actually fetch</w:t>
            </w:r>
          </w:p>
        </w:tc>
      </w:tr>
    </w:tbl>
    <w:p/>
    <w:p>
      <w:pPr>
        <w:pStyle w:val="ListBullet"/>
      </w:pPr>
      <w:r>
        <w:rPr>
          <w:b/>
        </w:rPr>
        <w:t>YunJi's round trip is the roadmap.</w:t>
      </w:r>
      <w:r>
        <w:t xml:space="preserve"> 5,657x book, opened +49%, then tripled into June on a thin float and robot mania (peak HK$324). What broke it wasn't the story — revenue grew +72% — it was the *quality and float*: the Aug profit alert showed the operating loss widening (−10% next day), the interim confirmed adjusted losses up +247% with margin falling, the May buyback support went quiet, and full circulation completed 26 Aug expanded the float right into the weakness. Now HK$126, −61% off the peak. Forecast: with the float bigger and losses widening, it grinds toward issue unless H2 shows real operating leverage.</w:t>
      </w:r>
    </w:p>
    <w:p>
      <w:pPr>
        <w:pStyle w:val="ListBullet"/>
      </w:pPr>
      <w:r>
        <w:rPr>
          <w:b/>
        </w:rPr>
        <w:t>OneRobotics is the other lesson.</w:t>
      </w:r>
      <w:r>
        <w:t xml:space="preserve"> Flat debut at HK$73.80, tripled to 201 in the Feb–Mar mania, then −71%: the cornerstone unlock in June started it, and the Aug interim (growth decelerating to +32%, margin down, FX swing to loss) put it at an all-time low, 31% below issue. Of the cohort it's now the closest to interesting — ~10x sales for a real overseas consumer franchise with a buyback pending — but it needs a profit swing-back first. Forecast: base-builds here; not a falling knife but no hurry either.</w:t>
      </w:r>
    </w:p>
    <w:p>
      <w:pPr>
        <w:pStyle w:val="ListBullet"/>
      </w:pPr>
      <w:r>
        <w:t xml:space="preserve">Now read the full shelf. Ten listed robots, nine loss-making, median around </w:t>
      </w:r>
      <w:r>
        <w:rPr>
          <w:b/>
        </w:rPr>
        <w:t>13x sales</w:t>
      </w:r>
      <w:r>
        <w:t xml:space="preserve"> — and six of the ten are underwater versus their own offer price. The winners (Galaxis +99%, Rokae +41%, LDRobot +36%) all have something Excelland doesn't: a real margin, a real niche, or momentum-grade growth. Excelland walks in asking 17–23x — top-quartile price — with the worst gross margin on the list (14%), the worst customer concentration, and the weakest balance sheet. And notice what happened to Rokae on Sep 1: down 18.5% in a day just because Mech-Mind listed and gave the market a better robot to own. This shelf reprices on every new supply, and there are 40+ robot IPOs still queued.</w:t>
      </w:r>
    </w:p>
    <w:p>
      <w:pPr>
        <w:pStyle w:val="ListBullet"/>
      </w:pPr>
      <w:r>
        <w:rPr>
          <w:b/>
        </w:rPr>
        <w:t>Verdict: avoid, including the debut.</w:t>
      </w:r>
      <w:r>
        <w:t xml:space="preserve"> This is what the bottom of the robotics-IPO barrel looks like — the same week Mech-Mind shows you the top. If you want service robots at all, OneRobotics below HK$52 is the better-quality, half-the-multiple version; and if you want the momentum game, Mech-Mind's float math is the one with the fuel.</w:t>
      </w:r>
    </w:p>
    <w:p>
      <w:pPr>
        <w:pStyle w:val="Heading1"/>
      </w:pPr>
      <w:r>
        <w:t>7. Broadcom (AVGO) — reports Wednesday night; what you need before the print</w:t>
      </w:r>
    </w:p>
    <w:p>
      <w:r>
        <w:t xml:space="preserve">Prints </w:t>
      </w:r>
      <w:r>
        <w:rPr>
          <w:b/>
        </w:rPr>
        <w:t>Wed 2 Sep after the US close</w:t>
      </w:r>
      <w:r>
        <w:t xml:space="preserve"> (Thu morning our time), call 5pm ET — landing mid-VMware Explore. Stock $370, market cap $1.76T, </w:t>
      </w:r>
      <w:r>
        <w:rPr>
          <w:b/>
        </w:rPr>
        <w:t>25% below the June all-time high</w:t>
      </w:r>
      <w:r>
        <w:t xml:space="preserve">, and down ~12% over the 60 days into the print. Options imply a </w:t>
      </w:r>
      <w:r>
        <w:rPr>
          <w:b/>
        </w:rPr>
        <w:t>±7–9% move</w:t>
      </w:r>
      <w:r>
        <w:t>.</w:t>
      </w:r>
    </w:p>
    <w:p>
      <w:pPr>
        <w:pStyle w:val="Heading2"/>
      </w:pPr>
      <w:r>
        <w:t>The numbers on the table</w:t>
      </w:r>
    </w:p>
    <w:p>
      <w:pPr>
        <w:pStyle w:val="ListBullet"/>
      </w:pPr>
      <w:r>
        <w:t xml:space="preserve">Consensus FQ3: revenue ~$29.4bn (+85%), adjusted EPS ~$3.23 — matching the company's own guide. The guide that matters inside it: </w:t>
      </w:r>
      <w:r>
        <w:rPr>
          <w:b/>
        </w:rPr>
        <w:t>AI semis $16.0bn</w:t>
      </w:r>
      <w:r>
        <w:t>, software $8.9bn (+31%, a big step-up that must print), gross margin ~74% (down ~310bp on XPU/rack mix).</w:t>
      </w:r>
    </w:p>
    <w:p>
      <w:pPr>
        <w:pStyle w:val="ListBullet"/>
      </w:pPr>
      <w:r>
        <w:t xml:space="preserve">Full-year anchors: FY26 AI reaffirmed at </w:t>
      </w:r>
      <w:r>
        <w:rPr>
          <w:b/>
        </w:rPr>
        <w:t>$56bn (+~180%)</w:t>
      </w:r>
      <w:r>
        <w:t xml:space="preserve">; FY27 AI still only qualified as </w:t>
      </w:r>
      <w:r>
        <w:rPr>
          <w:b/>
        </w:rPr>
        <w:t>"in excess of $100bn."</w:t>
      </w:r>
      <w:r>
        <w:t xml:space="preserve"> Consensus has FY26 revenue $106bn and FY27 $173bn — you're paying ~32x this year's EPS, </w:t>
      </w:r>
      <w:r>
        <w:rPr>
          <w:b/>
        </w:rPr>
        <w:t>19x FY27's</w:t>
      </w:r>
      <w:r>
        <w:t>. Street: 45 of 49 at Buy, average target $526.</w:t>
      </w:r>
    </w:p>
    <w:p>
      <w:pPr>
        <w:pStyle w:val="Heading2"/>
      </w:pPr>
      <w:r>
        <w:t>How this stock actually trades on prints — the only pattern that matters</w:t>
      </w:r>
    </w:p>
    <w:p>
      <w:pPr>
        <w:pStyle w:val="ListBullet"/>
      </w:pPr>
      <w:r>
        <w:t xml:space="preserve">Eight straight revenue/EPS beats, and the stock ignored every one of them. What moves it is the </w:t>
      </w:r>
      <w:r>
        <w:rPr>
          <w:b/>
        </w:rPr>
        <w:t>AI guide versus the buyside number, and margin language</w:t>
      </w:r>
      <w:r>
        <w:t xml:space="preserve">: in-line AI guide −5% (Jun '25); GM-dilution guide −11% (Dec '25); guide below whisper with no FY27 raise </w:t>
      </w:r>
      <w:r>
        <w:rPr>
          <w:b/>
        </w:rPr>
        <w:t>−12.6% (June — buyside wanted $17.2bn, got $16.0bn)</w:t>
      </w:r>
      <w:r>
        <w:t>. The rips are all the same trade too: new customer or target raise (+24%, +9%, +5%).</w:t>
      </w:r>
    </w:p>
    <w:p>
      <w:pPr>
        <w:pStyle w:val="ListBullet"/>
      </w:pPr>
      <w:r>
        <w:t xml:space="preserve">They also sandbag: the AI print has beaten its own guide by $0.1–0.3bn </w:t>
      </w:r>
      <w:r>
        <w:rPr>
          <w:b/>
        </w:rPr>
        <w:t>every quarter this cycle</w:t>
      </w:r>
      <w:r>
        <w:t xml:space="preserve">. So $16.2–16.3bn tomorrow is scripted, not a beat. The real bars: </w:t>
      </w:r>
      <w:r>
        <w:rPr>
          <w:b/>
        </w:rPr>
        <w:t>AI print ≥ ~$16.5bn; FQ4 AI guide ≥ ~$21bn</w:t>
      </w:r>
      <w:r>
        <w:t xml:space="preserve"> (the $56bn path already implies $20.8bn — guiding there is zero news); and above all, </w:t>
      </w:r>
      <w:r>
        <w:rPr>
          <w:b/>
        </w:rPr>
        <w:t>replacing "in excess of $100bn" for FY27 with an actual bigger number.</w:t>
      </w:r>
      <w:r>
        <w:t xml:space="preserve"> That sentence is the whole print.</w:t>
      </w:r>
    </w:p>
    <w:p>
      <w:pPr>
        <w:pStyle w:val="Heading2"/>
      </w:pPr>
      <w:r>
        <w:t>What the market wants to hear, in order</w:t>
      </w:r>
    </w:p>
    <w:p>
      <w:pPr>
        <w:pStyle w:val="ListBullet"/>
      </w:pPr>
      <w:r>
        <w:rPr>
          <w:b/>
        </w:rPr>
        <w:t>FY27 quantified above $100bn</w:t>
      </w:r>
      <w:r>
        <w:t xml:space="preserve"> — the June sell-off was this exact sentence not upgrading. </w:t>
      </w:r>
      <w:r>
        <w:rPr>
          <w:b/>
        </w:rPr>
        <w:t>OpenAI 10GW shipping confirmation</w:t>
      </w:r>
      <w:r>
        <w:t xml:space="preserve"> — June said production late '26, 1.3GW contractual in '27; the market wants "shipments have started." </w:t>
      </w:r>
      <w:r>
        <w:rPr>
          <w:b/>
        </w:rPr>
        <w:t>A Google answer</w:t>
      </w:r>
      <w:r>
        <w:t xml:space="preserve"> — Google signed an up-to-$120bn custom-silicon framework with Marvell on Aug 19 (milestone warrants, not committed volume, and the teardowns say the headline overstates near-term displacement — but it will be the first analyst question). </w:t>
      </w:r>
      <w:r>
        <w:rPr>
          <w:b/>
        </w:rPr>
        <w:t>A gross-margin floor</w:t>
      </w:r>
      <w:r>
        <w:t xml:space="preserve"> — "74% and stabilising" keeps the bears quiet; below 73% guided for Q4 is the tail risk. Plus any 7th customer or naming of the two $6bn mystery accounts.</w:t>
      </w:r>
    </w:p>
    <w:p>
      <w:pPr>
        <w:pStyle w:val="ListBullet"/>
      </w:pPr>
      <w:r>
        <w:t xml:space="preserve">Read-across this week cuts both ways: Nvidia beat and ripped +8% (AI-capex tone fine), but Marvell — the custom-silicon twin — </w:t>
      </w:r>
      <w:r>
        <w:rPr>
          <w:b/>
        </w:rPr>
        <w:t>fell 10% on margin compression in exactly the business AVGO is scaling</w:t>
      </w:r>
      <w:r>
        <w:t>. That's the bear template applied to tomorrow's GM line.</w:t>
      </w:r>
    </w:p>
    <w:p>
      <w:pPr>
        <w:pStyle w:val="Heading2"/>
      </w:pPr>
      <w:r>
        <w:t>Our read</w:t>
      </w:r>
    </w:p>
    <w:p>
      <w:pPr>
        <w:pStyle w:val="ListBullet"/>
      </w:pPr>
      <w:r>
        <w:t xml:space="preserve">The setup is the mirror image of June: then it walked in +39% over 60 days and got destroyed by an in-line guide; now it walks in −12% with the whisper reset lower. Positioning finally favours the long side, and the sandbagged-beat-plus-$21bn-Q4-guide script is likely delivered. But structurally </w:t>
      </w:r>
      <w:r>
        <w:rPr>
          <w:b/>
        </w:rPr>
        <w:t>this stock does not pay you for in-line — it sells off unless something is raised.</w:t>
      </w:r>
      <w:r>
        <w:t xml:space="preserve"> Base case: scripted beat, FQ4 guide ~$21bn, FY27 repeated-but-not-quantified → flat to modestly down. Rip case (needs FY27 number &gt;$110bn, or OpenAI early, or a name on the mystery customers): +8–10%. Tail: GM guided sub-73% or cautious Google language → −8% or worse.</w:t>
      </w:r>
    </w:p>
    <w:p>
      <w:pPr>
        <w:pStyle w:val="ListBullet"/>
      </w:pPr>
      <w:r>
        <w:rPr>
          <w:b/>
        </w:rPr>
        <w:t>If forced to a position: small long into it, sized for the ±8% either way</w:t>
      </w:r>
      <w:r>
        <w:t xml:space="preserve"> — the run-in asymmetry is worth something — but the June lesson is the durable one: this name pays you for buying the guide-driven flush, not for gambling on the print. Implied-move levels off $370: ~$343 / ~$397.</w:t>
      </w:r>
    </w:p>
    <w:p>
      <w:pPr>
        <w:pStyle w:val="Heading1"/>
      </w:pPr>
      <w:r>
        <w:t>8.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legacy-memory cycle play at ~19x this year's earnings. Results Saturday; whisper is top of the guided range and positioning is already washed out. Slight positive lean into Monday.</w:t>
      </w:r>
    </w:p>
    <w:p>
      <w:pPr>
        <w:pStyle w:val="ListBullet"/>
      </w:pPr>
      <w:r>
        <w:rPr>
          <w:b/>
        </w:rPr>
        <w:t>Medcaptain</w:t>
      </w:r>
      <w:r>
        <w:t xml:space="preserve"> — still double a defensible price on the comps (59x adjusted vs Micro-Tech at 28.5x), but the weekend book (53x+) turned the debut into a float game. Investment: pass. Trade: grey market 4 Sep, sell into the open, no stabiliser below you.</w:t>
      </w:r>
    </w:p>
    <w:p>
      <w:pPr>
        <w:pStyle w:val="ListBullet"/>
      </w:pPr>
      <w:r>
        <w:rPr>
          <w:b/>
        </w:rPr>
        <w:t>Longsys</w:t>
      </w:r>
      <w:r>
        <w:t xml:space="preserve"> — your inventory-cycle concern is the whole story: −3.15bn operating cash flow in the best half in its history, 60% of assets in inventory, insiders selling. The 44% A/H discount protects the debut, not the holding. Own Ingenic for this cycle, rent Longsys at most.</w:t>
      </w:r>
    </w:p>
    <w:p>
      <w:pPr>
        <w:pStyle w:val="ListBullet"/>
      </w:pPr>
      <w:r>
        <w:rPr>
          <w:b/>
        </w:rPr>
        <w:t>Excelland</w:t>
      </w:r>
      <w:r>
        <w:t xml:space="preserve"> — weakest deal of the note: 14% GM, one customer a third of revenue, rescue financing dressed as an 18C listing, cold book. Avoid entirely; OneRobotics at the lows is the better way into service robots.</w:t>
      </w:r>
    </w:p>
    <w:p>
      <w:pPr>
        <w:pStyle w:val="ListBullet"/>
      </w:pPr>
      <w:r>
        <w:rPr>
          <w:b/>
        </w:rPr>
        <w:t>Broadcom</w:t>
      </w:r>
      <w:r>
        <w:t xml:space="preserve"> — prints Wed night US. Scripted beat likely; the stock only pays on a raise (FY27 quantified above $100bn, OpenAI shipping early, or a new name). Positioning finally favours longs (−12% run-in vs +39% into June), but base case is flat-to-down on an as-scripted print. Trade the flush, not the print.</w:t>
      </w:r>
    </w:p>
    <w:p>
      <w:pPr>
        <w:pStyle w:val="Heading2"/>
      </w:pPr>
      <w:r>
        <w:t>Dates to watch</w:t>
      </w:r>
    </w:p>
    <w:p>
      <w:pPr>
        <w:pStyle w:val="ListBullet"/>
      </w:pPr>
      <w:r>
        <w:t xml:space="preserve">2 Sep — Medcaptain closes · </w:t>
      </w:r>
      <w:r>
        <w:rPr>
          <w:b/>
        </w:rPr>
        <w:t>2 Sep US close — Broadcom prints</w:t>
      </w:r>
      <w:r>
        <w:t xml:space="preserve"> · 3 Sep noon — Longsys closes · 4 Sep — Medcaptain grey market; Excelland closes · 7 Sep — Medcaptain lists; Longsys prices · 8 Sep — Longsys lists · 9 Sep — Excelland lists · ~mid-Sep — SHEIN HSCI fast entry · Q4 — Longsys cheap-inventory runway ends · Mar 2027 — Mech-Mind unlock.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