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Both list Monday 1 Sep 2026  ·  Written 27 Aug 2026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Plus a quick one on Ingenic, which prints interims Saturday.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ListBullet"/>
      </w:pPr>
      <w:r>
        <w:rPr>
          <w:b/>
        </w:rPr>
        <w:t>Cornerstones — supportive, not validating.</w:t>
      </w:r>
      <w:r>
        <w:t xml:space="preserve"> Seven names, ~US$383m ≈ </w:t>
      </w:r>
      <w:r>
        <w:rPr>
          <w:b/>
        </w:rPr>
        <w:t>21% of the deal</w:t>
      </w:r>
      <w:r>
        <w:t xml:space="preserve">: Boyu US$150m, Tiger Global US$53m, General Atlantic US$50m, Tencent US$50m, plus Greenwoods, Taikang and UBS AM. Look at who they are: GA and Tiger are </w:t>
      </w:r>
      <w:r>
        <w:rPr>
          <w:b/>
        </w:rPr>
        <w:t>existing shareholders topping up</w:t>
      </w:r>
      <w:r>
        <w:t xml:space="preserve"> — the same names collecting the ratchet payments — and Boyu/Tencent read as China-establishment support for a politically important listing. That is insiders and friends steadying the deal, not new outside money fighting for allocation. And 21% coverage is low by 2026 HK standards (hot deals run 40–60%+), so the book leans on outside demand it hasn't demonstrated.</w:t>
      </w:r>
    </w:p>
    <w:p>
      <w:pPr>
        <w:pStyle w:val="ListBullet"/>
      </w:pPr>
      <w:r>
        <w:rPr>
          <w:b/>
        </w:rPr>
        <w:t>Greenshoe: standard 15%</w:t>
      </w:r>
      <w:r>
        <w:t xml:space="preserve"> (~42m extra B shares; full exercise at the top = ~HK$13.9bn / US$1.8bn — which reconciles the HK$13.1bn vs 13.9bn press confusion: base vs with-shoe). Given the tepid book, think of the shoe here as </w:t>
      </w:r>
      <w:r>
        <w:rPr>
          <w:b/>
        </w:rPr>
        <w:t>stabilisation ammunition</w:t>
      </w:r>
      <w:r>
        <w:t>: if the stock trades below issue, the stabilising agent buys back through it. It's downside cushioning, not an upside signal.</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And think about what each profit dollar actually is: PDD's is a platform take-rate at ~20% net margin; SHEIN's is 1P retail at 4.9% — and it halved the moment one customs rule changed. Lower-quality earnings shouldn't cost more.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rPr>
          <w:b/>
        </w:rPr>
        <w:t>The cornerstone book is genuinely strong — arguably the best of any 2026 HK deal this size.</w:t>
      </w:r>
      <w:r>
        <w:t xml:space="preserve"> Nine names, US$186m ≈ </w:t>
      </w:r>
      <w:r>
        <w:rPr>
          <w:b/>
        </w:rPr>
        <w:t>64% of the base deal</w:t>
      </w:r>
      <w:r>
        <w:t xml:space="preserve">, and the quality matters more than the size: </w:t>
      </w:r>
      <w:r>
        <w:rPr>
          <w:b/>
        </w:rPr>
        <w:t>Baillie Gifford</w:t>
      </w:r>
      <w:r>
        <w:t xml:space="preserve"> (US$60m — a top global long-only growth house that rarely anchors sub-US$2bn HK deals), </w:t>
      </w:r>
      <w:r>
        <w:rPr>
          <w:b/>
        </w:rPr>
        <w:t>Jane Street</w:t>
      </w:r>
      <w:r>
        <w:t xml:space="preserve"> (a prop firm putting its own balance sheet in), </w:t>
      </w:r>
      <w:r>
        <w:rPr>
          <w:b/>
        </w:rPr>
        <w:t>E Fund</w:t>
      </w:r>
      <w:r>
        <w:t xml:space="preserve"> (China's largest mutual-fund house), </w:t>
      </w:r>
      <w:r>
        <w:rPr>
          <w:b/>
        </w:rPr>
        <w:t>Taikang</w:t>
      </w:r>
      <w:r>
        <w:t xml:space="preserve"> (insurance money), </w:t>
      </w:r>
      <w:r>
        <w:rPr>
          <w:b/>
        </w:rPr>
        <w:t>NGS Super</w:t>
      </w:r>
      <w:r>
        <w:t xml:space="preserve"> (an Australian pension), and </w:t>
      </w:r>
      <w:r>
        <w:rPr>
          <w:b/>
        </w:rPr>
        <w:t>BYD's Golden Link</w:t>
      </w:r>
      <w:r>
        <w:t xml:space="preserve"> (a customer paying to be in the book — worth more than any broker note). That is validation across every buyer type — global growth, prop, domestic institutional, pension, strategic — not one friendly anchor writing a big cheque.</w:t>
      </w:r>
    </w:p>
    <w:p>
      <w:pPr>
        <w:pStyle w:val="ListBullet"/>
      </w:pPr>
      <w:r>
        <w:t xml:space="preserve">The same strength is double-edged: 64% locked up for six months makes the float tiny now (the squeeze) and makes </w:t>
      </w:r>
      <w:r>
        <w:rPr>
          <w:b/>
        </w:rPr>
        <w:t>March 2027</w:t>
      </w:r>
      <w:r>
        <w:t xml:space="preserve"> the supply cliff when it all unlocks at once.</w:t>
      </w:r>
    </w:p>
    <w:p>
      <w:pPr>
        <w:pStyle w:val="ListBullet"/>
      </w:pPr>
      <w:r>
        <w:rPr>
          <w:b/>
        </w:rPr>
        <w:t>Greenshoe: 15%</w:t>
      </w:r>
      <w:r>
        <w:t xml:space="preserve"> (3.47m shares; full exercise takes the raise to ~HK$2.7bn). With a 518x book expect it exercised in full — but note it works differently here than at SHEIN: this deal's problem is too little stock, not too little support, so the shoe is a small float top-up rather than a defence mechanism.</w:t>
      </w:r>
    </w:p>
    <w:p>
      <w:pPr>
        <w:pStyle w:val="ListBullet"/>
      </w:pPr>
      <w:r>
        <w:t xml:space="preserve">Retail is already all over it: margin book </w:t>
      </w:r>
      <w:r>
        <w:rPr>
          <w:b/>
        </w:rPr>
        <w:t>518x covered</w:t>
      </w:r>
      <w:r>
        <w:t xml:space="preserve"> with a day still to run. After cornerstones, free float is roughly </w:t>
      </w:r>
      <w:r>
        <w:rPr>
          <w:b/>
        </w:rPr>
        <w:t>7% of market cap</w:t>
      </w:r>
      <w:r>
        <w:t>.</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64.6%</w:t>
      </w:r>
      <w:r>
        <w:t xml:space="preserve"> in 2025, and the path there matters: 39.1% → 51.1% → 64.6%, holding at 64.8% in Q1'26 (all filed in the PHIP). For scale, Rokae runs ~22% blended — 34.8% on cobots, 21.6% on industrial arms, just 10.7% on its embodied arms. The gap isn't branding and it isn't 'AI' as a slogan. An arm's selling price is mostly its bill of materials — reducers, servos, castings — sold into a price war among dozens of makers. A vision system's price is mostly software, sold by the company holding 27% global share. Margin is simply what pricing power looks like once it hits the accounts.</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three times Rokae's gross margin (</w:t>
      </w:r>
      <w:r>
        <w:rPr>
          <w:b/>
        </w:rPr>
        <w:t>64.6% vs 21.9%</w:t>
      </w:r>
      <w:r>
        <w:t xml:space="preserve">, both prospectus-filed) screens relatively cheap. Run it in gross-profit terms and the point is stark: at the same P/S you're paying roughly </w:t>
      </w:r>
      <w:r>
        <w:rPr>
          <w:b/>
        </w:rPr>
        <w:t>45x gross profit for Mech-Mind versus ~130x for Rokae</w:t>
      </w:r>
      <w:r>
        <w:t xml:space="preserve"> — three times more per dollar of gross profit for the hardware name. That relative 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Ingenic (3223 HK) — quick one ahead of Saturday's results</w:t>
      </w:r>
    </w:p>
    <w:p>
      <w:r>
        <w:t>New H-listing from Monday, results out Saturday — so keeping this short and practical.</w:t>
      </w:r>
    </w:p>
    <w:p>
      <w:pPr>
        <w:pStyle w:val="Heading2"/>
      </w:pPr>
      <w:r>
        <w:t>What you need to know</w:t>
      </w:r>
    </w:p>
    <w:p>
      <w:pPr>
        <w:pStyle w:val="ListBullet"/>
      </w:pPr>
      <w:r>
        <w:t xml:space="preserve">Despite the CPU history, this is a </w:t>
      </w:r>
      <w:r>
        <w:rPr>
          <w:b/>
        </w:rPr>
        <w:t>memory company</w:t>
      </w:r>
      <w:r>
        <w:t>: 61% of revenue is auto/industrial SRAM (global #1 in auto SRAM), niche DRAM and NOR flash, with camera SoCs and some analog around it. Treat it as a leveraged play on legacy memory pricing.</w:t>
      </w:r>
    </w:p>
    <w:p>
      <w:pPr>
        <w:pStyle w:val="ListBullet"/>
      </w:pPr>
      <w:r>
        <w:t xml:space="preserve">And legacy memory is on fire. Samsung, Hynix and Micron walked away from DDR4 to build HBM, the stuff went into shortage, spot rose another 17% in July. Ingenic reprices quarterly with a lag and is sitting on roughly a year of old-cost inventory — so while prices rise, every quarter's margin beats the last. Q1 profit was +332%; H1 is guided </w:t>
      </w:r>
      <w:r>
        <w:rPr>
          <w:b/>
        </w:rPr>
        <w:t>+431–531% (RMB 1.08–1.28bn — versus 375m for all of last year)</w:t>
      </w:r>
      <w:r>
        <w:t>.</w:t>
      </w:r>
    </w:p>
    <w:p>
      <w:pPr>
        <w:pStyle w:val="Heading2"/>
      </w:pPr>
      <w:r>
        <w:t>Saturday's print — what the buyside is watching</w:t>
      </w:r>
    </w:p>
    <w:p>
      <w:pPr>
        <w:pStyle w:val="ListBullet"/>
      </w:pPr>
      <w:r>
        <w:t xml:space="preserve">Revenue (+77%) and the profit range are already public, so the print itself is about three things: </w:t>
      </w:r>
      <w:r>
        <w:rPr>
          <w:b/>
        </w:rPr>
        <w:t>Q2 gross margin</w:t>
      </w:r>
      <w:r>
        <w:t xml:space="preserve"> (Q1 was 43% blended, memory 39% — the street wants memory in the mid-40s), </w:t>
      </w:r>
      <w:r>
        <w:rPr>
          <w:b/>
        </w:rPr>
        <w:t>inventory</w:t>
      </w:r>
      <w:r>
        <w:t xml:space="preserve"> (drawing down into strength, or still building), and whether management repeats that </w:t>
      </w:r>
      <w:r>
        <w:rPr>
          <w:b/>
        </w:rPr>
        <w:t>Q3/Q4 hikes are still coming</w:t>
      </w:r>
      <w:r>
        <w:t>.</w:t>
      </w:r>
    </w:p>
    <w:p>
      <w:pPr>
        <w:pStyle w:val="ListBullet"/>
      </w:pPr>
      <w:r>
        <w:rPr>
          <w:b/>
        </w:rPr>
        <w:t>Buyside expectation is top of the guided range, ~RMB 1.25bn</w:t>
      </w:r>
      <w:r>
        <w:t xml:space="preserve"> — the range was set 13 Jul and spot kept climbing after that, so mid-range would actually read as a miss. Screen consensus is stale (still shows less for the full year than H1 alone could print) — ignore it, the whisper is the bar.</w:t>
      </w:r>
    </w:p>
    <w:p>
      <w:pPr>
        <w:pStyle w:val="ListBullet"/>
      </w:pPr>
      <w:r>
        <w:t>Positioning is cleaner than you'd guess: the stock is ~35% off its July high, margin longs got flushed, and the +77% revenue disclosure was *sold* on the day. The fast money already left. That's the GigaDevice setup — it fell seven straight days into its print, then went limit-up on the actual numbers.</w:t>
      </w:r>
    </w:p>
    <w:p>
      <w:pPr>
        <w:pStyle w:val="ListBullet"/>
      </w:pPr>
      <w:r>
        <w:rPr>
          <w:b/>
        </w:rPr>
        <w:t>Our number: H1 ~1.20–1.25bn, Q2 gross margin 46–48%. Slight positive lean into Monday.</w:t>
      </w:r>
      <w:r>
        <w:t xml:space="preserve"> The risk case is mid-range profit with memory margin stuck near 40 — then sell-the-fact wins the day.</w:t>
      </w:r>
    </w:p>
    <w:p>
      <w:pPr>
        <w:pStyle w:val="Heading2"/>
      </w:pPr>
      <w:r>
        <w:t>Valuation</w:t>
      </w:r>
    </w:p>
    <w:p>
      <w:pPr>
        <w:pStyle w:val="ListBullet"/>
      </w:pPr>
      <w:r>
        <w:t xml:space="preserve">At ~HK$101 the H costs about </w:t>
      </w:r>
      <w:r>
        <w:rPr>
          <w:b/>
        </w:rPr>
        <w:t>19x this year's annualised earnings</w:t>
      </w:r>
      <w:r>
        <w:t>. GigaDevice — same cycle, just printed H1 +1,092% — trades at 36x. Montage is over 100x. Global memory (Micron, Winbond) sits around 20x forward. So: not expensive against the China cohort, in line with global.</w:t>
      </w:r>
    </w:p>
    <w:p>
      <w:pPr>
        <w:pStyle w:val="ListBullet"/>
      </w:pPr>
      <w:r>
        <w:t xml:space="preserve">Just be clear what you own at 19x: </w:t>
      </w:r>
      <w:r>
        <w:rPr>
          <w:b/>
        </w:rPr>
        <w:t>a cycle position, not a value stock</w:t>
      </w:r>
      <w:r>
        <w:t>. The company itself says it can't see past mid-2027, Taiwan is already muttering about a Q4 margin-defence war, and the same year of cheap inventory driving the beats becomes the writedown when prices roll. Trade the print and the hikes; don't marry it.</w:t>
      </w:r>
    </w:p>
    <w:p>
      <w:pPr>
        <w:pStyle w:val="Heading1"/>
      </w:pPr>
      <w:r>
        <w:t>4.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ListBullet"/>
      </w:pPr>
      <w:r>
        <w:rPr>
          <w:b/>
        </w:rPr>
        <w:t>Ingenic</w:t>
      </w:r>
      <w:r>
        <w:t xml:space="preserve"> — legacy-memory cycle play at ~19x this year's earnings. Results Saturday; whisper is top of the guided range and positioning is already washed out. Slight positive lean into Monday.</w:t>
      </w:r>
    </w:p>
    <w:p>
      <w:pPr>
        <w:pStyle w:val="Heading2"/>
      </w:pPr>
      <w:r>
        <w:t>Dates to watch</w:t>
      </w:r>
    </w:p>
    <w:p>
      <w:pPr>
        <w:pStyle w:val="ListBullet"/>
      </w:pPr>
      <w:r>
        <w:t xml:space="preserve">28 Aug noon — Mech-Mind final price · </w:t>
      </w:r>
      <w:r>
        <w:rPr>
          <w:b/>
        </w:rPr>
        <w:t>29 Aug — Ingenic interim (A-share reacts Mon 31)</w:t>
      </w:r>
      <w:r>
        <w:t xml:space="preserve"> · 31 Aug — SHEIN formal price, allotments, grey market 16:15–18:30 · 1 Sep — debuts · ~mid-Sep — SHEIN HSCI fast entry · H2-26 robotics prints · Mar 2027 — Mech-Mind unlock + southbound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