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Transsion | H IPO trader briefing</w:t>
      </w:r>
    </w:p>
    <w:p>
      <w:pPr>
        <w:pStyle w:val="Subtitle"/>
      </w:pPr>
      <w:r>
        <w:t>8 October 2026   |   A 688036 / H 02636   |   H peers lead; closest A references retained</w:t>
      </w:r>
    </w:p>
    <w:p>
      <w:r>
        <w:rPr>
          <w:b/>
        </w:rPr>
        <w:t>Desk view:</w:t>
      </w:r>
      <w:r>
        <w:t xml:space="preserve"> attractive recovery valuation at the low to midpoint, conditional on margins holding after inventory replenishment. At HK$37.05, the stock is 12.5× trailing / 11.0× 2026 consensus earnings. The trade turns on replacement costs and cash conversion; the 41% A discount alone is insufficient.</w:t>
      </w:r>
    </w:p>
    <w:p>
      <w:r>
        <w:rPr>
          <w:sz w:val="18"/>
        </w:rPr>
        <w:t>Offer HK$35.30–38.80 | Books 7–12 Oct | Expected pricing 13 Oct / listing 15 Oct | Base 86.65m new H shares; 7.0% of enlarged capital. Final price and book coverage remain unverified. [1]</w:t>
      </w:r>
    </w:p>
    <w:p>
      <w:r>
        <w:rPr>
          <w:b/>
          <w:sz w:val="18"/>
        </w:rPr>
        <w:t>Funding:</w:t>
      </w:r>
      <w:r>
        <w:rPr>
          <w:sz w:val="18"/>
        </w:rPr>
        <w:t xml:space="preserve"> midpoint net proceeds ~HK$3.12bn; 40% AI R&amp;D, 30% marketing, 20% mobile internet/IoT, 10% working capital. Only part is earmarked for working capital; expansion spending has a longer payback than the inventory trade. [1]</w:t>
      </w:r>
    </w:p>
    <w:p>
      <w:pPr>
        <w:pStyle w:val="Caption"/>
        <w:spacing w:before="180"/>
      </w:pPr>
      <w:r>
        <w:rPr>
          <w:sz w:val="23"/>
        </w:rPr>
        <w:t>Good points | potential</w:t>
      </w:r>
    </w:p>
    <w:p>
      <w:pPr>
        <w:pStyle w:val="ListBullet"/>
        <w:spacing w:after="100" w:line="254" w:lineRule="auto"/>
        <w:ind w:left="230" w:hanging="187"/>
      </w:pPr>
      <w:r>
        <w:rPr>
          <w:rFonts w:ascii="Arial" w:hAnsi="Arial"/>
          <w:b/>
          <w:sz w:val="20"/>
        </w:rPr>
        <w:t xml:space="preserve">1. Entry valuation leaves room. </w:t>
      </w:r>
      <w:r>
        <w:rPr>
          <w:rFonts w:ascii="Arial" w:hAnsi="Arial"/>
          <w:sz w:val="20"/>
        </w:rPr>
        <w:t>Midpoint TTM P/E is below Xiaomi 16.2× and Anker 18.5×. Consensus recovery is priced at 11.0×; a move to 12–14× implies HK$40–47 if earnings deliver. [4; peer sources]</w:t>
      </w:r>
    </w:p>
    <w:p>
      <w:pPr>
        <w:pStyle w:val="ListBullet"/>
        <w:spacing w:after="100" w:line="254" w:lineRule="auto"/>
        <w:ind w:left="230" w:hanging="187"/>
      </w:pPr>
      <w:r>
        <w:rPr>
          <w:rFonts w:ascii="Arial" w:hAnsi="Arial"/>
          <w:b/>
          <w:sz w:val="20"/>
        </w:rPr>
        <w:t xml:space="preserve">2. Recovery is visible. </w:t>
      </w:r>
      <w:r>
        <w:rPr>
          <w:rFonts w:ascii="Arial" w:hAnsi="Arial"/>
          <w:sz w:val="20"/>
        </w:rPr>
        <w:t>H1 attributable profit rose 46.2% to RMB1.77bn; A-basis gross margin reached 22.63%. Higher ASPs and mix help, alongside cheaper stock bought earlier. The recovery thesis has reported evidence. [3, 5]</w:t>
      </w:r>
    </w:p>
    <w:p>
      <w:pPr>
        <w:pStyle w:val="ListBullet"/>
        <w:spacing w:after="100" w:line="254" w:lineRule="auto"/>
        <w:ind w:left="230" w:hanging="187"/>
      </w:pPr>
      <w:r>
        <w:rPr>
          <w:rFonts w:ascii="Arial" w:hAnsi="Arial"/>
          <w:b/>
          <w:sz w:val="20"/>
        </w:rPr>
        <w:t xml:space="preserve">3. Inventory has an operating rationale. </w:t>
      </w:r>
      <w:r>
        <w:rPr>
          <w:rFonts w:ascii="Arial" w:hAnsi="Arial"/>
          <w:sz w:val="20"/>
        </w:rPr>
        <w:t>Raw materials explain 62% of the net stock increase; 92.6% of April-end stock was sold or consumed by August-end. This supports prebuying, while cash recovery still needs proof. [1, 3]</w:t>
      </w:r>
    </w:p>
    <w:p>
      <w:pPr>
        <w:pStyle w:val="ListBullet"/>
        <w:spacing w:after="100" w:line="254" w:lineRule="auto"/>
        <w:ind w:left="230" w:hanging="187"/>
      </w:pPr>
      <w:r>
        <w:rPr>
          <w:rFonts w:ascii="Arial" w:hAnsi="Arial"/>
          <w:b/>
          <w:sz w:val="20"/>
        </w:rPr>
        <w:t xml:space="preserve">4. Cornerstones support the offer. </w:t>
      </w:r>
      <w:r>
        <w:rPr>
          <w:rFonts w:ascii="Arial" w:hAnsi="Arial"/>
          <w:sz w:val="20"/>
        </w:rPr>
        <w:t>HK$1.25bn commitments cover 38.8% of the base issue at midpoint, leaving about 53.0m non-cornerstone offer shares. Useful supply support; commitments do not establish wider book demand. [1, pp.210–214]</w:t>
      </w:r>
    </w:p>
    <w:p>
      <w:pPr>
        <w:pStyle w:val="Caption"/>
        <w:spacing w:before="180"/>
      </w:pPr>
      <w:r>
        <w:rPr>
          <w:sz w:val="23"/>
        </w:rPr>
        <w:t>Bad points | risks</w:t>
      </w:r>
    </w:p>
    <w:p>
      <w:pPr>
        <w:pStyle w:val="ListBullet"/>
        <w:spacing w:after="100" w:line="254" w:lineRule="auto"/>
        <w:ind w:left="230" w:hanging="187"/>
      </w:pPr>
      <w:r>
        <w:rPr>
          <w:rFonts w:ascii="Arial" w:hAnsi="Arial"/>
          <w:b/>
          <w:sz w:val="20"/>
        </w:rPr>
        <w:t xml:space="preserve">1. Margin could peak before earnings. </w:t>
      </w:r>
      <w:r>
        <w:rPr>
          <w:rFonts w:ascii="Arial" w:hAnsi="Arial"/>
          <w:sz w:val="20"/>
        </w:rPr>
        <w:t>Memory rose from 28.0% to 48.4% of cost of inventories sold in FY25 versus Jan–Apr 2026. Replenishing at higher costs can erode the H1 benefit unless ASPs keep up. [1, 5]</w:t>
      </w:r>
    </w:p>
    <w:p>
      <w:pPr>
        <w:pStyle w:val="ListBullet"/>
        <w:spacing w:after="100" w:line="254" w:lineRule="auto"/>
        <w:ind w:left="230" w:hanging="187"/>
      </w:pPr>
      <w:r>
        <w:rPr>
          <w:rFonts w:ascii="Arial" w:hAnsi="Arial"/>
          <w:b/>
          <w:sz w:val="20"/>
        </w:rPr>
        <w:t xml:space="preserve">2. The customer cannot absorb unlimited pricing. </w:t>
      </w:r>
      <w:r>
        <w:rPr>
          <w:rFonts w:ascii="Arial" w:hAnsi="Arial"/>
          <w:sz w:val="20"/>
        </w:rPr>
        <w:t>Q2 African smartphone shipments fell 7%; sub-US$100 fell 34% and Transsion fell 14%. Weak entry-level demand limits the ability to pass through component inflation. [8]</w:t>
      </w:r>
    </w:p>
    <w:p>
      <w:pPr>
        <w:pStyle w:val="ListBullet"/>
        <w:spacing w:after="100" w:line="254" w:lineRule="auto"/>
        <w:ind w:left="230" w:hanging="187"/>
      </w:pPr>
      <w:r>
        <w:rPr>
          <w:rFonts w:ascii="Arial" w:hAnsi="Arial"/>
          <w:b/>
          <w:sz w:val="20"/>
        </w:rPr>
        <w:t xml:space="preserve">3. Profit has yet to turn into cash. </w:t>
      </w:r>
      <w:r>
        <w:rPr>
          <w:rFonts w:ascii="Arial" w:hAnsi="Arial"/>
          <w:sz w:val="20"/>
        </w:rPr>
        <w:t>H1 OCF was −RMB5.86bn and inventory doubled to RMB18.94bn. Finished goods also rose RMB1.69bn. Sold or consumed stock is not equivalent to customer cash collected. [1, 3]</w:t>
      </w:r>
    </w:p>
    <w:p>
      <w:pPr>
        <w:pStyle w:val="ListBullet"/>
        <w:spacing w:after="100" w:line="254" w:lineRule="auto"/>
        <w:ind w:left="230" w:hanging="187"/>
      </w:pPr>
      <w:r>
        <w:rPr>
          <w:rFonts w:ascii="Arial" w:hAnsi="Arial"/>
          <w:b/>
          <w:sz w:val="20"/>
        </w:rPr>
        <w:t xml:space="preserve">4. The rerating has limits. </w:t>
      </w:r>
      <w:r>
        <w:rPr>
          <w:rFonts w:ascii="Arial" w:hAnsi="Arial"/>
          <w:sz w:val="20"/>
        </w:rPr>
        <w:t>Patent costs remain uncertain after the Ericsson settlement; internet is only 1.44% of FY25 revenue despite 80% gross margin. A platform multiple is premature. [1, 9, 10]</w:t>
      </w:r>
    </w:p>
    <w:p>
      <w:pPr>
        <w:pStyle w:val="Caption"/>
      </w:pPr>
      <w:r>
        <w:t>Illustrative price sensitivity | from HK$37.05 midpoint</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8" w:type="dxa"/>
          <w:bottom w:w="88" w:type="dxa"/>
          <w:left w:w="110" w:type="dxa"/>
          <w:right w:w="110" w:type="dxa"/>
        </w:tblCellMar>
      </w:tblPr>
      <w:tblGrid>
        <w:gridCol w:w="4032"/>
        <w:gridCol w:w="1584"/>
        <w:gridCol w:w="1224"/>
        <w:gridCol w:w="1584"/>
        <w:gridCol w:w="1584"/>
      </w:tblGrid>
      <w:tr>
        <w:trPr>
          <w:tblHeader/>
          <w:cantSplit/>
        </w:trPr>
        <w:tc>
          <w:tcPr>
            <w:tcW w:type="dxa" w:w="4032"/>
            <w:vAlign w:val="center"/>
            <w:shd w:fill="233B53"/>
          </w:tcPr>
          <w:p>
            <w:pPr>
              <w:spacing w:after="0" w:before="0" w:line="250" w:lineRule="auto"/>
              <w:jc w:val="left"/>
            </w:pPr>
            <w:r>
              <w:rPr>
                <w:rFonts w:ascii="Arial" w:hAnsi="Arial"/>
                <w:b/>
                <w:color w:val="FFFFFF"/>
                <w:sz w:val="19"/>
              </w:rPr>
              <w:t>Case</w:t>
            </w:r>
          </w:p>
        </w:tc>
        <w:tc>
          <w:tcPr>
            <w:tcW w:type="dxa" w:w="1584"/>
            <w:vAlign w:val="center"/>
            <w:shd w:fill="233B53"/>
          </w:tcPr>
          <w:p>
            <w:pPr>
              <w:spacing w:after="0" w:before="0" w:line="250" w:lineRule="auto"/>
              <w:jc w:val="center"/>
            </w:pPr>
            <w:r>
              <w:rPr>
                <w:rFonts w:ascii="Arial" w:hAnsi="Arial"/>
                <w:b/>
                <w:color w:val="FFFFFF"/>
                <w:sz w:val="19"/>
              </w:rPr>
              <w:t>Owner profit</w:t>
              <w:br/>
              <w:t>RMB bn</w:t>
            </w:r>
          </w:p>
        </w:tc>
        <w:tc>
          <w:tcPr>
            <w:tcW w:type="dxa" w:w="1224"/>
            <w:vAlign w:val="center"/>
            <w:shd w:fill="233B53"/>
          </w:tcPr>
          <w:p>
            <w:pPr>
              <w:spacing w:after="0" w:before="0" w:line="250" w:lineRule="auto"/>
              <w:jc w:val="center"/>
            </w:pPr>
            <w:r>
              <w:rPr>
                <w:rFonts w:ascii="Arial" w:hAnsi="Arial"/>
                <w:b/>
                <w:color w:val="FFFFFF"/>
                <w:sz w:val="19"/>
              </w:rPr>
              <w:t>Chosen</w:t>
              <w:br/>
              <w:t>P/E</w:t>
            </w:r>
          </w:p>
        </w:tc>
        <w:tc>
          <w:tcPr>
            <w:tcW w:type="dxa" w:w="1584"/>
            <w:vAlign w:val="center"/>
            <w:shd w:fill="233B53"/>
          </w:tcPr>
          <w:p>
            <w:pPr>
              <w:spacing w:after="0" w:before="0" w:line="250" w:lineRule="auto"/>
              <w:jc w:val="center"/>
            </w:pPr>
            <w:r>
              <w:rPr>
                <w:rFonts w:ascii="Arial" w:hAnsi="Arial"/>
                <w:b/>
                <w:color w:val="FFFFFF"/>
                <w:sz w:val="19"/>
              </w:rPr>
              <w:t>Implied</w:t>
              <w:br/>
              <w:t>HK$</w:t>
            </w:r>
          </w:p>
        </w:tc>
        <w:tc>
          <w:tcPr>
            <w:tcW w:type="dxa" w:w="1584"/>
            <w:vAlign w:val="center"/>
            <w:shd w:fill="233B53"/>
          </w:tcPr>
          <w:p>
            <w:pPr>
              <w:spacing w:after="0" w:before="0" w:line="250" w:lineRule="auto"/>
              <w:jc w:val="center"/>
            </w:pPr>
            <w:r>
              <w:rPr>
                <w:rFonts w:ascii="Arial" w:hAnsi="Arial"/>
                <w:b/>
                <w:color w:val="FFFFFF"/>
                <w:sz w:val="19"/>
              </w:rPr>
              <w:t>Move</w:t>
            </w:r>
          </w:p>
        </w:tc>
      </w:tr>
      <w:tr>
        <w:trPr>
          <w:cantSplit/>
        </w:trPr>
        <w:tc>
          <w:tcPr>
            <w:tcW w:type="dxa" w:w="4032"/>
            <w:vAlign w:val="center"/>
            <w:shd w:fill="FFFFFF"/>
          </w:tcPr>
          <w:p>
            <w:pPr>
              <w:spacing w:after="0" w:before="0" w:line="250" w:lineRule="auto"/>
              <w:jc w:val="left"/>
            </w:pPr>
            <w:r>
              <w:rPr>
                <w:rFonts w:ascii="Arial" w:hAnsi="Arial"/>
                <w:b w:val="0"/>
                <w:color w:val="000000"/>
                <w:sz w:val="19"/>
              </w:rPr>
              <w:t>Earnings return to FY25 level</w:t>
            </w:r>
          </w:p>
        </w:tc>
        <w:tc>
          <w:tcPr>
            <w:tcW w:type="dxa" w:w="1584"/>
            <w:vAlign w:val="center"/>
            <w:shd w:fill="FFFFFF"/>
          </w:tcPr>
          <w:p>
            <w:pPr>
              <w:spacing w:after="0" w:before="0" w:line="250" w:lineRule="auto"/>
              <w:jc w:val="center"/>
            </w:pPr>
            <w:r>
              <w:rPr>
                <w:rFonts w:ascii="Arial" w:hAnsi="Arial"/>
                <w:b w:val="0"/>
                <w:color w:val="000000"/>
                <w:sz w:val="19"/>
              </w:rPr>
              <w:t>2.581</w:t>
            </w:r>
          </w:p>
        </w:tc>
        <w:tc>
          <w:tcPr>
            <w:tcW w:type="dxa" w:w="1224"/>
            <w:vAlign w:val="center"/>
            <w:shd w:fill="FFFFFF"/>
          </w:tcPr>
          <w:p>
            <w:pPr>
              <w:spacing w:after="0" w:before="0" w:line="250" w:lineRule="auto"/>
              <w:jc w:val="center"/>
            </w:pPr>
            <w:r>
              <w:rPr>
                <w:rFonts w:ascii="Arial" w:hAnsi="Arial"/>
                <w:b w:val="0"/>
                <w:color w:val="000000"/>
                <w:sz w:val="19"/>
              </w:rPr>
              <w:t>10×</w:t>
            </w:r>
          </w:p>
        </w:tc>
        <w:tc>
          <w:tcPr>
            <w:tcW w:type="dxa" w:w="1584"/>
            <w:vAlign w:val="center"/>
            <w:shd w:fill="FFFFFF"/>
          </w:tcPr>
          <w:p>
            <w:pPr>
              <w:spacing w:after="0" w:before="0" w:line="250" w:lineRule="auto"/>
              <w:jc w:val="center"/>
            </w:pPr>
            <w:r>
              <w:rPr>
                <w:rFonts w:ascii="Arial" w:hAnsi="Arial"/>
                <w:b w:val="0"/>
                <w:color w:val="000000"/>
                <w:sz w:val="19"/>
              </w:rPr>
              <w:t>24.40</w:t>
            </w:r>
          </w:p>
        </w:tc>
        <w:tc>
          <w:tcPr>
            <w:tcW w:type="dxa" w:w="1584"/>
            <w:vAlign w:val="center"/>
            <w:shd w:fill="FFFFFF"/>
          </w:tcPr>
          <w:p>
            <w:pPr>
              <w:spacing w:after="0" w:before="0" w:line="250" w:lineRule="auto"/>
              <w:jc w:val="center"/>
            </w:pPr>
            <w:r>
              <w:rPr>
                <w:rFonts w:ascii="Arial" w:hAnsi="Arial"/>
                <w:b w:val="0"/>
                <w:color w:val="000000"/>
                <w:sz w:val="19"/>
              </w:rPr>
              <w:t>−34%</w:t>
            </w:r>
          </w:p>
        </w:tc>
      </w:tr>
      <w:tr>
        <w:trPr>
          <w:cantSplit/>
        </w:trPr>
        <w:tc>
          <w:tcPr>
            <w:tcW w:type="dxa" w:w="4032"/>
            <w:vAlign w:val="center"/>
            <w:shd w:fill="EEF3F7"/>
          </w:tcPr>
          <w:p>
            <w:pPr>
              <w:spacing w:after="0" w:before="0" w:line="250" w:lineRule="auto"/>
              <w:jc w:val="left"/>
            </w:pPr>
            <w:r>
              <w:rPr>
                <w:rFonts w:ascii="Arial" w:hAnsi="Arial"/>
                <w:b w:val="0"/>
                <w:color w:val="000000"/>
                <w:sz w:val="19"/>
              </w:rPr>
              <w:t>2026 consensus; modest rerating</w:t>
            </w:r>
          </w:p>
        </w:tc>
        <w:tc>
          <w:tcPr>
            <w:tcW w:type="dxa" w:w="1584"/>
            <w:vAlign w:val="center"/>
            <w:shd w:fill="EEF3F7"/>
          </w:tcPr>
          <w:p>
            <w:pPr>
              <w:spacing w:after="0" w:before="0" w:line="250" w:lineRule="auto"/>
              <w:jc w:val="center"/>
            </w:pPr>
            <w:r>
              <w:rPr>
                <w:rFonts w:ascii="Arial" w:hAnsi="Arial"/>
                <w:b w:val="0"/>
                <w:color w:val="000000"/>
                <w:sz w:val="19"/>
              </w:rPr>
              <w:t>3.557</w:t>
            </w:r>
          </w:p>
        </w:tc>
        <w:tc>
          <w:tcPr>
            <w:tcW w:type="dxa" w:w="1224"/>
            <w:vAlign w:val="center"/>
            <w:shd w:fill="EEF3F7"/>
          </w:tcPr>
          <w:p>
            <w:pPr>
              <w:spacing w:after="0" w:before="0" w:line="250" w:lineRule="auto"/>
              <w:jc w:val="center"/>
            </w:pPr>
            <w:r>
              <w:rPr>
                <w:rFonts w:ascii="Arial" w:hAnsi="Arial"/>
                <w:b w:val="0"/>
                <w:color w:val="000000"/>
                <w:sz w:val="19"/>
              </w:rPr>
              <w:t>12×</w:t>
            </w:r>
          </w:p>
        </w:tc>
        <w:tc>
          <w:tcPr>
            <w:tcW w:type="dxa" w:w="1584"/>
            <w:vAlign w:val="center"/>
            <w:shd w:fill="EEF3F7"/>
          </w:tcPr>
          <w:p>
            <w:pPr>
              <w:spacing w:after="0" w:before="0" w:line="250" w:lineRule="auto"/>
              <w:jc w:val="center"/>
            </w:pPr>
            <w:r>
              <w:rPr>
                <w:rFonts w:ascii="Arial" w:hAnsi="Arial"/>
                <w:b w:val="0"/>
                <w:color w:val="000000"/>
                <w:sz w:val="19"/>
              </w:rPr>
              <w:t>40.36</w:t>
            </w:r>
          </w:p>
        </w:tc>
        <w:tc>
          <w:tcPr>
            <w:tcW w:type="dxa" w:w="1584"/>
            <w:vAlign w:val="center"/>
            <w:shd w:fill="EEF3F7"/>
          </w:tcPr>
          <w:p>
            <w:pPr>
              <w:spacing w:after="0" w:before="0" w:line="250" w:lineRule="auto"/>
              <w:jc w:val="center"/>
            </w:pPr>
            <w:r>
              <w:rPr>
                <w:rFonts w:ascii="Arial" w:hAnsi="Arial"/>
                <w:b w:val="0"/>
                <w:color w:val="000000"/>
                <w:sz w:val="19"/>
              </w:rPr>
              <w:t>+9%</w:t>
            </w:r>
          </w:p>
        </w:tc>
      </w:tr>
      <w:tr>
        <w:trPr>
          <w:cantSplit/>
        </w:trPr>
        <w:tc>
          <w:tcPr>
            <w:tcW w:type="dxa" w:w="4032"/>
            <w:vAlign w:val="center"/>
            <w:shd w:fill="FFFFFF"/>
          </w:tcPr>
          <w:p>
            <w:pPr>
              <w:spacing w:after="0" w:before="0" w:line="250" w:lineRule="auto"/>
              <w:jc w:val="left"/>
            </w:pPr>
            <w:r>
              <w:rPr>
                <w:rFonts w:ascii="Arial" w:hAnsi="Arial"/>
                <w:b w:val="0"/>
                <w:color w:val="000000"/>
                <w:sz w:val="19"/>
              </w:rPr>
              <w:t>2026 consensus; stronger rerating</w:t>
            </w:r>
          </w:p>
        </w:tc>
        <w:tc>
          <w:tcPr>
            <w:tcW w:type="dxa" w:w="1584"/>
            <w:vAlign w:val="center"/>
            <w:shd w:fill="FFFFFF"/>
          </w:tcPr>
          <w:p>
            <w:pPr>
              <w:spacing w:after="0" w:before="0" w:line="250" w:lineRule="auto"/>
              <w:jc w:val="center"/>
            </w:pPr>
            <w:r>
              <w:rPr>
                <w:rFonts w:ascii="Arial" w:hAnsi="Arial"/>
                <w:b w:val="0"/>
                <w:color w:val="000000"/>
                <w:sz w:val="19"/>
              </w:rPr>
              <w:t>3.557</w:t>
            </w:r>
          </w:p>
        </w:tc>
        <w:tc>
          <w:tcPr>
            <w:tcW w:type="dxa" w:w="1224"/>
            <w:vAlign w:val="center"/>
            <w:shd w:fill="FFFFFF"/>
          </w:tcPr>
          <w:p>
            <w:pPr>
              <w:spacing w:after="0" w:before="0" w:line="250" w:lineRule="auto"/>
              <w:jc w:val="center"/>
            </w:pPr>
            <w:r>
              <w:rPr>
                <w:rFonts w:ascii="Arial" w:hAnsi="Arial"/>
                <w:b w:val="0"/>
                <w:color w:val="000000"/>
                <w:sz w:val="19"/>
              </w:rPr>
              <w:t>14×</w:t>
            </w:r>
          </w:p>
        </w:tc>
        <w:tc>
          <w:tcPr>
            <w:tcW w:type="dxa" w:w="1584"/>
            <w:vAlign w:val="center"/>
            <w:shd w:fill="FFFFFF"/>
          </w:tcPr>
          <w:p>
            <w:pPr>
              <w:spacing w:after="0" w:before="0" w:line="250" w:lineRule="auto"/>
              <w:jc w:val="center"/>
            </w:pPr>
            <w:r>
              <w:rPr>
                <w:rFonts w:ascii="Arial" w:hAnsi="Arial"/>
                <w:b w:val="0"/>
                <w:color w:val="000000"/>
                <w:sz w:val="19"/>
              </w:rPr>
              <w:t>47.09</w:t>
            </w:r>
          </w:p>
        </w:tc>
        <w:tc>
          <w:tcPr>
            <w:tcW w:type="dxa" w:w="1584"/>
            <w:vAlign w:val="center"/>
            <w:shd w:fill="FFFFFF"/>
          </w:tcPr>
          <w:p>
            <w:pPr>
              <w:spacing w:after="0" w:before="0" w:line="250" w:lineRule="auto"/>
              <w:jc w:val="center"/>
            </w:pPr>
            <w:r>
              <w:rPr>
                <w:rFonts w:ascii="Arial" w:hAnsi="Arial"/>
                <w:b w:val="0"/>
                <w:color w:val="000000"/>
                <w:sz w:val="19"/>
              </w:rPr>
              <w:t>+27%</w:t>
            </w:r>
          </w:p>
        </w:tc>
      </w:tr>
    </w:tbl>
    <w:p>
      <w:pPr>
        <w:spacing w:after="0"/>
      </w:pPr>
    </w:p>
    <w:p>
      <w:r>
        <w:rPr>
          <w:sz w:val="17"/>
        </w:rPr>
        <w:t>Sensitivity, not targets or probabilities: chosen multiples × owner profit ÷ 1.2378bn shares × HK$1.1705/RMB. Excludes dividends and greenshoe. Before sizing: final price/book demand, A-price response, replacement-stock margins and cash release.</w:t>
      </w:r>
    </w:p>
    <w:p>
      <w:r>
        <w:br w:type="page"/>
      </w:r>
    </w:p>
    <w:p>
      <w:pPr>
        <w:pStyle w:val="Caption"/>
        <w:spacing w:before="180"/>
      </w:pPr>
      <w:r>
        <w:rPr>
          <w:sz w:val="23"/>
        </w:rPr>
        <w:t>H-share valuation | weight the business match</w:t>
      </w:r>
    </w:p>
    <w:p>
      <w:r>
        <w:rPr>
          <w:sz w:val="19"/>
        </w:rPr>
        <w:t>Xiaomi is the closest listed handset-brand comparator. Anker is a useful overseas consumer-brand reference; Huaqin and Longcheer are manufacturing references. No listed peer replicates Transsion’s entry-level emerging-market mix.</w:t>
      </w:r>
    </w:p>
    <w:p>
      <w:pPr>
        <w:pStyle w:val="Caption"/>
      </w:pPr>
      <w:r>
        <w:t>Main peer table | H closes 6 October 2026; approximate reported TTM P/E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8" w:type="dxa"/>
          <w:bottom w:w="88" w:type="dxa"/>
          <w:left w:w="110" w:type="dxa"/>
          <w:right w:w="110" w:type="dxa"/>
        </w:tblCellMar>
      </w:tblPr>
      <w:tblGrid>
        <w:gridCol w:w="2246"/>
        <w:gridCol w:w="1152"/>
        <w:gridCol w:w="1368"/>
        <w:gridCol w:w="5242"/>
      </w:tblGrid>
      <w:tr>
        <w:trPr>
          <w:tblHeader/>
          <w:cantSplit/>
        </w:trPr>
        <w:tc>
          <w:tcPr>
            <w:tcW w:type="dxa" w:w="2246"/>
            <w:vAlign w:val="center"/>
            <w:shd w:fill="233B53"/>
          </w:tcPr>
          <w:p>
            <w:pPr>
              <w:spacing w:after="0" w:before="0" w:line="250" w:lineRule="auto"/>
              <w:jc w:val="left"/>
            </w:pPr>
            <w:r>
              <w:rPr>
                <w:rFonts w:ascii="Arial" w:hAnsi="Arial"/>
                <w:b/>
                <w:color w:val="FFFFFF"/>
                <w:sz w:val="19"/>
              </w:rPr>
              <w:t>Company / H ticker</w:t>
            </w:r>
          </w:p>
        </w:tc>
        <w:tc>
          <w:tcPr>
            <w:tcW w:type="dxa" w:w="1152"/>
            <w:vAlign w:val="center"/>
            <w:shd w:fill="233B53"/>
          </w:tcPr>
          <w:p>
            <w:pPr>
              <w:spacing w:after="0" w:before="0" w:line="250" w:lineRule="auto"/>
              <w:jc w:val="center"/>
            </w:pPr>
            <w:r>
              <w:rPr>
                <w:rFonts w:ascii="Arial" w:hAnsi="Arial"/>
                <w:b/>
                <w:color w:val="FFFFFF"/>
                <w:sz w:val="19"/>
              </w:rPr>
              <w:t>Close</w:t>
              <w:br/>
              <w:t>HK$</w:t>
            </w:r>
          </w:p>
        </w:tc>
        <w:tc>
          <w:tcPr>
            <w:tcW w:type="dxa" w:w="1368"/>
            <w:vAlign w:val="center"/>
            <w:shd w:fill="233B53"/>
          </w:tcPr>
          <w:p>
            <w:pPr>
              <w:spacing w:after="0" w:before="0" w:line="250" w:lineRule="auto"/>
              <w:jc w:val="center"/>
            </w:pPr>
            <w:r>
              <w:rPr>
                <w:rFonts w:ascii="Arial" w:hAnsi="Arial"/>
                <w:b/>
                <w:color w:val="FFFFFF"/>
                <w:sz w:val="19"/>
              </w:rPr>
              <w:t>TTM</w:t>
              <w:br/>
              <w:t>P/E</w:t>
            </w:r>
          </w:p>
        </w:tc>
        <w:tc>
          <w:tcPr>
            <w:tcW w:type="dxa" w:w="5242"/>
            <w:vAlign w:val="center"/>
            <w:shd w:fill="233B53"/>
          </w:tcPr>
          <w:p>
            <w:pPr>
              <w:spacing w:after="0" w:before="0" w:line="250" w:lineRule="auto"/>
              <w:jc w:val="left"/>
            </w:pPr>
            <w:r>
              <w:rPr>
                <w:rFonts w:ascii="Arial" w:hAnsi="Arial"/>
                <w:b/>
                <w:color w:val="FFFFFF"/>
                <w:sz w:val="19"/>
              </w:rPr>
              <w:t>Relevance / limitation</w:t>
            </w:r>
          </w:p>
        </w:tc>
      </w:tr>
      <w:tr>
        <w:trPr>
          <w:cantSplit/>
        </w:trPr>
        <w:tc>
          <w:tcPr>
            <w:tcW w:type="dxa" w:w="2246"/>
            <w:vAlign w:val="center"/>
            <w:shd w:fill="FFFFFF"/>
          </w:tcPr>
          <w:p>
            <w:pPr>
              <w:spacing w:after="0" w:before="0" w:line="250" w:lineRule="auto"/>
              <w:jc w:val="left"/>
            </w:pPr>
            <w:r>
              <w:rPr>
                <w:rFonts w:ascii="Arial" w:hAnsi="Arial"/>
                <w:b w:val="0"/>
                <w:color w:val="000000"/>
                <w:sz w:val="19"/>
              </w:rPr>
              <w:t>Xiaomi / 1810</w:t>
            </w:r>
          </w:p>
        </w:tc>
        <w:tc>
          <w:tcPr>
            <w:tcW w:type="dxa" w:w="1152"/>
            <w:vAlign w:val="center"/>
            <w:shd w:fill="FFFFFF"/>
          </w:tcPr>
          <w:p>
            <w:pPr>
              <w:spacing w:after="0" w:before="0" w:line="250" w:lineRule="auto"/>
              <w:jc w:val="center"/>
            </w:pPr>
            <w:r>
              <w:rPr>
                <w:rFonts w:ascii="Arial" w:hAnsi="Arial"/>
                <w:b w:val="0"/>
                <w:color w:val="000000"/>
                <w:sz w:val="19"/>
              </w:rPr>
              <w:t>24.26</w:t>
            </w:r>
          </w:p>
        </w:tc>
        <w:tc>
          <w:tcPr>
            <w:tcW w:type="dxa" w:w="1368"/>
            <w:vAlign w:val="center"/>
            <w:shd w:fill="FFFFFF"/>
          </w:tcPr>
          <w:p>
            <w:pPr>
              <w:spacing w:after="0" w:before="0" w:line="250" w:lineRule="auto"/>
              <w:jc w:val="center"/>
            </w:pPr>
            <w:r>
              <w:rPr>
                <w:rFonts w:ascii="Arial" w:hAnsi="Arial"/>
                <w:b w:val="0"/>
                <w:color w:val="000000"/>
                <w:sz w:val="19"/>
              </w:rPr>
              <w:t>16.2×</w:t>
            </w:r>
          </w:p>
        </w:tc>
        <w:tc>
          <w:tcPr>
            <w:tcW w:type="dxa" w:w="5242"/>
            <w:vAlign w:val="center"/>
            <w:shd w:fill="FFFFFF"/>
          </w:tcPr>
          <w:p>
            <w:pPr>
              <w:spacing w:after="0" w:before="0" w:line="250" w:lineRule="auto"/>
              <w:jc w:val="left"/>
            </w:pPr>
            <w:r>
              <w:rPr>
                <w:rFonts w:ascii="Arial" w:hAnsi="Arial"/>
                <w:b w:val="0"/>
                <w:color w:val="000000"/>
                <w:sz w:val="19"/>
              </w:rPr>
              <w:t>Closest handset brand; internet, IoT and EV mix</w:t>
            </w:r>
          </w:p>
        </w:tc>
      </w:tr>
      <w:tr>
        <w:trPr>
          <w:cantSplit/>
        </w:trPr>
        <w:tc>
          <w:tcPr>
            <w:tcW w:type="dxa" w:w="2246"/>
            <w:vAlign w:val="center"/>
            <w:shd w:fill="EEF3F7"/>
          </w:tcPr>
          <w:p>
            <w:pPr>
              <w:spacing w:after="0" w:before="0" w:line="250" w:lineRule="auto"/>
              <w:jc w:val="left"/>
            </w:pPr>
            <w:r>
              <w:rPr>
                <w:rFonts w:ascii="Arial" w:hAnsi="Arial"/>
                <w:b w:val="0"/>
                <w:color w:val="000000"/>
                <w:sz w:val="19"/>
              </w:rPr>
              <w:t>Anker / 0668</w:t>
            </w:r>
          </w:p>
        </w:tc>
        <w:tc>
          <w:tcPr>
            <w:tcW w:type="dxa" w:w="1152"/>
            <w:vAlign w:val="center"/>
            <w:shd w:fill="EEF3F7"/>
          </w:tcPr>
          <w:p>
            <w:pPr>
              <w:spacing w:after="0" w:before="0" w:line="250" w:lineRule="auto"/>
              <w:jc w:val="center"/>
            </w:pPr>
            <w:r>
              <w:rPr>
                <w:rFonts w:ascii="Arial" w:hAnsi="Arial"/>
                <w:b w:val="0"/>
                <w:color w:val="000000"/>
                <w:sz w:val="19"/>
              </w:rPr>
              <w:t>113.00</w:t>
            </w:r>
          </w:p>
        </w:tc>
        <w:tc>
          <w:tcPr>
            <w:tcW w:type="dxa" w:w="1368"/>
            <w:vAlign w:val="center"/>
            <w:shd w:fill="EEF3F7"/>
          </w:tcPr>
          <w:p>
            <w:pPr>
              <w:spacing w:after="0" w:before="0" w:line="250" w:lineRule="auto"/>
              <w:jc w:val="center"/>
            </w:pPr>
            <w:r>
              <w:rPr>
                <w:rFonts w:ascii="Arial" w:hAnsi="Arial"/>
                <w:b w:val="0"/>
                <w:color w:val="000000"/>
                <w:sz w:val="19"/>
              </w:rPr>
              <w:t>18.5×</w:t>
            </w:r>
          </w:p>
        </w:tc>
        <w:tc>
          <w:tcPr>
            <w:tcW w:type="dxa" w:w="5242"/>
            <w:vAlign w:val="center"/>
            <w:shd w:fill="EEF3F7"/>
          </w:tcPr>
          <w:p>
            <w:pPr>
              <w:spacing w:after="0" w:before="0" w:line="250" w:lineRule="auto"/>
              <w:jc w:val="left"/>
            </w:pPr>
            <w:r>
              <w:rPr>
                <w:rFonts w:ascii="Arial" w:hAnsi="Arial"/>
                <w:b w:val="0"/>
                <w:color w:val="000000"/>
                <w:sz w:val="19"/>
              </w:rPr>
              <w:t>Overseas branded hardware; chargers, storage and devices, rather than phones</w:t>
            </w:r>
          </w:p>
        </w:tc>
      </w:tr>
      <w:tr>
        <w:trPr>
          <w:cantSplit/>
        </w:trPr>
        <w:tc>
          <w:tcPr>
            <w:tcW w:type="dxa" w:w="2246"/>
            <w:vAlign w:val="center"/>
            <w:shd w:fill="FFFFFF"/>
          </w:tcPr>
          <w:p>
            <w:pPr>
              <w:spacing w:after="0" w:before="0" w:line="250" w:lineRule="auto"/>
              <w:jc w:val="left"/>
            </w:pPr>
            <w:r>
              <w:rPr>
                <w:rFonts w:ascii="Arial" w:hAnsi="Arial"/>
                <w:b w:val="0"/>
                <w:color w:val="000000"/>
                <w:sz w:val="19"/>
              </w:rPr>
              <w:t>Huaqin / 3296</w:t>
            </w:r>
          </w:p>
        </w:tc>
        <w:tc>
          <w:tcPr>
            <w:tcW w:type="dxa" w:w="1152"/>
            <w:vAlign w:val="center"/>
            <w:shd w:fill="FFFFFF"/>
          </w:tcPr>
          <w:p>
            <w:pPr>
              <w:spacing w:after="0" w:before="0" w:line="250" w:lineRule="auto"/>
              <w:jc w:val="center"/>
            </w:pPr>
            <w:r>
              <w:rPr>
                <w:rFonts w:ascii="Arial" w:hAnsi="Arial"/>
                <w:b w:val="0"/>
                <w:color w:val="000000"/>
                <w:sz w:val="19"/>
              </w:rPr>
              <w:t>65.10</w:t>
            </w:r>
          </w:p>
        </w:tc>
        <w:tc>
          <w:tcPr>
            <w:tcW w:type="dxa" w:w="1368"/>
            <w:vAlign w:val="center"/>
            <w:shd w:fill="FFFFFF"/>
          </w:tcPr>
          <w:p>
            <w:pPr>
              <w:spacing w:after="0" w:before="0" w:line="250" w:lineRule="auto"/>
              <w:jc w:val="center"/>
            </w:pPr>
            <w:r>
              <w:rPr>
                <w:rFonts w:ascii="Arial" w:hAnsi="Arial"/>
                <w:b w:val="0"/>
                <w:color w:val="000000"/>
                <w:sz w:val="19"/>
              </w:rPr>
              <w:t>16.3×</w:t>
            </w:r>
          </w:p>
        </w:tc>
        <w:tc>
          <w:tcPr>
            <w:tcW w:type="dxa" w:w="5242"/>
            <w:vAlign w:val="center"/>
            <w:shd w:fill="FFFFFF"/>
          </w:tcPr>
          <w:p>
            <w:pPr>
              <w:spacing w:after="0" w:before="0" w:line="250" w:lineRule="auto"/>
              <w:jc w:val="left"/>
            </w:pPr>
            <w:r>
              <w:rPr>
                <w:rFonts w:ascii="Arial" w:hAnsi="Arial"/>
                <w:b w:val="0"/>
                <w:color w:val="000000"/>
                <w:sz w:val="19"/>
              </w:rPr>
              <w:t>Handset/electronics ODM; different margins and customer exposure</w:t>
            </w:r>
          </w:p>
        </w:tc>
      </w:tr>
      <w:tr>
        <w:trPr>
          <w:cantSplit/>
        </w:trPr>
        <w:tc>
          <w:tcPr>
            <w:tcW w:type="dxa" w:w="2246"/>
            <w:vAlign w:val="center"/>
            <w:shd w:fill="EEF3F7"/>
          </w:tcPr>
          <w:p>
            <w:pPr>
              <w:spacing w:after="0" w:before="0" w:line="250" w:lineRule="auto"/>
              <w:jc w:val="left"/>
            </w:pPr>
            <w:r>
              <w:rPr>
                <w:rFonts w:ascii="Arial" w:hAnsi="Arial"/>
                <w:b w:val="0"/>
                <w:color w:val="000000"/>
                <w:sz w:val="19"/>
              </w:rPr>
              <w:t>Longcheer / 9611</w:t>
            </w:r>
          </w:p>
        </w:tc>
        <w:tc>
          <w:tcPr>
            <w:tcW w:type="dxa" w:w="1152"/>
            <w:vAlign w:val="center"/>
            <w:shd w:fill="EEF3F7"/>
          </w:tcPr>
          <w:p>
            <w:pPr>
              <w:spacing w:after="0" w:before="0" w:line="250" w:lineRule="auto"/>
              <w:jc w:val="center"/>
            </w:pPr>
            <w:r>
              <w:rPr>
                <w:rFonts w:ascii="Arial" w:hAnsi="Arial"/>
                <w:b w:val="0"/>
                <w:color w:val="000000"/>
                <w:sz w:val="19"/>
              </w:rPr>
              <w:t>20.20</w:t>
            </w:r>
          </w:p>
        </w:tc>
        <w:tc>
          <w:tcPr>
            <w:tcW w:type="dxa" w:w="1368"/>
            <w:vAlign w:val="center"/>
            <w:shd w:fill="EEF3F7"/>
          </w:tcPr>
          <w:p>
            <w:pPr>
              <w:spacing w:after="0" w:before="0" w:line="250" w:lineRule="auto"/>
              <w:jc w:val="center"/>
            </w:pPr>
            <w:r>
              <w:rPr>
                <w:rFonts w:ascii="Arial" w:hAnsi="Arial"/>
                <w:b w:val="0"/>
                <w:color w:val="000000"/>
                <w:sz w:val="19"/>
              </w:rPr>
              <w:t>19.0×</w:t>
            </w:r>
          </w:p>
        </w:tc>
        <w:tc>
          <w:tcPr>
            <w:tcW w:type="dxa" w:w="5242"/>
            <w:vAlign w:val="center"/>
            <w:shd w:fill="EEF3F7"/>
          </w:tcPr>
          <w:p>
            <w:pPr>
              <w:spacing w:after="0" w:before="0" w:line="250" w:lineRule="auto"/>
              <w:jc w:val="left"/>
            </w:pPr>
            <w:r>
              <w:rPr>
                <w:rFonts w:ascii="Arial" w:hAnsi="Arial"/>
                <w:b w:val="0"/>
                <w:color w:val="000000"/>
                <w:sz w:val="19"/>
              </w:rPr>
              <w:t>Smartphone ODM; manufacturing rather than brand economics</w:t>
            </w:r>
          </w:p>
        </w:tc>
      </w:tr>
      <w:tr>
        <w:trPr>
          <w:cantSplit/>
        </w:trPr>
        <w:tc>
          <w:tcPr>
            <w:tcW w:type="dxa" w:w="2246"/>
            <w:vAlign w:val="center"/>
            <w:shd w:fill="FFFFFF"/>
          </w:tcPr>
          <w:p>
            <w:pPr>
              <w:spacing w:after="0" w:before="0" w:line="250" w:lineRule="auto"/>
              <w:jc w:val="left"/>
            </w:pPr>
            <w:r>
              <w:rPr>
                <w:rFonts w:ascii="Arial" w:hAnsi="Arial"/>
                <w:b w:val="0"/>
                <w:color w:val="000000"/>
                <w:sz w:val="19"/>
              </w:rPr>
              <w:t>BYD Electronic / 0285</w:t>
            </w:r>
          </w:p>
        </w:tc>
        <w:tc>
          <w:tcPr>
            <w:tcW w:type="dxa" w:w="1152"/>
            <w:vAlign w:val="center"/>
            <w:shd w:fill="FFFFFF"/>
          </w:tcPr>
          <w:p>
            <w:pPr>
              <w:spacing w:after="0" w:before="0" w:line="250" w:lineRule="auto"/>
              <w:jc w:val="center"/>
            </w:pPr>
            <w:r>
              <w:rPr>
                <w:rFonts w:ascii="Arial" w:hAnsi="Arial"/>
                <w:b w:val="0"/>
                <w:color w:val="000000"/>
                <w:sz w:val="19"/>
              </w:rPr>
              <w:t>23.90</w:t>
            </w:r>
          </w:p>
        </w:tc>
        <w:tc>
          <w:tcPr>
            <w:tcW w:type="dxa" w:w="1368"/>
            <w:vAlign w:val="center"/>
            <w:shd w:fill="FFFFFF"/>
          </w:tcPr>
          <w:p>
            <w:pPr>
              <w:spacing w:after="0" w:before="0" w:line="250" w:lineRule="auto"/>
              <w:jc w:val="center"/>
            </w:pPr>
            <w:r>
              <w:rPr>
                <w:rFonts w:ascii="Arial" w:hAnsi="Arial"/>
                <w:b w:val="0"/>
                <w:color w:val="000000"/>
                <w:sz w:val="19"/>
              </w:rPr>
              <w:t>20.8×</w:t>
            </w:r>
          </w:p>
        </w:tc>
        <w:tc>
          <w:tcPr>
            <w:tcW w:type="dxa" w:w="5242"/>
            <w:vAlign w:val="center"/>
            <w:shd w:fill="FFFFFF"/>
          </w:tcPr>
          <w:p>
            <w:pPr>
              <w:spacing w:after="0" w:before="0" w:line="250" w:lineRule="auto"/>
              <w:jc w:val="left"/>
            </w:pPr>
            <w:r>
              <w:rPr>
                <w:rFonts w:ascii="Arial" w:hAnsi="Arial"/>
                <w:b w:val="0"/>
                <w:color w:val="000000"/>
                <w:sz w:val="19"/>
              </w:rPr>
              <w:t>Electronics assembly; different product/customer mix</w:t>
            </w:r>
          </w:p>
        </w:tc>
      </w:tr>
      <w:tr>
        <w:trPr>
          <w:cantSplit/>
        </w:trPr>
        <w:tc>
          <w:tcPr>
            <w:tcW w:type="dxa" w:w="2246"/>
            <w:vAlign w:val="center"/>
            <w:shd w:fill="EEF3F7"/>
          </w:tcPr>
          <w:p>
            <w:pPr>
              <w:spacing w:after="0" w:before="0" w:line="250" w:lineRule="auto"/>
              <w:jc w:val="left"/>
            </w:pPr>
            <w:r>
              <w:rPr>
                <w:rFonts w:ascii="Arial" w:hAnsi="Arial"/>
                <w:b w:val="0"/>
                <w:color w:val="000000"/>
                <w:sz w:val="19"/>
              </w:rPr>
              <w:t>ZTE / 0763</w:t>
            </w:r>
          </w:p>
        </w:tc>
        <w:tc>
          <w:tcPr>
            <w:tcW w:type="dxa" w:w="1152"/>
            <w:vAlign w:val="center"/>
            <w:shd w:fill="EEF3F7"/>
          </w:tcPr>
          <w:p>
            <w:pPr>
              <w:spacing w:after="0" w:before="0" w:line="250" w:lineRule="auto"/>
              <w:jc w:val="center"/>
            </w:pPr>
            <w:r>
              <w:rPr>
                <w:rFonts w:ascii="Arial" w:hAnsi="Arial"/>
                <w:b w:val="0"/>
                <w:color w:val="000000"/>
                <w:sz w:val="19"/>
              </w:rPr>
              <w:t>21.80</w:t>
            </w:r>
          </w:p>
        </w:tc>
        <w:tc>
          <w:tcPr>
            <w:tcW w:type="dxa" w:w="1368"/>
            <w:vAlign w:val="center"/>
            <w:shd w:fill="EEF3F7"/>
          </w:tcPr>
          <w:p>
            <w:pPr>
              <w:spacing w:after="0" w:before="0" w:line="250" w:lineRule="auto"/>
              <w:jc w:val="center"/>
            </w:pPr>
            <w:r>
              <w:rPr>
                <w:rFonts w:ascii="Arial" w:hAnsi="Arial"/>
                <w:b w:val="0"/>
                <w:color w:val="000000"/>
                <w:sz w:val="19"/>
              </w:rPr>
              <w:t>26.9×</w:t>
            </w:r>
          </w:p>
        </w:tc>
        <w:tc>
          <w:tcPr>
            <w:tcW w:type="dxa" w:w="5242"/>
            <w:vAlign w:val="center"/>
            <w:shd w:fill="EEF3F7"/>
          </w:tcPr>
          <w:p>
            <w:pPr>
              <w:spacing w:after="0" w:before="0" w:line="250" w:lineRule="auto"/>
              <w:jc w:val="left"/>
            </w:pPr>
            <w:r>
              <w:rPr>
                <w:rFonts w:ascii="Arial" w:hAnsi="Arial"/>
                <w:b w:val="0"/>
                <w:color w:val="000000"/>
                <w:sz w:val="19"/>
              </w:rPr>
              <w:t>Nubia handset overlap; telecom equipment dominates</w:t>
            </w:r>
          </w:p>
        </w:tc>
      </w:tr>
      <w:tr>
        <w:trPr>
          <w:cantSplit/>
        </w:trPr>
        <w:tc>
          <w:tcPr>
            <w:tcW w:type="dxa" w:w="2246"/>
            <w:vAlign w:val="center"/>
            <w:shd w:fill="FFFFFF"/>
          </w:tcPr>
          <w:p>
            <w:pPr>
              <w:spacing w:after="0" w:before="0" w:line="250" w:lineRule="auto"/>
              <w:jc w:val="left"/>
            </w:pPr>
            <w:r>
              <w:rPr>
                <w:rFonts w:ascii="Arial" w:hAnsi="Arial"/>
                <w:b w:val="0"/>
                <w:color w:val="000000"/>
                <w:sz w:val="19"/>
              </w:rPr>
              <w:t>Lenovo / 0992</w:t>
            </w:r>
          </w:p>
        </w:tc>
        <w:tc>
          <w:tcPr>
            <w:tcW w:type="dxa" w:w="1152"/>
            <w:vAlign w:val="center"/>
            <w:shd w:fill="FFFFFF"/>
          </w:tcPr>
          <w:p>
            <w:pPr>
              <w:spacing w:after="0" w:before="0" w:line="250" w:lineRule="auto"/>
              <w:jc w:val="center"/>
            </w:pPr>
            <w:r>
              <w:rPr>
                <w:rFonts w:ascii="Arial" w:hAnsi="Arial"/>
                <w:b w:val="0"/>
                <w:color w:val="000000"/>
                <w:sz w:val="19"/>
              </w:rPr>
              <w:t>35.40</w:t>
            </w:r>
          </w:p>
        </w:tc>
        <w:tc>
          <w:tcPr>
            <w:tcW w:type="dxa" w:w="1368"/>
            <w:vAlign w:val="center"/>
            <w:shd w:fill="FFFFFF"/>
          </w:tcPr>
          <w:p>
            <w:pPr>
              <w:spacing w:after="0" w:before="0" w:line="250" w:lineRule="auto"/>
              <w:jc w:val="center"/>
            </w:pPr>
            <w:r>
              <w:rPr>
                <w:rFonts w:ascii="Arial" w:hAnsi="Arial"/>
                <w:b w:val="0"/>
                <w:color w:val="000000"/>
                <w:sz w:val="19"/>
              </w:rPr>
              <w:t>72.5× /</w:t>
              <w:br/>
              <w:t>21.2×*</w:t>
            </w:r>
          </w:p>
        </w:tc>
        <w:tc>
          <w:tcPr>
            <w:tcW w:type="dxa" w:w="5242"/>
            <w:vAlign w:val="center"/>
            <w:shd w:fill="FFFFFF"/>
          </w:tcPr>
          <w:p>
            <w:pPr>
              <w:spacing w:after="0" w:before="0" w:line="250" w:lineRule="auto"/>
              <w:jc w:val="left"/>
            </w:pPr>
            <w:r>
              <w:rPr>
                <w:rFonts w:ascii="Arial" w:hAnsi="Arial"/>
                <w:b w:val="0"/>
                <w:color w:val="000000"/>
                <w:sz w:val="19"/>
              </w:rPr>
              <w:t>Motorola handset overlap; PCs/servers dominate</w:t>
            </w:r>
          </w:p>
        </w:tc>
      </w:tr>
      <w:tr>
        <w:trPr>
          <w:cantSplit/>
        </w:trPr>
        <w:tc>
          <w:tcPr>
            <w:tcW w:type="dxa" w:w="2246"/>
            <w:vAlign w:val="center"/>
            <w:shd w:fill="EEF3F7"/>
          </w:tcPr>
          <w:p>
            <w:pPr>
              <w:spacing w:after="0" w:before="0" w:line="250" w:lineRule="auto"/>
              <w:jc w:val="left"/>
            </w:pPr>
            <w:r>
              <w:rPr>
                <w:rFonts w:ascii="Arial" w:hAnsi="Arial"/>
                <w:b w:val="0"/>
                <w:color w:val="000000"/>
                <w:sz w:val="19"/>
              </w:rPr>
              <w:t>Sunny Optical / 2382</w:t>
            </w:r>
          </w:p>
        </w:tc>
        <w:tc>
          <w:tcPr>
            <w:tcW w:type="dxa" w:w="1152"/>
            <w:vAlign w:val="center"/>
            <w:shd w:fill="EEF3F7"/>
          </w:tcPr>
          <w:p>
            <w:pPr>
              <w:spacing w:after="0" w:before="0" w:line="250" w:lineRule="auto"/>
              <w:jc w:val="center"/>
            </w:pPr>
            <w:r>
              <w:rPr>
                <w:rFonts w:ascii="Arial" w:hAnsi="Arial"/>
                <w:b w:val="0"/>
                <w:color w:val="000000"/>
                <w:sz w:val="19"/>
              </w:rPr>
              <w:t>64.10</w:t>
            </w:r>
          </w:p>
        </w:tc>
        <w:tc>
          <w:tcPr>
            <w:tcW w:type="dxa" w:w="1368"/>
            <w:vAlign w:val="center"/>
            <w:shd w:fill="EEF3F7"/>
          </w:tcPr>
          <w:p>
            <w:pPr>
              <w:spacing w:after="0" w:before="0" w:line="250" w:lineRule="auto"/>
              <w:jc w:val="center"/>
            </w:pPr>
            <w:r>
              <w:rPr>
                <w:rFonts w:ascii="Arial" w:hAnsi="Arial"/>
                <w:b w:val="0"/>
                <w:color w:val="000000"/>
                <w:sz w:val="19"/>
              </w:rPr>
              <w:t>12.3×</w:t>
            </w:r>
          </w:p>
        </w:tc>
        <w:tc>
          <w:tcPr>
            <w:tcW w:type="dxa" w:w="5242"/>
            <w:vAlign w:val="center"/>
            <w:shd w:fill="EEF3F7"/>
          </w:tcPr>
          <w:p>
            <w:pPr>
              <w:spacing w:after="0" w:before="0" w:line="250" w:lineRule="auto"/>
              <w:jc w:val="left"/>
            </w:pPr>
            <w:r>
              <w:rPr>
                <w:rFonts w:ascii="Arial" w:hAnsi="Arial"/>
                <w:b w:val="0"/>
                <w:color w:val="000000"/>
                <w:sz w:val="19"/>
              </w:rPr>
              <w:t>Optical components; sector context, weakest business match</w:t>
            </w:r>
          </w:p>
        </w:tc>
      </w:tr>
    </w:tbl>
    <w:p>
      <w:pPr>
        <w:spacing w:after="0"/>
      </w:pPr>
    </w:p>
    <w:p>
      <w:r>
        <w:rPr>
          <w:b/>
          <w:sz w:val="19"/>
        </w:rPr>
        <w:t>Anker deserves inclusion, but not a blanket premium:</w:t>
      </w:r>
      <w:r>
        <w:rPr>
          <w:sz w:val="19"/>
        </w:rPr>
        <w:t xml:space="preserve"> H1 revenue rose 29.1%; reported gross margin reached 49.82%, with prior-year IEEPA tariff refunds reducing current cost of sales. Fair-value gains also helped reported profit. Its 18.5× is a reference, not a clean margin or multiple target for Transsion. [20]</w:t>
      </w:r>
    </w:p>
    <w:p>
      <w:r>
        <w:rPr>
          <w:sz w:val="17"/>
        </w:rPr>
        <w:t>* Lenovo: reported / adjusted non-GAAP P/E. Warrant fair-value charges depress reported TTM profit; exclude the reported 72.5× from a simple peer average. Other ratios use reported owner profit. Peer filings and price histories are linked on the source page.</w:t>
      </w:r>
    </w:p>
    <w:p>
      <w:pPr>
        <w:pStyle w:val="Caption"/>
      </w:pPr>
      <w:r>
        <w:t>Transsion | existing A versus the H offer</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8" w:type="dxa"/>
          <w:bottom w:w="88" w:type="dxa"/>
          <w:left w:w="110" w:type="dxa"/>
          <w:right w:w="110" w:type="dxa"/>
        </w:tblCellMar>
      </w:tblPr>
      <w:tblGrid>
        <w:gridCol w:w="1670"/>
        <w:gridCol w:w="1699"/>
        <w:gridCol w:w="1800"/>
        <w:gridCol w:w="1584"/>
        <w:gridCol w:w="1584"/>
        <w:gridCol w:w="1670"/>
      </w:tblGrid>
      <w:tr>
        <w:trPr>
          <w:tblHeader/>
          <w:cantSplit/>
        </w:trPr>
        <w:tc>
          <w:tcPr>
            <w:tcW w:type="dxa" w:w="1670"/>
            <w:vAlign w:val="center"/>
            <w:shd w:fill="233B53"/>
          </w:tcPr>
          <w:p>
            <w:pPr>
              <w:spacing w:after="0" w:before="0" w:line="250" w:lineRule="auto"/>
              <w:jc w:val="left"/>
            </w:pPr>
            <w:r>
              <w:rPr>
                <w:rFonts w:ascii="Arial" w:hAnsi="Arial"/>
                <w:b/>
                <w:color w:val="FFFFFF"/>
                <w:sz w:val="19"/>
              </w:rPr>
              <w:t>Listing</w:t>
            </w:r>
          </w:p>
        </w:tc>
        <w:tc>
          <w:tcPr>
            <w:tcW w:type="dxa" w:w="1699"/>
            <w:vAlign w:val="center"/>
            <w:shd w:fill="233B53"/>
          </w:tcPr>
          <w:p>
            <w:pPr>
              <w:spacing w:after="0" w:before="0" w:line="250" w:lineRule="auto"/>
              <w:jc w:val="center"/>
            </w:pPr>
            <w:r>
              <w:rPr>
                <w:rFonts w:ascii="Arial" w:hAnsi="Arial"/>
                <w:b/>
                <w:color w:val="FFFFFF"/>
                <w:sz w:val="19"/>
              </w:rPr>
              <w:t>Price</w:t>
            </w:r>
          </w:p>
        </w:tc>
        <w:tc>
          <w:tcPr>
            <w:tcW w:type="dxa" w:w="1800"/>
            <w:vAlign w:val="center"/>
            <w:shd w:fill="233B53"/>
          </w:tcPr>
          <w:p>
            <w:pPr>
              <w:spacing w:after="0" w:before="0" w:line="250" w:lineRule="auto"/>
              <w:jc w:val="center"/>
            </w:pPr>
            <w:r>
              <w:rPr>
                <w:rFonts w:ascii="Arial" w:hAnsi="Arial"/>
                <w:b/>
                <w:color w:val="FFFFFF"/>
                <w:sz w:val="19"/>
              </w:rPr>
              <w:t>Equity value</w:t>
              <w:br/>
              <w:t>RMB bn</w:t>
            </w:r>
          </w:p>
        </w:tc>
        <w:tc>
          <w:tcPr>
            <w:tcW w:type="dxa" w:w="1584"/>
            <w:vAlign w:val="center"/>
            <w:shd w:fill="233B53"/>
          </w:tcPr>
          <w:p>
            <w:pPr>
              <w:spacing w:after="0" w:before="0" w:line="250" w:lineRule="auto"/>
              <w:jc w:val="center"/>
            </w:pPr>
            <w:r>
              <w:rPr>
                <w:rFonts w:ascii="Arial" w:hAnsi="Arial"/>
                <w:b/>
                <w:color w:val="FFFFFF"/>
                <w:sz w:val="19"/>
              </w:rPr>
              <w:t>FY25</w:t>
              <w:br/>
              <w:t>P/E</w:t>
            </w:r>
          </w:p>
        </w:tc>
        <w:tc>
          <w:tcPr>
            <w:tcW w:type="dxa" w:w="1584"/>
            <w:vAlign w:val="center"/>
            <w:shd w:fill="233B53"/>
          </w:tcPr>
          <w:p>
            <w:pPr>
              <w:spacing w:after="0" w:before="0" w:line="250" w:lineRule="auto"/>
              <w:jc w:val="center"/>
            </w:pPr>
            <w:r>
              <w:rPr>
                <w:rFonts w:ascii="Arial" w:hAnsi="Arial"/>
                <w:b/>
                <w:color w:val="FFFFFF"/>
                <w:sz w:val="19"/>
              </w:rPr>
              <w:t>TTM</w:t>
              <w:br/>
              <w:t>P/E</w:t>
            </w:r>
          </w:p>
        </w:tc>
        <w:tc>
          <w:tcPr>
            <w:tcW w:type="dxa" w:w="1670"/>
            <w:vAlign w:val="center"/>
            <w:shd w:fill="233B53"/>
          </w:tcPr>
          <w:p>
            <w:pPr>
              <w:spacing w:after="0" w:before="0" w:line="250" w:lineRule="auto"/>
              <w:jc w:val="center"/>
            </w:pPr>
            <w:r>
              <w:rPr>
                <w:rFonts w:ascii="Arial" w:hAnsi="Arial"/>
                <w:b/>
                <w:color w:val="FFFFFF"/>
                <w:sz w:val="19"/>
              </w:rPr>
              <w:t>2026E</w:t>
              <w:br/>
              <w:t>P/E</w:t>
            </w:r>
          </w:p>
        </w:tc>
      </w:tr>
      <w:tr>
        <w:trPr>
          <w:cantSplit/>
        </w:trPr>
        <w:tc>
          <w:tcPr>
            <w:tcW w:type="dxa" w:w="1670"/>
            <w:vAlign w:val="center"/>
            <w:shd w:fill="FFFFFF"/>
          </w:tcPr>
          <w:p>
            <w:pPr>
              <w:spacing w:after="0" w:before="0" w:line="250" w:lineRule="auto"/>
              <w:jc w:val="left"/>
            </w:pPr>
            <w:r>
              <w:rPr>
                <w:rFonts w:ascii="Arial" w:hAnsi="Arial"/>
                <w:b w:val="0"/>
                <w:color w:val="000000"/>
                <w:sz w:val="19"/>
              </w:rPr>
              <w:t>Existing A</w:t>
            </w:r>
          </w:p>
        </w:tc>
        <w:tc>
          <w:tcPr>
            <w:tcW w:type="dxa" w:w="1699"/>
            <w:vAlign w:val="center"/>
            <w:shd w:fill="FFFFFF"/>
          </w:tcPr>
          <w:p>
            <w:pPr>
              <w:spacing w:after="0" w:before="0" w:line="250" w:lineRule="auto"/>
              <w:jc w:val="center"/>
            </w:pPr>
            <w:r>
              <w:rPr>
                <w:rFonts w:ascii="Arial" w:hAnsi="Arial"/>
                <w:b w:val="0"/>
                <w:color w:val="000000"/>
                <w:sz w:val="19"/>
              </w:rPr>
              <w:t>RMB53.80</w:t>
            </w:r>
          </w:p>
        </w:tc>
        <w:tc>
          <w:tcPr>
            <w:tcW w:type="dxa" w:w="1800"/>
            <w:vAlign w:val="center"/>
            <w:shd w:fill="FFFFFF"/>
          </w:tcPr>
          <w:p>
            <w:pPr>
              <w:spacing w:after="0" w:before="0" w:line="250" w:lineRule="auto"/>
              <w:jc w:val="center"/>
            </w:pPr>
            <w:r>
              <w:rPr>
                <w:rFonts w:ascii="Arial" w:hAnsi="Arial"/>
                <w:b w:val="0"/>
                <w:color w:val="000000"/>
                <w:sz w:val="19"/>
              </w:rPr>
              <w:t>61.9</w:t>
            </w:r>
          </w:p>
        </w:tc>
        <w:tc>
          <w:tcPr>
            <w:tcW w:type="dxa" w:w="1584"/>
            <w:vAlign w:val="center"/>
            <w:shd w:fill="FFFFFF"/>
          </w:tcPr>
          <w:p>
            <w:pPr>
              <w:spacing w:after="0" w:before="0" w:line="250" w:lineRule="auto"/>
              <w:jc w:val="center"/>
            </w:pPr>
            <w:r>
              <w:rPr>
                <w:rFonts w:ascii="Arial" w:hAnsi="Arial"/>
                <w:b w:val="0"/>
                <w:color w:val="000000"/>
                <w:sz w:val="19"/>
              </w:rPr>
              <w:t>24.0×</w:t>
            </w:r>
          </w:p>
        </w:tc>
        <w:tc>
          <w:tcPr>
            <w:tcW w:type="dxa" w:w="1584"/>
            <w:vAlign w:val="center"/>
            <w:shd w:fill="FFFFFF"/>
          </w:tcPr>
          <w:p>
            <w:pPr>
              <w:spacing w:after="0" w:before="0" w:line="250" w:lineRule="auto"/>
              <w:jc w:val="center"/>
            </w:pPr>
            <w:r>
              <w:rPr>
                <w:rFonts w:ascii="Arial" w:hAnsi="Arial"/>
                <w:b w:val="0"/>
                <w:color w:val="000000"/>
                <w:sz w:val="19"/>
              </w:rPr>
              <w:t>19.7×</w:t>
            </w:r>
          </w:p>
        </w:tc>
        <w:tc>
          <w:tcPr>
            <w:tcW w:type="dxa" w:w="1670"/>
            <w:vAlign w:val="center"/>
            <w:shd w:fill="FFFFFF"/>
          </w:tcPr>
          <w:p>
            <w:pPr>
              <w:spacing w:after="0" w:before="0" w:line="250" w:lineRule="auto"/>
              <w:jc w:val="center"/>
            </w:pPr>
            <w:r>
              <w:rPr>
                <w:rFonts w:ascii="Arial" w:hAnsi="Arial"/>
                <w:b w:val="0"/>
                <w:color w:val="000000"/>
                <w:sz w:val="19"/>
              </w:rPr>
              <w:t>17.4×</w:t>
            </w:r>
          </w:p>
        </w:tc>
      </w:tr>
      <w:tr>
        <w:trPr>
          <w:cantSplit/>
        </w:trPr>
        <w:tc>
          <w:tcPr>
            <w:tcW w:type="dxa" w:w="1670"/>
            <w:vAlign w:val="center"/>
            <w:shd w:fill="EEF3F7"/>
          </w:tcPr>
          <w:p>
            <w:pPr>
              <w:spacing w:after="0" w:before="0" w:line="250" w:lineRule="auto"/>
              <w:jc w:val="left"/>
            </w:pPr>
            <w:r>
              <w:rPr>
                <w:rFonts w:ascii="Arial" w:hAnsi="Arial"/>
                <w:b w:val="0"/>
                <w:color w:val="000000"/>
                <w:sz w:val="19"/>
              </w:rPr>
              <w:t>H low</w:t>
            </w:r>
          </w:p>
        </w:tc>
        <w:tc>
          <w:tcPr>
            <w:tcW w:type="dxa" w:w="1699"/>
            <w:vAlign w:val="center"/>
            <w:shd w:fill="EEF3F7"/>
          </w:tcPr>
          <w:p>
            <w:pPr>
              <w:spacing w:after="0" w:before="0" w:line="250" w:lineRule="auto"/>
              <w:jc w:val="center"/>
            </w:pPr>
            <w:r>
              <w:rPr>
                <w:rFonts w:ascii="Arial" w:hAnsi="Arial"/>
                <w:b w:val="0"/>
                <w:color w:val="000000"/>
                <w:sz w:val="19"/>
              </w:rPr>
              <w:t>HK$35.30</w:t>
            </w:r>
          </w:p>
        </w:tc>
        <w:tc>
          <w:tcPr>
            <w:tcW w:type="dxa" w:w="1800"/>
            <w:vAlign w:val="center"/>
            <w:shd w:fill="EEF3F7"/>
          </w:tcPr>
          <w:p>
            <w:pPr>
              <w:spacing w:after="0" w:before="0" w:line="250" w:lineRule="auto"/>
              <w:jc w:val="center"/>
            </w:pPr>
            <w:r>
              <w:rPr>
                <w:rFonts w:ascii="Arial" w:hAnsi="Arial"/>
                <w:b w:val="0"/>
                <w:color w:val="000000"/>
                <w:sz w:val="19"/>
              </w:rPr>
              <w:t>37.3</w:t>
            </w:r>
          </w:p>
        </w:tc>
        <w:tc>
          <w:tcPr>
            <w:tcW w:type="dxa" w:w="1584"/>
            <w:vAlign w:val="center"/>
            <w:shd w:fill="EEF3F7"/>
          </w:tcPr>
          <w:p>
            <w:pPr>
              <w:spacing w:after="0" w:before="0" w:line="250" w:lineRule="auto"/>
              <w:jc w:val="center"/>
            </w:pPr>
            <w:r>
              <w:rPr>
                <w:rFonts w:ascii="Arial" w:hAnsi="Arial"/>
                <w:b w:val="0"/>
                <w:color w:val="000000"/>
                <w:sz w:val="19"/>
              </w:rPr>
              <w:t>14.5×</w:t>
            </w:r>
          </w:p>
        </w:tc>
        <w:tc>
          <w:tcPr>
            <w:tcW w:type="dxa" w:w="1584"/>
            <w:vAlign w:val="center"/>
            <w:shd w:fill="EEF3F7"/>
          </w:tcPr>
          <w:p>
            <w:pPr>
              <w:spacing w:after="0" w:before="0" w:line="250" w:lineRule="auto"/>
              <w:jc w:val="center"/>
            </w:pPr>
            <w:r>
              <w:rPr>
                <w:rFonts w:ascii="Arial" w:hAnsi="Arial"/>
                <w:b w:val="0"/>
                <w:color w:val="000000"/>
                <w:sz w:val="19"/>
              </w:rPr>
              <w:t>11.9×</w:t>
            </w:r>
          </w:p>
        </w:tc>
        <w:tc>
          <w:tcPr>
            <w:tcW w:type="dxa" w:w="1670"/>
            <w:vAlign w:val="center"/>
            <w:shd w:fill="EEF3F7"/>
          </w:tcPr>
          <w:p>
            <w:pPr>
              <w:spacing w:after="0" w:before="0" w:line="250" w:lineRule="auto"/>
              <w:jc w:val="center"/>
            </w:pPr>
            <w:r>
              <w:rPr>
                <w:rFonts w:ascii="Arial" w:hAnsi="Arial"/>
                <w:b w:val="0"/>
                <w:color w:val="000000"/>
                <w:sz w:val="19"/>
              </w:rPr>
              <w:t>10.5×</w:t>
            </w:r>
          </w:p>
        </w:tc>
      </w:tr>
      <w:tr>
        <w:trPr>
          <w:cantSplit/>
        </w:trPr>
        <w:tc>
          <w:tcPr>
            <w:tcW w:type="dxa" w:w="1670"/>
            <w:vAlign w:val="center"/>
            <w:shd w:fill="FFFFFF"/>
          </w:tcPr>
          <w:p>
            <w:pPr>
              <w:spacing w:after="0" w:before="0" w:line="250" w:lineRule="auto"/>
              <w:jc w:val="left"/>
            </w:pPr>
            <w:r>
              <w:rPr>
                <w:rFonts w:ascii="Arial" w:hAnsi="Arial"/>
                <w:b w:val="0"/>
                <w:color w:val="000000"/>
                <w:sz w:val="19"/>
              </w:rPr>
              <w:t>H midpoint</w:t>
            </w:r>
          </w:p>
        </w:tc>
        <w:tc>
          <w:tcPr>
            <w:tcW w:type="dxa" w:w="1699"/>
            <w:vAlign w:val="center"/>
            <w:shd w:fill="FFFFFF"/>
          </w:tcPr>
          <w:p>
            <w:pPr>
              <w:spacing w:after="0" w:before="0" w:line="250" w:lineRule="auto"/>
              <w:jc w:val="center"/>
            </w:pPr>
            <w:r>
              <w:rPr>
                <w:rFonts w:ascii="Arial" w:hAnsi="Arial"/>
                <w:b w:val="0"/>
                <w:color w:val="000000"/>
                <w:sz w:val="19"/>
              </w:rPr>
              <w:t>HK$37.05</w:t>
            </w:r>
          </w:p>
        </w:tc>
        <w:tc>
          <w:tcPr>
            <w:tcW w:type="dxa" w:w="1800"/>
            <w:vAlign w:val="center"/>
            <w:shd w:fill="FFFFFF"/>
          </w:tcPr>
          <w:p>
            <w:pPr>
              <w:spacing w:after="0" w:before="0" w:line="250" w:lineRule="auto"/>
              <w:jc w:val="center"/>
            </w:pPr>
            <w:r>
              <w:rPr>
                <w:rFonts w:ascii="Arial" w:hAnsi="Arial"/>
                <w:b w:val="0"/>
                <w:color w:val="000000"/>
                <w:sz w:val="19"/>
              </w:rPr>
              <w:t>39.2</w:t>
            </w:r>
          </w:p>
        </w:tc>
        <w:tc>
          <w:tcPr>
            <w:tcW w:type="dxa" w:w="1584"/>
            <w:vAlign w:val="center"/>
            <w:shd w:fill="FFFFFF"/>
          </w:tcPr>
          <w:p>
            <w:pPr>
              <w:spacing w:after="0" w:before="0" w:line="250" w:lineRule="auto"/>
              <w:jc w:val="center"/>
            </w:pPr>
            <w:r>
              <w:rPr>
                <w:rFonts w:ascii="Arial" w:hAnsi="Arial"/>
                <w:b w:val="0"/>
                <w:color w:val="000000"/>
                <w:sz w:val="19"/>
              </w:rPr>
              <w:t>15.2×</w:t>
            </w:r>
          </w:p>
        </w:tc>
        <w:tc>
          <w:tcPr>
            <w:tcW w:type="dxa" w:w="1584"/>
            <w:vAlign w:val="center"/>
            <w:shd w:fill="FFFFFF"/>
          </w:tcPr>
          <w:p>
            <w:pPr>
              <w:spacing w:after="0" w:before="0" w:line="250" w:lineRule="auto"/>
              <w:jc w:val="center"/>
            </w:pPr>
            <w:r>
              <w:rPr>
                <w:rFonts w:ascii="Arial" w:hAnsi="Arial"/>
                <w:b w:val="0"/>
                <w:color w:val="000000"/>
                <w:sz w:val="19"/>
              </w:rPr>
              <w:t>12.5×</w:t>
            </w:r>
          </w:p>
        </w:tc>
        <w:tc>
          <w:tcPr>
            <w:tcW w:type="dxa" w:w="1670"/>
            <w:vAlign w:val="center"/>
            <w:shd w:fill="FFFFFF"/>
          </w:tcPr>
          <w:p>
            <w:pPr>
              <w:spacing w:after="0" w:before="0" w:line="250" w:lineRule="auto"/>
              <w:jc w:val="center"/>
            </w:pPr>
            <w:r>
              <w:rPr>
                <w:rFonts w:ascii="Arial" w:hAnsi="Arial"/>
                <w:b w:val="0"/>
                <w:color w:val="000000"/>
                <w:sz w:val="19"/>
              </w:rPr>
              <w:t>11.0×</w:t>
            </w:r>
          </w:p>
        </w:tc>
      </w:tr>
      <w:tr>
        <w:trPr>
          <w:cantSplit/>
        </w:trPr>
        <w:tc>
          <w:tcPr>
            <w:tcW w:type="dxa" w:w="1670"/>
            <w:vAlign w:val="center"/>
            <w:shd w:fill="EEF3F7"/>
          </w:tcPr>
          <w:p>
            <w:pPr>
              <w:spacing w:after="0" w:before="0" w:line="250" w:lineRule="auto"/>
              <w:jc w:val="left"/>
            </w:pPr>
            <w:r>
              <w:rPr>
                <w:rFonts w:ascii="Arial" w:hAnsi="Arial"/>
                <w:b w:val="0"/>
                <w:color w:val="000000"/>
                <w:sz w:val="19"/>
              </w:rPr>
              <w:t>H high</w:t>
            </w:r>
          </w:p>
        </w:tc>
        <w:tc>
          <w:tcPr>
            <w:tcW w:type="dxa" w:w="1699"/>
            <w:vAlign w:val="center"/>
            <w:shd w:fill="EEF3F7"/>
          </w:tcPr>
          <w:p>
            <w:pPr>
              <w:spacing w:after="0" w:before="0" w:line="250" w:lineRule="auto"/>
              <w:jc w:val="center"/>
            </w:pPr>
            <w:r>
              <w:rPr>
                <w:rFonts w:ascii="Arial" w:hAnsi="Arial"/>
                <w:b w:val="0"/>
                <w:color w:val="000000"/>
                <w:sz w:val="19"/>
              </w:rPr>
              <w:t>HK$38.80</w:t>
            </w:r>
          </w:p>
        </w:tc>
        <w:tc>
          <w:tcPr>
            <w:tcW w:type="dxa" w:w="1800"/>
            <w:vAlign w:val="center"/>
            <w:shd w:fill="EEF3F7"/>
          </w:tcPr>
          <w:p>
            <w:pPr>
              <w:spacing w:after="0" w:before="0" w:line="250" w:lineRule="auto"/>
              <w:jc w:val="center"/>
            </w:pPr>
            <w:r>
              <w:rPr>
                <w:rFonts w:ascii="Arial" w:hAnsi="Arial"/>
                <w:b w:val="0"/>
                <w:color w:val="000000"/>
                <w:sz w:val="19"/>
              </w:rPr>
              <w:t>41.0</w:t>
            </w:r>
          </w:p>
        </w:tc>
        <w:tc>
          <w:tcPr>
            <w:tcW w:type="dxa" w:w="1584"/>
            <w:vAlign w:val="center"/>
            <w:shd w:fill="EEF3F7"/>
          </w:tcPr>
          <w:p>
            <w:pPr>
              <w:spacing w:after="0" w:before="0" w:line="250" w:lineRule="auto"/>
              <w:jc w:val="center"/>
            </w:pPr>
            <w:r>
              <w:rPr>
                <w:rFonts w:ascii="Arial" w:hAnsi="Arial"/>
                <w:b w:val="0"/>
                <w:color w:val="000000"/>
                <w:sz w:val="19"/>
              </w:rPr>
              <w:t>15.9×</w:t>
            </w:r>
          </w:p>
        </w:tc>
        <w:tc>
          <w:tcPr>
            <w:tcW w:type="dxa" w:w="1584"/>
            <w:vAlign w:val="center"/>
            <w:shd w:fill="EEF3F7"/>
          </w:tcPr>
          <w:p>
            <w:pPr>
              <w:spacing w:after="0" w:before="0" w:line="250" w:lineRule="auto"/>
              <w:jc w:val="center"/>
            </w:pPr>
            <w:r>
              <w:rPr>
                <w:rFonts w:ascii="Arial" w:hAnsi="Arial"/>
                <w:b w:val="0"/>
                <w:color w:val="000000"/>
                <w:sz w:val="19"/>
              </w:rPr>
              <w:t>13.1×</w:t>
            </w:r>
          </w:p>
        </w:tc>
        <w:tc>
          <w:tcPr>
            <w:tcW w:type="dxa" w:w="1670"/>
            <w:vAlign w:val="center"/>
            <w:shd w:fill="EEF3F7"/>
          </w:tcPr>
          <w:p>
            <w:pPr>
              <w:spacing w:after="0" w:before="0" w:line="250" w:lineRule="auto"/>
              <w:jc w:val="center"/>
            </w:pPr>
            <w:r>
              <w:rPr>
                <w:rFonts w:ascii="Arial" w:hAnsi="Arial"/>
                <w:b w:val="0"/>
                <w:color w:val="000000"/>
                <w:sz w:val="19"/>
              </w:rPr>
              <w:t>11.5×</w:t>
            </w:r>
          </w:p>
        </w:tc>
      </w:tr>
    </w:tbl>
    <w:p>
      <w:pPr>
        <w:spacing w:after="0"/>
      </w:pPr>
    </w:p>
    <w:p>
      <w:r>
        <w:rPr>
          <w:sz w:val="17"/>
        </w:rPr>
        <w:t>A close is 30 Sep; H closes are 6 Oct. These are dated comparison inputs, not 8 Oct live quotes. FX: RMB1 = HK$1.1705; US$1 = HK$7.848. H equity value applies the offer price to all 1.2378bn post-issue shares, excluding greenshoe; existing A uses 1.1512bn pre-issue shares.</w:t>
      </w:r>
    </w:p>
    <w:p>
      <w:r>
        <w:rPr>
          <w:sz w:val="17"/>
        </w:rPr>
        <w:t>At unchanged A price and the same enlarged share count, A TTM P/E would be 21.2×. H discount is 38.4–43.9%; midpoint 41.2%. Anker/Huaqin/Longcheer H discounts to A are about 22.5%/25.3%/51.0%. These differences are not arbitrage profits: A/H shares are not freely interchangeable.</w:t>
      </w:r>
    </w:p>
    <w:p>
      <w:r>
        <w:rPr>
          <w:sz w:val="17"/>
        </w:rPr>
        <w:t>2026E: 12-institution owner-profit mean RMB3.557bn as of 3 Oct; range RMB2.856–4.228bn. Midpoint forward P/E spans 13.7–9.3× across that range. TTM = FY25 + H1 26 − H1 25; Lenovo’s March year end gives TTM to June 2026. Anker uses 589.464m shares verified through 18 Sep; small later conversions can change ratios marginally. [4, 19–21]</w:t>
      </w:r>
    </w:p>
    <w:p>
      <w:r>
        <w:br w:type="page"/>
      </w:r>
    </w:p>
    <w:p>
      <w:pPr>
        <w:pStyle w:val="Caption"/>
        <w:spacing w:before="180"/>
      </w:pPr>
      <w:r>
        <w:rPr>
          <w:sz w:val="23"/>
        </w:rPr>
        <w:t>Closest A references | retain, with clear labels</w:t>
      </w:r>
    </w:p>
    <w:p>
      <w:pPr>
        <w:pStyle w:val="Caption"/>
      </w:pPr>
      <w:r>
        <w:t>A closes 30 September 2026 | reported TTM P/E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8" w:type="dxa"/>
          <w:bottom w:w="88" w:type="dxa"/>
          <w:left w:w="110" w:type="dxa"/>
          <w:right w:w="110" w:type="dxa"/>
        </w:tblCellMar>
      </w:tblPr>
      <w:tblGrid>
        <w:gridCol w:w="2520"/>
        <w:gridCol w:w="1224"/>
        <w:gridCol w:w="1224"/>
        <w:gridCol w:w="5040"/>
      </w:tblGrid>
      <w:tr>
        <w:trPr>
          <w:tblHeader/>
          <w:cantSplit/>
        </w:trPr>
        <w:tc>
          <w:tcPr>
            <w:tcW w:type="dxa" w:w="2520"/>
            <w:vAlign w:val="center"/>
            <w:shd w:fill="233B53"/>
          </w:tcPr>
          <w:p>
            <w:pPr>
              <w:spacing w:after="0" w:before="0" w:line="250" w:lineRule="auto"/>
              <w:jc w:val="left"/>
            </w:pPr>
            <w:r>
              <w:rPr>
                <w:rFonts w:ascii="Arial" w:hAnsi="Arial"/>
                <w:b/>
                <w:color w:val="FFFFFF"/>
                <w:sz w:val="19"/>
              </w:rPr>
              <w:t>Company / A ticker</w:t>
            </w:r>
          </w:p>
        </w:tc>
        <w:tc>
          <w:tcPr>
            <w:tcW w:type="dxa" w:w="1224"/>
            <w:vAlign w:val="center"/>
            <w:shd w:fill="233B53"/>
          </w:tcPr>
          <w:p>
            <w:pPr>
              <w:spacing w:after="0" w:before="0" w:line="250" w:lineRule="auto"/>
              <w:jc w:val="center"/>
            </w:pPr>
            <w:r>
              <w:rPr>
                <w:rFonts w:ascii="Arial" w:hAnsi="Arial"/>
                <w:b/>
                <w:color w:val="FFFFFF"/>
                <w:sz w:val="19"/>
              </w:rPr>
              <w:t>Close</w:t>
              <w:br/>
              <w:t>RMB</w:t>
            </w:r>
          </w:p>
        </w:tc>
        <w:tc>
          <w:tcPr>
            <w:tcW w:type="dxa" w:w="1224"/>
            <w:vAlign w:val="center"/>
            <w:shd w:fill="233B53"/>
          </w:tcPr>
          <w:p>
            <w:pPr>
              <w:spacing w:after="0" w:before="0" w:line="250" w:lineRule="auto"/>
              <w:jc w:val="center"/>
            </w:pPr>
            <w:r>
              <w:rPr>
                <w:rFonts w:ascii="Arial" w:hAnsi="Arial"/>
                <w:b/>
                <w:color w:val="FFFFFF"/>
                <w:sz w:val="19"/>
              </w:rPr>
              <w:t>TTM</w:t>
              <w:br/>
              <w:t>P/E</w:t>
            </w:r>
          </w:p>
        </w:tc>
        <w:tc>
          <w:tcPr>
            <w:tcW w:type="dxa" w:w="5040"/>
            <w:vAlign w:val="center"/>
            <w:shd w:fill="233B53"/>
          </w:tcPr>
          <w:p>
            <w:pPr>
              <w:spacing w:after="0" w:before="0" w:line="250" w:lineRule="auto"/>
              <w:jc w:val="left"/>
            </w:pPr>
            <w:r>
              <w:rPr>
                <w:rFonts w:ascii="Arial" w:hAnsi="Arial"/>
                <w:b/>
                <w:color w:val="FFFFFF"/>
                <w:sz w:val="19"/>
              </w:rPr>
              <w:t>Why retain</w:t>
            </w:r>
          </w:p>
        </w:tc>
      </w:tr>
      <w:tr>
        <w:trPr>
          <w:cantSplit/>
        </w:trPr>
        <w:tc>
          <w:tcPr>
            <w:tcW w:type="dxa" w:w="2520"/>
            <w:vAlign w:val="center"/>
            <w:shd w:fill="FFFFFF"/>
          </w:tcPr>
          <w:p>
            <w:pPr>
              <w:spacing w:after="0" w:before="0" w:line="250" w:lineRule="auto"/>
              <w:jc w:val="left"/>
            </w:pPr>
            <w:r>
              <w:rPr>
                <w:rFonts w:ascii="Arial" w:hAnsi="Arial"/>
                <w:b w:val="0"/>
                <w:color w:val="000000"/>
                <w:sz w:val="19"/>
              </w:rPr>
              <w:t>Anker / 300866</w:t>
            </w:r>
          </w:p>
        </w:tc>
        <w:tc>
          <w:tcPr>
            <w:tcW w:type="dxa" w:w="1224"/>
            <w:vAlign w:val="center"/>
            <w:shd w:fill="FFFFFF"/>
          </w:tcPr>
          <w:p>
            <w:pPr>
              <w:spacing w:after="0" w:before="0" w:line="250" w:lineRule="auto"/>
              <w:jc w:val="center"/>
            </w:pPr>
            <w:r>
              <w:rPr>
                <w:rFonts w:ascii="Arial" w:hAnsi="Arial"/>
                <w:b w:val="0"/>
                <w:color w:val="000000"/>
                <w:sz w:val="19"/>
              </w:rPr>
              <w:t>124.63</w:t>
            </w:r>
          </w:p>
        </w:tc>
        <w:tc>
          <w:tcPr>
            <w:tcW w:type="dxa" w:w="1224"/>
            <w:vAlign w:val="center"/>
            <w:shd w:fill="FFFFFF"/>
          </w:tcPr>
          <w:p>
            <w:pPr>
              <w:spacing w:after="0" w:before="0" w:line="250" w:lineRule="auto"/>
              <w:jc w:val="center"/>
            </w:pPr>
            <w:r>
              <w:rPr>
                <w:rFonts w:ascii="Arial" w:hAnsi="Arial"/>
                <w:b w:val="0"/>
                <w:color w:val="000000"/>
                <w:sz w:val="19"/>
              </w:rPr>
              <w:t>23.9×</w:t>
            </w:r>
          </w:p>
        </w:tc>
        <w:tc>
          <w:tcPr>
            <w:tcW w:type="dxa" w:w="5040"/>
            <w:vAlign w:val="center"/>
            <w:shd w:fill="FFFFFF"/>
          </w:tcPr>
          <w:p>
            <w:pPr>
              <w:spacing w:after="0" w:before="0" w:line="250" w:lineRule="auto"/>
              <w:jc w:val="left"/>
            </w:pPr>
            <w:r>
              <w:rPr>
                <w:rFonts w:ascii="Arial" w:hAnsi="Arial"/>
                <w:b w:val="0"/>
                <w:color w:val="000000"/>
                <w:sz w:val="19"/>
              </w:rPr>
              <w:t>Overseas branded consumer hardware</w:t>
            </w:r>
          </w:p>
        </w:tc>
      </w:tr>
      <w:tr>
        <w:trPr>
          <w:cantSplit/>
        </w:trPr>
        <w:tc>
          <w:tcPr>
            <w:tcW w:type="dxa" w:w="2520"/>
            <w:vAlign w:val="center"/>
            <w:shd w:fill="EEF3F7"/>
          </w:tcPr>
          <w:p>
            <w:pPr>
              <w:spacing w:after="0" w:before="0" w:line="250" w:lineRule="auto"/>
              <w:jc w:val="left"/>
            </w:pPr>
            <w:r>
              <w:rPr>
                <w:rFonts w:ascii="Arial" w:hAnsi="Arial"/>
                <w:b w:val="0"/>
                <w:color w:val="000000"/>
                <w:sz w:val="19"/>
              </w:rPr>
              <w:t>Huaqin / 603296</w:t>
            </w:r>
          </w:p>
        </w:tc>
        <w:tc>
          <w:tcPr>
            <w:tcW w:type="dxa" w:w="1224"/>
            <w:vAlign w:val="center"/>
            <w:shd w:fill="EEF3F7"/>
          </w:tcPr>
          <w:p>
            <w:pPr>
              <w:spacing w:after="0" w:before="0" w:line="250" w:lineRule="auto"/>
              <w:jc w:val="center"/>
            </w:pPr>
            <w:r>
              <w:rPr>
                <w:rFonts w:ascii="Arial" w:hAnsi="Arial"/>
                <w:b w:val="0"/>
                <w:color w:val="000000"/>
                <w:sz w:val="19"/>
              </w:rPr>
              <w:t>74.49</w:t>
            </w:r>
          </w:p>
        </w:tc>
        <w:tc>
          <w:tcPr>
            <w:tcW w:type="dxa" w:w="1224"/>
            <w:vAlign w:val="center"/>
            <w:shd w:fill="EEF3F7"/>
          </w:tcPr>
          <w:p>
            <w:pPr>
              <w:spacing w:after="0" w:before="0" w:line="250" w:lineRule="auto"/>
              <w:jc w:val="center"/>
            </w:pPr>
            <w:r>
              <w:rPr>
                <w:rFonts w:ascii="Arial" w:hAnsi="Arial"/>
                <w:b w:val="0"/>
                <w:color w:val="000000"/>
                <w:sz w:val="19"/>
              </w:rPr>
              <w:t>21.9×</w:t>
            </w:r>
          </w:p>
        </w:tc>
        <w:tc>
          <w:tcPr>
            <w:tcW w:type="dxa" w:w="5040"/>
            <w:vAlign w:val="center"/>
            <w:shd w:fill="EEF3F7"/>
          </w:tcPr>
          <w:p>
            <w:pPr>
              <w:spacing w:after="0" w:before="0" w:line="250" w:lineRule="auto"/>
              <w:jc w:val="left"/>
            </w:pPr>
            <w:r>
              <w:rPr>
                <w:rFonts w:ascii="Arial" w:hAnsi="Arial"/>
                <w:b w:val="0"/>
                <w:color w:val="000000"/>
                <w:sz w:val="19"/>
              </w:rPr>
              <w:t>Large handset ODM; manufacturing benchmark</w:t>
            </w:r>
          </w:p>
        </w:tc>
      </w:tr>
      <w:tr>
        <w:trPr>
          <w:cantSplit/>
        </w:trPr>
        <w:tc>
          <w:tcPr>
            <w:tcW w:type="dxa" w:w="2520"/>
            <w:vAlign w:val="center"/>
            <w:shd w:fill="FFFFFF"/>
          </w:tcPr>
          <w:p>
            <w:pPr>
              <w:spacing w:after="0" w:before="0" w:line="250" w:lineRule="auto"/>
              <w:jc w:val="left"/>
            </w:pPr>
            <w:r>
              <w:rPr>
                <w:rFonts w:ascii="Arial" w:hAnsi="Arial"/>
                <w:b w:val="0"/>
                <w:color w:val="000000"/>
                <w:sz w:val="19"/>
              </w:rPr>
              <w:t>Longcheer / 603341</w:t>
            </w:r>
          </w:p>
        </w:tc>
        <w:tc>
          <w:tcPr>
            <w:tcW w:type="dxa" w:w="1224"/>
            <w:vAlign w:val="center"/>
            <w:shd w:fill="FFFFFF"/>
          </w:tcPr>
          <w:p>
            <w:pPr>
              <w:spacing w:after="0" w:before="0" w:line="250" w:lineRule="auto"/>
              <w:jc w:val="center"/>
            </w:pPr>
            <w:r>
              <w:rPr>
                <w:rFonts w:ascii="Arial" w:hAnsi="Arial"/>
                <w:b w:val="0"/>
                <w:color w:val="000000"/>
                <w:sz w:val="19"/>
              </w:rPr>
              <w:t>35.21</w:t>
            </w:r>
          </w:p>
        </w:tc>
        <w:tc>
          <w:tcPr>
            <w:tcW w:type="dxa" w:w="1224"/>
            <w:vAlign w:val="center"/>
            <w:shd w:fill="FFFFFF"/>
          </w:tcPr>
          <w:p>
            <w:pPr>
              <w:spacing w:after="0" w:before="0" w:line="250" w:lineRule="auto"/>
              <w:jc w:val="center"/>
            </w:pPr>
            <w:r>
              <w:rPr>
                <w:rFonts w:ascii="Arial" w:hAnsi="Arial"/>
                <w:b w:val="0"/>
                <w:color w:val="000000"/>
                <w:sz w:val="19"/>
              </w:rPr>
              <w:t>38.7×</w:t>
            </w:r>
          </w:p>
        </w:tc>
        <w:tc>
          <w:tcPr>
            <w:tcW w:type="dxa" w:w="5040"/>
            <w:vAlign w:val="center"/>
            <w:shd w:fill="FFFFFF"/>
          </w:tcPr>
          <w:p>
            <w:pPr>
              <w:spacing w:after="0" w:before="0" w:line="250" w:lineRule="auto"/>
              <w:jc w:val="left"/>
            </w:pPr>
            <w:r>
              <w:rPr>
                <w:rFonts w:ascii="Arial" w:hAnsi="Arial"/>
                <w:b w:val="0"/>
                <w:color w:val="000000"/>
                <w:sz w:val="19"/>
              </w:rPr>
              <w:t>Smartphone ODM; manufacturing benchmark</w:t>
            </w:r>
          </w:p>
        </w:tc>
      </w:tr>
    </w:tbl>
    <w:p>
      <w:pPr>
        <w:spacing w:after="0"/>
      </w:pPr>
    </w:p>
    <w:p>
      <w:r>
        <w:rPr>
          <w:sz w:val="18"/>
        </w:rPr>
        <w:t>Xiaomi has no A listing. OPPO, vivo and Honor are operating competitors without listed equity valuations in this table. Anker and the ODMs are the most relevant retained A references, with the differences above; Transsion’s own A valuation is on page 2.</w:t>
      </w:r>
    </w:p>
    <w:p>
      <w:pPr>
        <w:pStyle w:val="Caption"/>
        <w:spacing w:before="180"/>
      </w:pPr>
      <w:r>
        <w:rPr>
          <w:sz w:val="23"/>
        </w:rPr>
        <w:t>Numbers checked | what matters for the trade</w:t>
      </w:r>
    </w:p>
    <w:p>
      <w:pPr>
        <w:pStyle w:val="Caption"/>
      </w:pPr>
      <w:r>
        <w:t>Cash and margin audit | RMB bn except margins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8" w:type="dxa"/>
          <w:bottom w:w="88" w:type="dxa"/>
          <w:left w:w="110" w:type="dxa"/>
          <w:right w:w="110" w:type="dxa"/>
        </w:tblCellMar>
      </w:tblPr>
      <w:tblGrid>
        <w:gridCol w:w="2347"/>
        <w:gridCol w:w="1613"/>
        <w:gridCol w:w="1786"/>
        <w:gridCol w:w="4262"/>
      </w:tblGrid>
      <w:tr>
        <w:trPr>
          <w:tblHeader/>
          <w:cantSplit/>
        </w:trPr>
        <w:tc>
          <w:tcPr>
            <w:tcW w:type="dxa" w:w="2347"/>
            <w:vAlign w:val="center"/>
            <w:shd w:fill="233B53"/>
          </w:tcPr>
          <w:p>
            <w:pPr>
              <w:spacing w:after="0" w:before="0" w:line="250" w:lineRule="auto"/>
              <w:jc w:val="left"/>
            </w:pPr>
            <w:r>
              <w:rPr>
                <w:rFonts w:ascii="Arial" w:hAnsi="Arial"/>
                <w:b/>
                <w:color w:val="FFFFFF"/>
                <w:sz w:val="19"/>
              </w:rPr>
              <w:t>Metric</w:t>
            </w:r>
          </w:p>
        </w:tc>
        <w:tc>
          <w:tcPr>
            <w:tcW w:type="dxa" w:w="1613"/>
            <w:vAlign w:val="center"/>
            <w:shd w:fill="233B53"/>
          </w:tcPr>
          <w:p>
            <w:pPr>
              <w:spacing w:after="0" w:before="0" w:line="250" w:lineRule="auto"/>
              <w:jc w:val="center"/>
            </w:pPr>
            <w:r>
              <w:rPr>
                <w:rFonts w:ascii="Arial" w:hAnsi="Arial"/>
                <w:b/>
                <w:color w:val="FFFFFF"/>
                <w:sz w:val="19"/>
              </w:rPr>
              <w:t>FY25 / Dec25</w:t>
            </w:r>
          </w:p>
        </w:tc>
        <w:tc>
          <w:tcPr>
            <w:tcW w:type="dxa" w:w="1786"/>
            <w:vAlign w:val="center"/>
            <w:shd w:fill="233B53"/>
          </w:tcPr>
          <w:p>
            <w:pPr>
              <w:spacing w:after="0" w:before="0" w:line="250" w:lineRule="auto"/>
              <w:jc w:val="center"/>
            </w:pPr>
            <w:r>
              <w:rPr>
                <w:rFonts w:ascii="Arial" w:hAnsi="Arial"/>
                <w:b/>
                <w:color w:val="FFFFFF"/>
                <w:sz w:val="19"/>
              </w:rPr>
              <w:t>H1 / Jun26</w:t>
            </w:r>
          </w:p>
        </w:tc>
        <w:tc>
          <w:tcPr>
            <w:tcW w:type="dxa" w:w="4262"/>
            <w:vAlign w:val="center"/>
            <w:shd w:fill="233B53"/>
          </w:tcPr>
          <w:p>
            <w:pPr>
              <w:spacing w:after="0" w:before="0" w:line="250" w:lineRule="auto"/>
              <w:jc w:val="left"/>
            </w:pPr>
            <w:r>
              <w:rPr>
                <w:rFonts w:ascii="Arial" w:hAnsi="Arial"/>
                <w:b/>
                <w:color w:val="FFFFFF"/>
                <w:sz w:val="19"/>
              </w:rPr>
              <w:t>Implication</w:t>
            </w:r>
          </w:p>
        </w:tc>
      </w:tr>
      <w:tr>
        <w:trPr>
          <w:cantSplit/>
        </w:trPr>
        <w:tc>
          <w:tcPr>
            <w:tcW w:type="dxa" w:w="2347"/>
            <w:vAlign w:val="center"/>
            <w:shd w:fill="FFFFFF"/>
          </w:tcPr>
          <w:p>
            <w:pPr>
              <w:spacing w:after="0" w:before="0" w:line="250" w:lineRule="auto"/>
              <w:jc w:val="left"/>
            </w:pPr>
            <w:r>
              <w:rPr>
                <w:rFonts w:ascii="Arial" w:hAnsi="Arial"/>
                <w:b w:val="0"/>
                <w:color w:val="000000"/>
                <w:sz w:val="19"/>
              </w:rPr>
              <w:t>Owner profit</w:t>
            </w:r>
          </w:p>
        </w:tc>
        <w:tc>
          <w:tcPr>
            <w:tcW w:type="dxa" w:w="1613"/>
            <w:vAlign w:val="center"/>
            <w:shd w:fill="FFFFFF"/>
          </w:tcPr>
          <w:p>
            <w:pPr>
              <w:spacing w:after="0" w:before="0" w:line="250" w:lineRule="auto"/>
              <w:jc w:val="center"/>
            </w:pPr>
            <w:r>
              <w:rPr>
                <w:rFonts w:ascii="Arial" w:hAnsi="Arial"/>
                <w:b w:val="0"/>
                <w:color w:val="000000"/>
                <w:sz w:val="19"/>
              </w:rPr>
              <w:t>2.581</w:t>
            </w:r>
          </w:p>
        </w:tc>
        <w:tc>
          <w:tcPr>
            <w:tcW w:type="dxa" w:w="1786"/>
            <w:vAlign w:val="center"/>
            <w:shd w:fill="FFFFFF"/>
          </w:tcPr>
          <w:p>
            <w:pPr>
              <w:spacing w:after="0" w:before="0" w:line="250" w:lineRule="auto"/>
              <w:jc w:val="center"/>
            </w:pPr>
            <w:r>
              <w:rPr>
                <w:rFonts w:ascii="Arial" w:hAnsi="Arial"/>
                <w:b w:val="0"/>
                <w:color w:val="000000"/>
                <w:sz w:val="19"/>
              </w:rPr>
              <w:t>1.773</w:t>
            </w:r>
          </w:p>
        </w:tc>
        <w:tc>
          <w:tcPr>
            <w:tcW w:type="dxa" w:w="4262"/>
            <w:vAlign w:val="center"/>
            <w:shd w:fill="FFFFFF"/>
          </w:tcPr>
          <w:p>
            <w:pPr>
              <w:spacing w:after="0" w:before="0" w:line="250" w:lineRule="auto"/>
              <w:jc w:val="left"/>
            </w:pPr>
            <w:r>
              <w:rPr>
                <w:rFonts w:ascii="Arial" w:hAnsi="Arial"/>
                <w:b w:val="0"/>
                <w:color w:val="000000"/>
                <w:sz w:val="19"/>
              </w:rPr>
              <w:t>Use owner profit for P/E, not FY25 consolidated 2.605</w:t>
            </w:r>
          </w:p>
        </w:tc>
      </w:tr>
      <w:tr>
        <w:trPr>
          <w:cantSplit/>
        </w:trPr>
        <w:tc>
          <w:tcPr>
            <w:tcW w:type="dxa" w:w="2347"/>
            <w:vAlign w:val="center"/>
            <w:shd w:fill="EEF3F7"/>
          </w:tcPr>
          <w:p>
            <w:pPr>
              <w:spacing w:after="0" w:before="0" w:line="250" w:lineRule="auto"/>
              <w:jc w:val="left"/>
            </w:pPr>
            <w:r>
              <w:rPr>
                <w:rFonts w:ascii="Arial" w:hAnsi="Arial"/>
                <w:b w:val="0"/>
                <w:color w:val="000000"/>
                <w:sz w:val="19"/>
              </w:rPr>
              <w:t>Group gross margin: A / H</w:t>
            </w:r>
          </w:p>
        </w:tc>
        <w:tc>
          <w:tcPr>
            <w:tcW w:type="dxa" w:w="1613"/>
            <w:vAlign w:val="center"/>
            <w:shd w:fill="EEF3F7"/>
          </w:tcPr>
          <w:p>
            <w:pPr>
              <w:spacing w:after="0" w:before="0" w:line="250" w:lineRule="auto"/>
              <w:jc w:val="center"/>
            </w:pPr>
            <w:r>
              <w:rPr>
                <w:rFonts w:ascii="Arial" w:hAnsi="Arial"/>
                <w:b w:val="0"/>
                <w:color w:val="000000"/>
                <w:sz w:val="19"/>
              </w:rPr>
              <w:t>19.15% / 18.72%</w:t>
            </w:r>
          </w:p>
        </w:tc>
        <w:tc>
          <w:tcPr>
            <w:tcW w:type="dxa" w:w="1786"/>
            <w:vAlign w:val="center"/>
            <w:shd w:fill="EEF3F7"/>
          </w:tcPr>
          <w:p>
            <w:pPr>
              <w:spacing w:after="0" w:before="0" w:line="250" w:lineRule="auto"/>
              <w:jc w:val="center"/>
            </w:pPr>
            <w:r>
              <w:rPr>
                <w:rFonts w:ascii="Arial" w:hAnsi="Arial"/>
                <w:b w:val="0"/>
                <w:color w:val="000000"/>
                <w:sz w:val="19"/>
              </w:rPr>
              <w:t>22.63% / 21.58%</w:t>
            </w:r>
          </w:p>
        </w:tc>
        <w:tc>
          <w:tcPr>
            <w:tcW w:type="dxa" w:w="4262"/>
            <w:vAlign w:val="center"/>
            <w:shd w:fill="EEF3F7"/>
          </w:tcPr>
          <w:p>
            <w:pPr>
              <w:spacing w:after="0" w:before="0" w:line="250" w:lineRule="auto"/>
              <w:jc w:val="left"/>
            </w:pPr>
            <w:r>
              <w:rPr>
                <w:rFonts w:ascii="Arial" w:hAnsi="Arial"/>
                <w:b w:val="0"/>
                <w:color w:val="000000"/>
                <w:sz w:val="19"/>
              </w:rPr>
              <w:t>Inventory write-down presentation explains gap; net profit unchanged</w:t>
            </w:r>
          </w:p>
        </w:tc>
      </w:tr>
      <w:tr>
        <w:trPr>
          <w:cantSplit/>
        </w:trPr>
        <w:tc>
          <w:tcPr>
            <w:tcW w:type="dxa" w:w="2347"/>
            <w:vAlign w:val="center"/>
            <w:shd w:fill="FFFFFF"/>
          </w:tcPr>
          <w:p>
            <w:pPr>
              <w:spacing w:after="0" w:before="0" w:line="250" w:lineRule="auto"/>
              <w:jc w:val="left"/>
            </w:pPr>
            <w:r>
              <w:rPr>
                <w:rFonts w:ascii="Arial" w:hAnsi="Arial"/>
                <w:b w:val="0"/>
                <w:color w:val="000000"/>
                <w:sz w:val="19"/>
              </w:rPr>
              <w:t>Net inventory</w:t>
            </w:r>
          </w:p>
        </w:tc>
        <w:tc>
          <w:tcPr>
            <w:tcW w:type="dxa" w:w="1613"/>
            <w:vAlign w:val="center"/>
            <w:shd w:fill="FFFFFF"/>
          </w:tcPr>
          <w:p>
            <w:pPr>
              <w:spacing w:after="0" w:before="0" w:line="250" w:lineRule="auto"/>
              <w:jc w:val="center"/>
            </w:pPr>
            <w:r>
              <w:rPr>
                <w:rFonts w:ascii="Arial" w:hAnsi="Arial"/>
                <w:b w:val="0"/>
                <w:color w:val="000000"/>
                <w:sz w:val="19"/>
              </w:rPr>
              <w:t>8.90</w:t>
            </w:r>
          </w:p>
        </w:tc>
        <w:tc>
          <w:tcPr>
            <w:tcW w:type="dxa" w:w="1786"/>
            <w:vAlign w:val="center"/>
            <w:shd w:fill="FFFFFF"/>
          </w:tcPr>
          <w:p>
            <w:pPr>
              <w:spacing w:after="0" w:before="0" w:line="250" w:lineRule="auto"/>
              <w:jc w:val="center"/>
            </w:pPr>
            <w:r>
              <w:rPr>
                <w:rFonts w:ascii="Arial" w:hAnsi="Arial"/>
                <w:b w:val="0"/>
                <w:color w:val="000000"/>
                <w:sz w:val="19"/>
              </w:rPr>
              <w:t>18.94</w:t>
            </w:r>
          </w:p>
        </w:tc>
        <w:tc>
          <w:tcPr>
            <w:tcW w:type="dxa" w:w="4262"/>
            <w:vAlign w:val="center"/>
            <w:shd w:fill="FFFFFF"/>
          </w:tcPr>
          <w:p>
            <w:pPr>
              <w:spacing w:after="0" w:before="0" w:line="250" w:lineRule="auto"/>
              <w:jc w:val="left"/>
            </w:pPr>
            <w:r>
              <w:rPr>
                <w:rFonts w:ascii="Arial" w:hAnsi="Arial"/>
                <w:b w:val="0"/>
                <w:color w:val="000000"/>
                <w:sz w:val="19"/>
              </w:rPr>
              <w:t>Raw materials +6.25; finished goods +1.69</w:t>
            </w:r>
          </w:p>
        </w:tc>
      </w:tr>
      <w:tr>
        <w:trPr>
          <w:cantSplit/>
        </w:trPr>
        <w:tc>
          <w:tcPr>
            <w:tcW w:type="dxa" w:w="2347"/>
            <w:vAlign w:val="center"/>
            <w:shd w:fill="EEF3F7"/>
          </w:tcPr>
          <w:p>
            <w:pPr>
              <w:spacing w:after="0" w:before="0" w:line="250" w:lineRule="auto"/>
              <w:jc w:val="left"/>
            </w:pPr>
            <w:r>
              <w:rPr>
                <w:rFonts w:ascii="Arial" w:hAnsi="Arial"/>
                <w:b w:val="0"/>
                <w:color w:val="000000"/>
                <w:sz w:val="19"/>
              </w:rPr>
              <w:t>Raw materials</w:t>
            </w:r>
          </w:p>
        </w:tc>
        <w:tc>
          <w:tcPr>
            <w:tcW w:type="dxa" w:w="1613"/>
            <w:vAlign w:val="center"/>
            <w:shd w:fill="EEF3F7"/>
          </w:tcPr>
          <w:p>
            <w:pPr>
              <w:spacing w:after="0" w:before="0" w:line="250" w:lineRule="auto"/>
              <w:jc w:val="center"/>
            </w:pPr>
            <w:r>
              <w:rPr>
                <w:rFonts w:ascii="Arial" w:hAnsi="Arial"/>
                <w:b w:val="0"/>
                <w:color w:val="000000"/>
                <w:sz w:val="19"/>
              </w:rPr>
              <w:t>3.72</w:t>
            </w:r>
          </w:p>
        </w:tc>
        <w:tc>
          <w:tcPr>
            <w:tcW w:type="dxa" w:w="1786"/>
            <w:vAlign w:val="center"/>
            <w:shd w:fill="EEF3F7"/>
          </w:tcPr>
          <w:p>
            <w:pPr>
              <w:spacing w:after="0" w:before="0" w:line="250" w:lineRule="auto"/>
              <w:jc w:val="center"/>
            </w:pPr>
            <w:r>
              <w:rPr>
                <w:rFonts w:ascii="Arial" w:hAnsi="Arial"/>
                <w:b w:val="0"/>
                <w:color w:val="000000"/>
                <w:sz w:val="19"/>
              </w:rPr>
              <w:t>9.97</w:t>
            </w:r>
          </w:p>
        </w:tc>
        <w:tc>
          <w:tcPr>
            <w:tcW w:type="dxa" w:w="4262"/>
            <w:vAlign w:val="center"/>
            <w:shd w:fill="EEF3F7"/>
          </w:tcPr>
          <w:p>
            <w:pPr>
              <w:spacing w:after="0" w:before="0" w:line="250" w:lineRule="auto"/>
              <w:jc w:val="left"/>
            </w:pPr>
            <w:r>
              <w:rPr>
                <w:rFonts w:ascii="Arial" w:hAnsi="Arial"/>
                <w:b w:val="0"/>
                <w:color w:val="000000"/>
                <w:sz w:val="19"/>
              </w:rPr>
              <w:t>Mostly component prebuying; memory amount undisclosed</w:t>
            </w:r>
          </w:p>
        </w:tc>
      </w:tr>
      <w:tr>
        <w:trPr>
          <w:cantSplit/>
        </w:trPr>
        <w:tc>
          <w:tcPr>
            <w:tcW w:type="dxa" w:w="2347"/>
            <w:vAlign w:val="center"/>
            <w:shd w:fill="FFFFFF"/>
          </w:tcPr>
          <w:p>
            <w:pPr>
              <w:spacing w:after="0" w:before="0" w:line="250" w:lineRule="auto"/>
              <w:jc w:val="left"/>
            </w:pPr>
            <w:r>
              <w:rPr>
                <w:rFonts w:ascii="Arial" w:hAnsi="Arial"/>
                <w:b w:val="0"/>
                <w:color w:val="000000"/>
                <w:sz w:val="19"/>
              </w:rPr>
              <w:t>Cash equivalents / bank loans</w:t>
            </w:r>
          </w:p>
        </w:tc>
        <w:tc>
          <w:tcPr>
            <w:tcW w:type="dxa" w:w="1613"/>
            <w:vAlign w:val="center"/>
            <w:shd w:fill="FFFFFF"/>
          </w:tcPr>
          <w:p>
            <w:pPr>
              <w:spacing w:after="0" w:before="0" w:line="250" w:lineRule="auto"/>
              <w:jc w:val="center"/>
            </w:pPr>
            <w:r>
              <w:rPr>
                <w:rFonts w:ascii="Arial" w:hAnsi="Arial"/>
                <w:b w:val="0"/>
                <w:color w:val="000000"/>
                <w:sz w:val="19"/>
              </w:rPr>
              <w:t>—</w:t>
            </w:r>
          </w:p>
        </w:tc>
        <w:tc>
          <w:tcPr>
            <w:tcW w:type="dxa" w:w="1786"/>
            <w:vAlign w:val="center"/>
            <w:shd w:fill="FFFFFF"/>
          </w:tcPr>
          <w:p>
            <w:pPr>
              <w:spacing w:after="0" w:before="0" w:line="250" w:lineRule="auto"/>
              <w:jc w:val="center"/>
            </w:pPr>
            <w:r>
              <w:rPr>
                <w:rFonts w:ascii="Arial" w:hAnsi="Arial"/>
                <w:b w:val="0"/>
                <w:color w:val="000000"/>
                <w:sz w:val="19"/>
              </w:rPr>
              <w:t>11.64 / 4.01</w:t>
            </w:r>
          </w:p>
        </w:tc>
        <w:tc>
          <w:tcPr>
            <w:tcW w:type="dxa" w:w="4262"/>
            <w:vAlign w:val="center"/>
            <w:shd w:fill="FFFFFF"/>
          </w:tcPr>
          <w:p>
            <w:pPr>
              <w:spacing w:after="0" w:before="0" w:line="250" w:lineRule="auto"/>
              <w:jc w:val="left"/>
            </w:pPr>
            <w:r>
              <w:rPr>
                <w:rFonts w:ascii="Arial" w:hAnsi="Arial"/>
                <w:b w:val="0"/>
                <w:color w:val="000000"/>
                <w:sz w:val="19"/>
              </w:rPr>
              <w:t>Zero-debt claims are incorrect</w:t>
            </w:r>
          </w:p>
        </w:tc>
      </w:tr>
    </w:tbl>
    <w:p>
      <w:pPr>
        <w:spacing w:after="0"/>
      </w:pPr>
    </w:p>
    <w:p>
      <w:pPr>
        <w:pStyle w:val="ListBullet"/>
        <w:spacing w:after="100" w:line="254" w:lineRule="auto"/>
        <w:ind w:left="230" w:hanging="187"/>
      </w:pPr>
      <w:r>
        <w:rPr>
          <w:rFonts w:ascii="Arial" w:hAnsi="Arial"/>
          <w:b/>
          <w:sz w:val="20"/>
        </w:rPr>
        <w:t xml:space="preserve">Cash answer: </w:t>
      </w:r>
      <w:r>
        <w:rPr>
          <w:rFonts w:ascii="Arial" w:hAnsi="Arial"/>
          <w:sz w:val="20"/>
        </w:rPr>
        <w:t>Inventory explains much of the drain, not memory alone. The H1 cash bridge shows inventory −10.41bn, receivables −1.66bn and payables +3.53bn. Watch whether stock unwinds into cash rather than further borrowing. [3]</w:t>
      </w:r>
    </w:p>
    <w:p>
      <w:pPr>
        <w:pStyle w:val="ListBullet"/>
        <w:spacing w:after="100" w:line="254" w:lineRule="auto"/>
        <w:ind w:left="230" w:hanging="187"/>
      </w:pPr>
      <w:r>
        <w:rPr>
          <w:rFonts w:ascii="Arial" w:hAnsi="Arial"/>
          <w:b/>
          <w:sz w:val="20"/>
        </w:rPr>
        <w:t xml:space="preserve">Margin answer: </w:t>
      </w:r>
      <w:r>
        <w:rPr>
          <w:rFonts w:ascii="Arial" w:hAnsi="Arial"/>
          <w:sz w:val="20"/>
        </w:rPr>
        <w:t>FY25 18.43% is the A phone-segment margin, not group margin. H accounts include inventory write-downs in cost of sales; A accounts record impairment separately. Replacement-stock margins are the economic issue. [1–3]</w:t>
      </w:r>
    </w:p>
    <w:p>
      <w:pPr>
        <w:pStyle w:val="ListBullet"/>
        <w:spacing w:after="100" w:line="254" w:lineRule="auto"/>
        <w:ind w:left="230" w:hanging="187"/>
      </w:pPr>
      <w:r>
        <w:rPr>
          <w:rFonts w:ascii="Arial" w:hAnsi="Arial"/>
          <w:b/>
          <w:sz w:val="20"/>
        </w:rPr>
        <w:t xml:space="preserve">Other earnings checks: </w:t>
      </w:r>
      <w:r>
        <w:rPr>
          <w:rFonts w:ascii="Arial" w:hAnsi="Arial"/>
          <w:sz w:val="20"/>
        </w:rPr>
        <w:t>H1 ex-nonrecurring profit was RMB1.48bn versus RMB1.77bn reported; FX losses reached RMB390m. FY25 selling costs RMB5.204bn (+7.61%) and R&amp;D RMB2.950bn (+17.23%) reconcile to filings. Brand spend, currency losses and royalties can absorb margin recovery. [1–3]</w:t>
      </w:r>
    </w:p>
    <w:p>
      <w:pPr>
        <w:pStyle w:val="Caption"/>
        <w:spacing w:before="180"/>
      </w:pPr>
      <w:r>
        <w:rPr>
          <w:sz w:val="23"/>
        </w:rPr>
        <w:t>Broker and retail read | constructive, with a cash/margin split</w:t>
      </w:r>
    </w:p>
    <w:p>
      <w:pPr>
        <w:pStyle w:val="ListBullet"/>
        <w:spacing w:after="100" w:line="254" w:lineRule="auto"/>
        <w:ind w:left="230" w:hanging="187"/>
      </w:pPr>
      <w:r>
        <w:rPr>
          <w:rFonts w:ascii="Arial" w:hAnsi="Arial"/>
          <w:b/>
          <w:sz w:val="20"/>
        </w:rPr>
        <w:t xml:space="preserve">Brokers: </w:t>
      </w:r>
      <w:r>
        <w:rPr>
          <w:rFonts w:ascii="Arial" w:hAnsi="Arial"/>
          <w:sz w:val="20"/>
        </w:rPr>
        <w:t>Kaiyuan Buy / RMB3.683bn FY26 profit; Guolian Minsheng Recommend / 3.750bn; Zhongtai Buy / 3.187bn. Their thesis is ASP/mix and recovery. Forecast dispersion argues against treating 2026 consensus as guaranteed. [5–7]</w:t>
      </w:r>
    </w:p>
    <w:p>
      <w:pPr>
        <w:pStyle w:val="ListBullet"/>
        <w:spacing w:after="100" w:line="254" w:lineRule="auto"/>
        <w:ind w:left="230" w:hanging="187"/>
      </w:pPr>
      <w:r>
        <w:rPr>
          <w:rFonts w:ascii="Arial" w:hAnsi="Arial"/>
          <w:b/>
          <w:sz w:val="20"/>
        </w:rPr>
        <w:t xml:space="preserve">Xueqiu: </w:t>
      </w:r>
      <w:r>
        <w:rPr>
          <w:rFonts w:ascii="Arial" w:hAnsi="Arial"/>
          <w:sz w:val="20"/>
        </w:rPr>
        <w:t>Bulls cite a cyclical earnings bottom, channels and prebuying; bears question memory costs, stock build and sustainable margins. The sampled posts are anecdotal and mostly predate H bookbuilding. A zero-debt bull premise fails the accounts. [11–14]</w:t>
      </w:r>
    </w:p>
    <w:p>
      <w:pPr>
        <w:pStyle w:val="ListBullet"/>
        <w:spacing w:after="100" w:line="254" w:lineRule="auto"/>
        <w:ind w:left="230" w:hanging="187"/>
      </w:pPr>
      <w:r>
        <w:rPr>
          <w:rFonts w:ascii="Arial" w:hAnsi="Arial"/>
          <w:b/>
          <w:sz w:val="20"/>
        </w:rPr>
        <w:t xml:space="preserve">Niuniu: </w:t>
      </w:r>
      <w:r>
        <w:rPr>
          <w:rFonts w:ascii="Arial" w:hAnsi="Arial"/>
          <w:sz w:val="20"/>
        </w:rPr>
        <w:t>The public H forum showed no comments on 7 Oct; A discussion required login. Media commentary is available, but no representative retail subscription consensus was established. Do not substitute forum tone for book data. [15–18]</w:t>
      </w:r>
    </w:p>
    <w:p>
      <w:r>
        <w:rPr>
          <w:b/>
          <w:sz w:val="19"/>
        </w:rPr>
        <w:t>Trade trigger:</w:t>
      </w:r>
      <w:r>
        <w:rPr>
          <w:sz w:val="19"/>
        </w:rPr>
        <w:t xml:space="preserve"> firmer conviction requires margin resilience and inventory converting into cash. Weak margins with stock still elevated would invalidate the recovery case. At the upper offer price, require stronger book evidence to compensate for the narrower valuation cushion.</w:t>
      </w:r>
    </w:p>
    <w:p>
      <w:r>
        <w:br w:type="page"/>
      </w:r>
    </w:p>
    <w:p>
      <w:pPr>
        <w:pStyle w:val="Caption"/>
        <w:spacing w:before="180"/>
      </w:pPr>
      <w:r>
        <w:rPr>
          <w:sz w:val="23"/>
        </w:rPr>
        <w:t>Sources | filings, analyst views and public discussion</w:t>
      </w:r>
    </w:p>
    <w:p>
      <w:r>
        <w:rPr>
          <w:sz w:val="18"/>
        </w:rPr>
        <w:t>Figures are factual checks; broker/forum statements are attributed opinions. This revision adds Anker and cornerstone supply. The accompanying research log retains detailed calculation inputs and additional forum links.</w:t>
      </w:r>
    </w:p>
    <w:p>
      <w:pPr>
        <w:spacing w:after="60" w:line="245" w:lineRule="auto"/>
      </w:pPr>
      <w:r>
        <w:rPr>
          <w:sz w:val="17"/>
        </w:rPr>
        <w:t xml:space="preserve">[1] </w:t>
      </w:r>
      <w:hyperlink r:id="rId9">
        <w:r>
          <w:rPr>
            <w:color w:val="175F99"/>
            <w:u w:val="single"/>
          </w:rPr>
          <w:t>Transsion final prospectus and offer terms</w:t>
        </w:r>
      </w:hyperlink>
    </w:p>
    <w:p>
      <w:pPr>
        <w:spacing w:after="60" w:line="245" w:lineRule="auto"/>
      </w:pPr>
      <w:r>
        <w:rPr>
          <w:sz w:val="17"/>
        </w:rPr>
        <w:t xml:space="preserve">[2] </w:t>
      </w:r>
      <w:hyperlink r:id="rId10">
        <w:r>
          <w:rPr>
            <w:color w:val="175F99"/>
            <w:u w:val="single"/>
          </w:rPr>
          <w:t>Transsion FY2025 annual report</w:t>
        </w:r>
      </w:hyperlink>
    </w:p>
    <w:p>
      <w:pPr>
        <w:spacing w:after="60" w:line="245" w:lineRule="auto"/>
      </w:pPr>
      <w:r>
        <w:rPr>
          <w:sz w:val="17"/>
        </w:rPr>
        <w:t xml:space="preserve">[3] </w:t>
      </w:r>
      <w:hyperlink r:id="rId11">
        <w:r>
          <w:rPr>
            <w:color w:val="175F99"/>
            <w:u w:val="single"/>
          </w:rPr>
          <w:t>Transsion H1 2026 report reproduction</w:t>
        </w:r>
      </w:hyperlink>
    </w:p>
    <w:p>
      <w:pPr>
        <w:spacing w:after="60" w:line="245" w:lineRule="auto"/>
      </w:pPr>
      <w:r>
        <w:rPr>
          <w:sz w:val="17"/>
        </w:rPr>
        <w:t xml:space="preserve">[4] </w:t>
      </w:r>
      <w:hyperlink r:id="rId12">
        <w:r>
          <w:rPr>
            <w:color w:val="175F99"/>
            <w:u w:val="single"/>
          </w:rPr>
          <w:t>Tonghuashun consensus as of 3 October</w:t>
        </w:r>
      </w:hyperlink>
    </w:p>
    <w:p>
      <w:pPr>
        <w:spacing w:after="60" w:line="245" w:lineRule="auto"/>
      </w:pPr>
      <w:r>
        <w:rPr>
          <w:sz w:val="17"/>
        </w:rPr>
        <w:t xml:space="preserve">[5] </w:t>
      </w:r>
      <w:hyperlink r:id="rId13">
        <w:r>
          <w:rPr>
            <w:color w:val="175F99"/>
            <w:u w:val="single"/>
          </w:rPr>
          <w:t>Kaiyuan H1 results commentary</w:t>
        </w:r>
      </w:hyperlink>
    </w:p>
    <w:p>
      <w:pPr>
        <w:spacing w:after="60" w:line="245" w:lineRule="auto"/>
      </w:pPr>
      <w:r>
        <w:rPr>
          <w:sz w:val="17"/>
        </w:rPr>
        <w:t xml:space="preserve">[6] </w:t>
      </w:r>
      <w:hyperlink r:id="rId14">
        <w:r>
          <w:rPr>
            <w:color w:val="175F99"/>
            <w:u w:val="single"/>
          </w:rPr>
          <w:t>Guolian Minsheng H1 commentary</w:t>
        </w:r>
      </w:hyperlink>
    </w:p>
    <w:p>
      <w:pPr>
        <w:spacing w:after="60" w:line="245" w:lineRule="auto"/>
      </w:pPr>
      <w:r>
        <w:rPr>
          <w:sz w:val="17"/>
        </w:rPr>
        <w:t xml:space="preserve">[7] </w:t>
      </w:r>
      <w:hyperlink r:id="rId15">
        <w:r>
          <w:rPr>
            <w:color w:val="175F99"/>
            <w:u w:val="single"/>
          </w:rPr>
          <w:t>Zhongtai H1 commentary</w:t>
        </w:r>
      </w:hyperlink>
    </w:p>
    <w:p>
      <w:pPr>
        <w:spacing w:after="60" w:line="245" w:lineRule="auto"/>
      </w:pPr>
      <w:r>
        <w:rPr>
          <w:sz w:val="17"/>
        </w:rPr>
        <w:t xml:space="preserve">[8] </w:t>
      </w:r>
      <w:hyperlink r:id="rId16">
        <w:r>
          <w:rPr>
            <w:color w:val="175F99"/>
            <w:u w:val="single"/>
          </w:rPr>
          <w:t>Omdia African smartphone market Q2 2026</w:t>
        </w:r>
      </w:hyperlink>
    </w:p>
    <w:p>
      <w:pPr>
        <w:spacing w:after="60" w:line="245" w:lineRule="auto"/>
      </w:pPr>
      <w:r>
        <w:rPr>
          <w:sz w:val="17"/>
        </w:rPr>
        <w:t xml:space="preserve">[9] </w:t>
      </w:r>
      <w:hyperlink r:id="rId17">
        <w:r>
          <w:rPr>
            <w:color w:val="175F99"/>
            <w:u w:val="single"/>
          </w:rPr>
          <w:t>Ericsson settlement announcement 8 July</w:t>
        </w:r>
      </w:hyperlink>
    </w:p>
    <w:p>
      <w:pPr>
        <w:spacing w:after="60" w:line="245" w:lineRule="auto"/>
      </w:pPr>
      <w:r>
        <w:rPr>
          <w:sz w:val="17"/>
        </w:rPr>
        <w:t xml:space="preserve">[10] </w:t>
      </w:r>
      <w:hyperlink r:id="rId18">
        <w:r>
          <w:rPr>
            <w:color w:val="175F99"/>
            <w:u w:val="single"/>
          </w:rPr>
          <w:t>InterDigital Brazil injunction announcement</w:t>
        </w:r>
      </w:hyperlink>
    </w:p>
    <w:p>
      <w:pPr>
        <w:spacing w:after="60" w:line="245" w:lineRule="auto"/>
      </w:pPr>
      <w:r>
        <w:rPr>
          <w:sz w:val="17"/>
        </w:rPr>
        <w:t xml:space="preserve">[11] </w:t>
      </w:r>
      <w:hyperlink r:id="rId19">
        <w:r>
          <w:rPr>
            <w:color w:val="175F99"/>
            <w:u w:val="single"/>
          </w:rPr>
          <w:t>Xueqiu bullish valuation post 9 May</w:t>
        </w:r>
      </w:hyperlink>
    </w:p>
    <w:p>
      <w:pPr>
        <w:spacing w:after="60" w:line="245" w:lineRule="auto"/>
      </w:pPr>
      <w:r>
        <w:rPr>
          <w:sz w:val="17"/>
        </w:rPr>
        <w:t xml:space="preserve">[12] </w:t>
      </w:r>
      <w:hyperlink r:id="rId20">
        <w:r>
          <w:rPr>
            <w:color w:val="175F99"/>
            <w:u w:val="single"/>
          </w:rPr>
          <w:t>Xueqiu bearish earnings post 11 May</w:t>
        </w:r>
      </w:hyperlink>
    </w:p>
    <w:p>
      <w:pPr>
        <w:spacing w:after="60" w:line="245" w:lineRule="auto"/>
      </w:pPr>
      <w:r>
        <w:rPr>
          <w:sz w:val="17"/>
        </w:rPr>
        <w:t xml:space="preserve">[13] </w:t>
      </w:r>
      <w:hyperlink r:id="rId21">
        <w:r>
          <w:rPr>
            <w:color w:val="175F99"/>
            <w:u w:val="single"/>
          </w:rPr>
          <w:t>Xueqiu Q1 recovery post 28 April</w:t>
        </w:r>
      </w:hyperlink>
    </w:p>
    <w:p>
      <w:pPr>
        <w:spacing w:after="60" w:line="245" w:lineRule="auto"/>
      </w:pPr>
      <w:r>
        <w:rPr>
          <w:sz w:val="17"/>
        </w:rPr>
        <w:t xml:space="preserve">[14] </w:t>
      </w:r>
      <w:hyperlink r:id="rId22">
        <w:r>
          <w:rPr>
            <w:color w:val="175F99"/>
            <w:u w:val="single"/>
          </w:rPr>
          <w:t>Xueqiu July inventory discussion</w:t>
        </w:r>
      </w:hyperlink>
    </w:p>
    <w:p>
      <w:pPr>
        <w:spacing w:after="60" w:line="245" w:lineRule="auto"/>
      </w:pPr>
      <w:r>
        <w:rPr>
          <w:sz w:val="17"/>
        </w:rPr>
        <w:t xml:space="preserve">[15] </w:t>
      </w:r>
      <w:hyperlink r:id="rId23">
        <w:r>
          <w:rPr>
            <w:color w:val="175F99"/>
            <w:u w:val="single"/>
          </w:rPr>
          <w:t>Niuniu Bamboo Works media commentary</w:t>
        </w:r>
      </w:hyperlink>
    </w:p>
    <w:p>
      <w:pPr>
        <w:spacing w:after="60" w:line="245" w:lineRule="auto"/>
      </w:pPr>
      <w:r>
        <w:rPr>
          <w:sz w:val="17"/>
        </w:rPr>
        <w:t xml:space="preserve">[16] </w:t>
      </w:r>
      <w:hyperlink r:id="rId24">
        <w:r>
          <w:rPr>
            <w:color w:val="175F99"/>
            <w:u w:val="single"/>
          </w:rPr>
          <w:t>Xueqiu IPO Jiema media commentary</w:t>
        </w:r>
      </w:hyperlink>
    </w:p>
    <w:p>
      <w:pPr>
        <w:spacing w:after="60" w:line="245" w:lineRule="auto"/>
      </w:pPr>
      <w:r>
        <w:rPr>
          <w:sz w:val="17"/>
        </w:rPr>
        <w:t xml:space="preserve">[17] </w:t>
      </w:r>
      <w:hyperlink r:id="rId25">
        <w:r>
          <w:rPr>
            <w:color w:val="175F99"/>
            <w:u w:val="single"/>
          </w:rPr>
          <w:t>Niuniu H community public page</w:t>
        </w:r>
      </w:hyperlink>
    </w:p>
    <w:p>
      <w:pPr>
        <w:spacing w:after="60" w:line="245" w:lineRule="auto"/>
      </w:pPr>
      <w:r>
        <w:rPr>
          <w:sz w:val="17"/>
        </w:rPr>
        <w:t xml:space="preserve">[18] </w:t>
      </w:r>
      <w:hyperlink r:id="rId26">
        <w:r>
          <w:rPr>
            <w:color w:val="175F99"/>
            <w:u w:val="single"/>
          </w:rPr>
          <w:t>Niuniu A community page</w:t>
        </w:r>
      </w:hyperlink>
    </w:p>
    <w:p>
      <w:r>
        <w:rPr>
          <w:sz w:val="17"/>
        </w:rPr>
        <w:t xml:space="preserve">[19] Price / FX inputs: </w:t>
      </w:r>
      <w:hyperlink r:id="rId27">
        <w:r>
          <w:rPr>
            <w:color w:val="175F99"/>
            <w:u w:val="single"/>
          </w:rPr>
          <w:t>Transsion A</w:t>
        </w:r>
      </w:hyperlink>
      <w:r>
        <w:t xml:space="preserve"> | </w:t>
      </w:r>
      <w:hyperlink r:id="rId28">
        <w:r>
          <w:rPr>
            <w:color w:val="175F99"/>
            <w:u w:val="single"/>
          </w:rPr>
          <w:t>CNY HKD</w:t>
        </w:r>
      </w:hyperlink>
      <w:r>
        <w:t xml:space="preserve"> | </w:t>
      </w:r>
      <w:hyperlink r:id="rId29">
        <w:r>
          <w:rPr>
            <w:color w:val="175F99"/>
            <w:u w:val="single"/>
          </w:rPr>
          <w:t>USD HKD</w:t>
        </w:r>
      </w:hyperlink>
    </w:p>
    <w:p>
      <w:pPr>
        <w:spacing w:after="60" w:line="245" w:lineRule="auto"/>
      </w:pPr>
      <w:r>
        <w:rPr>
          <w:sz w:val="17"/>
        </w:rPr>
        <w:t xml:space="preserve">[20] </w:t>
      </w:r>
      <w:hyperlink r:id="rId30">
        <w:r>
          <w:rPr>
            <w:color w:val="175F99"/>
            <w:u w:val="single"/>
          </w:rPr>
          <w:t>Anker H1 report: earnings, tariff refund and fair-value gains</w:t>
        </w:r>
      </w:hyperlink>
    </w:p>
    <w:p>
      <w:pPr>
        <w:spacing w:after="60" w:line="245" w:lineRule="auto"/>
      </w:pPr>
      <w:r>
        <w:rPr>
          <w:sz w:val="17"/>
        </w:rPr>
        <w:t xml:space="preserve">[21] </w:t>
      </w:r>
      <w:hyperlink r:id="rId31">
        <w:r>
          <w:rPr>
            <w:color w:val="175F99"/>
            <w:u w:val="single"/>
          </w:rPr>
          <w:t>Anker A share changes, 18 September; H issuance in H1 report</w:t>
        </w:r>
      </w:hyperlink>
    </w:p>
    <w:p>
      <w:pPr>
        <w:spacing w:after="80" w:line="245" w:lineRule="auto"/>
      </w:pPr>
      <w:r>
        <w:rPr>
          <w:b/>
          <w:sz w:val="17"/>
        </w:rPr>
        <w:t xml:space="preserve">Xiaomi   </w:t>
      </w:r>
      <w:hyperlink r:id="rId32">
        <w:r>
          <w:rPr>
            <w:color w:val="175F99"/>
            <w:u w:val="single"/>
          </w:rPr>
          <w:t>FY25</w:t>
        </w:r>
      </w:hyperlink>
      <w:r>
        <w:t xml:space="preserve"> | </w:t>
      </w:r>
      <w:hyperlink r:id="rId33">
        <w:r>
          <w:rPr>
            <w:color w:val="175F99"/>
            <w:u w:val="single"/>
          </w:rPr>
          <w:t>H1</w:t>
        </w:r>
      </w:hyperlink>
      <w:r>
        <w:t xml:space="preserve"> | </w:t>
      </w:r>
      <w:hyperlink r:id="rId34">
        <w:r>
          <w:rPr>
            <w:color w:val="175F99"/>
            <w:u w:val="single"/>
          </w:rPr>
          <w:t>H close</w:t>
        </w:r>
      </w:hyperlink>
    </w:p>
    <w:p>
      <w:pPr>
        <w:spacing w:after="80" w:line="245" w:lineRule="auto"/>
      </w:pPr>
      <w:r>
        <w:rPr>
          <w:b/>
          <w:sz w:val="17"/>
        </w:rPr>
        <w:t xml:space="preserve">Anker   </w:t>
      </w:r>
      <w:hyperlink r:id="rId35">
        <w:r>
          <w:rPr>
            <w:color w:val="175F99"/>
            <w:u w:val="single"/>
          </w:rPr>
          <w:t>FY25</w:t>
        </w:r>
      </w:hyperlink>
      <w:r>
        <w:t xml:space="preserve"> | </w:t>
      </w:r>
      <w:hyperlink r:id="rId30">
        <w:r>
          <w:rPr>
            <w:color w:val="175F99"/>
            <w:u w:val="single"/>
          </w:rPr>
          <w:t>H1</w:t>
        </w:r>
      </w:hyperlink>
      <w:r>
        <w:t xml:space="preserve"> | </w:t>
      </w:r>
      <w:hyperlink r:id="rId36">
        <w:r>
          <w:rPr>
            <w:color w:val="175F99"/>
            <w:u w:val="single"/>
          </w:rPr>
          <w:t>A close</w:t>
        </w:r>
      </w:hyperlink>
      <w:r>
        <w:t xml:space="preserve"> | </w:t>
      </w:r>
      <w:hyperlink r:id="rId37">
        <w:r>
          <w:rPr>
            <w:color w:val="175F99"/>
            <w:u w:val="single"/>
          </w:rPr>
          <w:t>H close</w:t>
        </w:r>
      </w:hyperlink>
    </w:p>
    <w:p>
      <w:pPr>
        <w:spacing w:after="80" w:line="245" w:lineRule="auto"/>
      </w:pPr>
      <w:r>
        <w:rPr>
          <w:b/>
          <w:sz w:val="17"/>
        </w:rPr>
        <w:t xml:space="preserve">Lenovo   </w:t>
      </w:r>
      <w:hyperlink r:id="rId38">
        <w:r>
          <w:rPr>
            <w:color w:val="175F99"/>
            <w:u w:val="single"/>
          </w:rPr>
          <w:t>FY to Mar26</w:t>
        </w:r>
      </w:hyperlink>
      <w:r>
        <w:t xml:space="preserve"> | </w:t>
      </w:r>
      <w:hyperlink r:id="rId39">
        <w:r>
          <w:rPr>
            <w:color w:val="175F99"/>
            <w:u w:val="single"/>
          </w:rPr>
          <w:t>Jun quarter</w:t>
        </w:r>
      </w:hyperlink>
      <w:r>
        <w:t xml:space="preserve"> | </w:t>
      </w:r>
      <w:hyperlink r:id="rId40">
        <w:r>
          <w:rPr>
            <w:color w:val="175F99"/>
            <w:u w:val="single"/>
          </w:rPr>
          <w:t>Shares</w:t>
        </w:r>
      </w:hyperlink>
      <w:r>
        <w:t xml:space="preserve"> | </w:t>
      </w:r>
      <w:hyperlink r:id="rId41">
        <w:r>
          <w:rPr>
            <w:color w:val="175F99"/>
            <w:u w:val="single"/>
          </w:rPr>
          <w:t>H close</w:t>
        </w:r>
      </w:hyperlink>
    </w:p>
    <w:p>
      <w:pPr>
        <w:spacing w:after="80" w:line="245" w:lineRule="auto"/>
      </w:pPr>
      <w:r>
        <w:rPr>
          <w:b/>
          <w:sz w:val="17"/>
        </w:rPr>
        <w:t xml:space="preserve">ZTE   </w:t>
      </w:r>
      <w:hyperlink r:id="rId42">
        <w:r>
          <w:rPr>
            <w:color w:val="175F99"/>
            <w:u w:val="single"/>
          </w:rPr>
          <w:t>FY25</w:t>
        </w:r>
      </w:hyperlink>
      <w:r>
        <w:t xml:space="preserve"> | </w:t>
      </w:r>
      <w:hyperlink r:id="rId43">
        <w:r>
          <w:rPr>
            <w:color w:val="175F99"/>
            <w:u w:val="single"/>
          </w:rPr>
          <w:t>H1</w:t>
        </w:r>
      </w:hyperlink>
      <w:r>
        <w:t xml:space="preserve"> | </w:t>
      </w:r>
      <w:hyperlink r:id="rId44">
        <w:r>
          <w:rPr>
            <w:color w:val="175F99"/>
            <w:u w:val="single"/>
          </w:rPr>
          <w:t>A close</w:t>
        </w:r>
      </w:hyperlink>
      <w:r>
        <w:t xml:space="preserve"> | </w:t>
      </w:r>
      <w:hyperlink r:id="rId45">
        <w:r>
          <w:rPr>
            <w:color w:val="175F99"/>
            <w:u w:val="single"/>
          </w:rPr>
          <w:t>H close</w:t>
        </w:r>
      </w:hyperlink>
    </w:p>
    <w:p>
      <w:pPr>
        <w:spacing w:after="80" w:line="245" w:lineRule="auto"/>
      </w:pPr>
      <w:r>
        <w:rPr>
          <w:b/>
          <w:sz w:val="17"/>
        </w:rPr>
        <w:t xml:space="preserve">Huaqin   </w:t>
      </w:r>
      <w:hyperlink r:id="rId46">
        <w:r>
          <w:rPr>
            <w:color w:val="175F99"/>
            <w:u w:val="single"/>
          </w:rPr>
          <w:t>FY25</w:t>
        </w:r>
      </w:hyperlink>
      <w:r>
        <w:t xml:space="preserve"> | </w:t>
      </w:r>
      <w:hyperlink r:id="rId47">
        <w:r>
          <w:rPr>
            <w:color w:val="175F99"/>
            <w:u w:val="single"/>
          </w:rPr>
          <w:t>H1</w:t>
        </w:r>
      </w:hyperlink>
      <w:r>
        <w:t xml:space="preserve"> | </w:t>
      </w:r>
      <w:hyperlink r:id="rId48">
        <w:r>
          <w:rPr>
            <w:color w:val="175F99"/>
            <w:u w:val="single"/>
          </w:rPr>
          <w:t>A close</w:t>
        </w:r>
      </w:hyperlink>
      <w:r>
        <w:t xml:space="preserve"> | </w:t>
      </w:r>
      <w:hyperlink r:id="rId49">
        <w:r>
          <w:rPr>
            <w:color w:val="175F99"/>
            <w:u w:val="single"/>
          </w:rPr>
          <w:t>H close</w:t>
        </w:r>
      </w:hyperlink>
    </w:p>
    <w:p>
      <w:pPr>
        <w:spacing w:after="80" w:line="245" w:lineRule="auto"/>
      </w:pPr>
      <w:r>
        <w:rPr>
          <w:b/>
          <w:sz w:val="17"/>
        </w:rPr>
        <w:t xml:space="preserve">Longcheer   </w:t>
      </w:r>
      <w:hyperlink r:id="rId50">
        <w:r>
          <w:rPr>
            <w:color w:val="175F99"/>
            <w:u w:val="single"/>
          </w:rPr>
          <w:t>FY25</w:t>
        </w:r>
      </w:hyperlink>
      <w:r>
        <w:t xml:space="preserve"> | </w:t>
      </w:r>
      <w:hyperlink r:id="rId51">
        <w:r>
          <w:rPr>
            <w:color w:val="175F99"/>
            <w:u w:val="single"/>
          </w:rPr>
          <w:t>H1</w:t>
        </w:r>
      </w:hyperlink>
      <w:r>
        <w:t xml:space="preserve"> | </w:t>
      </w:r>
      <w:hyperlink r:id="rId52">
        <w:r>
          <w:rPr>
            <w:color w:val="175F99"/>
            <w:u w:val="single"/>
          </w:rPr>
          <w:t>A close</w:t>
        </w:r>
      </w:hyperlink>
      <w:r>
        <w:t xml:space="preserve"> | </w:t>
      </w:r>
      <w:hyperlink r:id="rId53">
        <w:r>
          <w:rPr>
            <w:color w:val="175F99"/>
            <w:u w:val="single"/>
          </w:rPr>
          <w:t>H close</w:t>
        </w:r>
      </w:hyperlink>
    </w:p>
    <w:p>
      <w:pPr>
        <w:spacing w:after="80" w:line="245" w:lineRule="auto"/>
      </w:pPr>
      <w:r>
        <w:rPr>
          <w:b/>
          <w:sz w:val="17"/>
        </w:rPr>
        <w:t xml:space="preserve">BYD Electronic   </w:t>
      </w:r>
      <w:hyperlink r:id="rId54">
        <w:r>
          <w:rPr>
            <w:color w:val="175F99"/>
            <w:u w:val="single"/>
          </w:rPr>
          <w:t>FY25</w:t>
        </w:r>
      </w:hyperlink>
      <w:r>
        <w:t xml:space="preserve"> | </w:t>
      </w:r>
      <w:hyperlink r:id="rId55">
        <w:r>
          <w:rPr>
            <w:color w:val="175F99"/>
            <w:u w:val="single"/>
          </w:rPr>
          <w:t>H1</w:t>
        </w:r>
      </w:hyperlink>
      <w:r>
        <w:t xml:space="preserve"> | </w:t>
      </w:r>
      <w:hyperlink r:id="rId56">
        <w:r>
          <w:rPr>
            <w:color w:val="175F99"/>
            <w:u w:val="single"/>
          </w:rPr>
          <w:t>H close</w:t>
        </w:r>
      </w:hyperlink>
    </w:p>
    <w:p>
      <w:pPr>
        <w:spacing w:after="80" w:line="245" w:lineRule="auto"/>
      </w:pPr>
      <w:r>
        <w:rPr>
          <w:b/>
          <w:sz w:val="17"/>
        </w:rPr>
        <w:t xml:space="preserve">Sunny Optical   </w:t>
      </w:r>
      <w:hyperlink r:id="rId57">
        <w:r>
          <w:rPr>
            <w:color w:val="175F99"/>
            <w:u w:val="single"/>
          </w:rPr>
          <w:t>FY25</w:t>
        </w:r>
      </w:hyperlink>
      <w:r>
        <w:t xml:space="preserve"> | </w:t>
      </w:r>
      <w:hyperlink r:id="rId58">
        <w:r>
          <w:rPr>
            <w:color w:val="175F99"/>
            <w:u w:val="single"/>
          </w:rPr>
          <w:t>H1</w:t>
        </w:r>
      </w:hyperlink>
      <w:r>
        <w:t xml:space="preserve"> | </w:t>
      </w:r>
      <w:hyperlink r:id="rId59">
        <w:r>
          <w:rPr>
            <w:color w:val="175F99"/>
            <w:u w:val="single"/>
          </w:rPr>
          <w:t>H close</w:t>
        </w:r>
      </w:hyperlink>
    </w:p>
    <w:sectPr w:rsidR="00FC693F" w:rsidRPr="0006063C" w:rsidSect="00034616">
      <w:footerReference w:type="default" r:id="rId60"/>
      <w:pgSz w:w="11905" w:h="16838"/>
      <w:pgMar w:top="893" w:right="936" w:bottom="893" w:left="936"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8 October 2026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eastAsia="PingFang S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PingFang S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PingFang S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rial" w:hAnsi="Arial" w:eastAsia="PingFang SC"/>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Arial" w:hAnsi="Arial" w:eastAsia="PingFang SC"/>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140" w:after="100"/>
    </w:pPr>
    <w:rPr>
      <w:rFonts w:ascii="Arial" w:hAnsi="Arial" w:eastAsia="PingFang SC"/>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1.hkexnews.hk/listedco/listconews/sehk/2026/1007/2026100700008_c.pdf" TargetMode="External"/><Relationship Id="rId10" Type="http://schemas.openxmlformats.org/officeDocument/2006/relationships/hyperlink" Target="https://stockmc.xueqiu.com/202603/688036_20260328_3XNE.pdf" TargetMode="External"/><Relationship Id="rId11" Type="http://schemas.openxmlformats.org/officeDocument/2006/relationships/hyperlink" Target="https://stock.stockstar.com/notice/SN2026081800000013.shtml" TargetMode="External"/><Relationship Id="rId12" Type="http://schemas.openxmlformats.org/officeDocument/2006/relationships/hyperlink" Target="https://basic.10jqka.com.cn/688036/worth.html" TargetMode="External"/><Relationship Id="rId13" Type="http://schemas.openxmlformats.org/officeDocument/2006/relationships/hyperlink" Target="https://data.eastmoney.com/report/info/AP202608191828142060.html" TargetMode="External"/><Relationship Id="rId14" Type="http://schemas.openxmlformats.org/officeDocument/2006/relationships/hyperlink" Target="https://stock.finance.sina.com.cn/stock/go.php/vReport_Show/kind/search/rptid/840635377506/index.phtml" TargetMode="External"/><Relationship Id="rId15" Type="http://schemas.openxmlformats.org/officeDocument/2006/relationships/hyperlink" Target="https://quote.cfi.cn/ybdata.aspx?id=20260820000148" TargetMode="External"/><Relationship Id="rId16" Type="http://schemas.openxmlformats.org/officeDocument/2006/relationships/hyperlink" Target="https://omdia.tech.informa.com/pr/2026/aug/africa-smartphone-market-expected-to-decline-26percent-in-2026-following-first-contraction-in-three-years" TargetMode="External"/><Relationship Id="rId17" Type="http://schemas.openxmlformats.org/officeDocument/2006/relationships/hyperlink" Target="https://www.ericsson.com/en/news/2026/7/ericsson-and-transsion-settle-global-patent-litigation" TargetMode="External"/><Relationship Id="rId18" Type="http://schemas.openxmlformats.org/officeDocument/2006/relationships/hyperlink" Target="https://ir.interdigital.com/news-events/press-releases/news-details/2026/InterDigital-awarded-injunction-against-Transsion/default.aspx" TargetMode="External"/><Relationship Id="rId19" Type="http://schemas.openxmlformats.org/officeDocument/2006/relationships/hyperlink" Target="https://xueqiu.com/8551238858/387949807" TargetMode="External"/><Relationship Id="rId20" Type="http://schemas.openxmlformats.org/officeDocument/2006/relationships/hyperlink" Target="https://xueqiu.com/7606230459/388231289" TargetMode="External"/><Relationship Id="rId21" Type="http://schemas.openxmlformats.org/officeDocument/2006/relationships/hyperlink" Target="https://xueqiu.com/9573317305/386315790" TargetMode="External"/><Relationship Id="rId22" Type="http://schemas.openxmlformats.org/officeDocument/2006/relationships/hyperlink" Target="https://xueqiu.com/7736772877" TargetMode="External"/><Relationship Id="rId23" Type="http://schemas.openxmlformats.org/officeDocument/2006/relationships/hyperlink" Target="https://q.futunn.com/feed/116792408932756" TargetMode="External"/><Relationship Id="rId24" Type="http://schemas.openxmlformats.org/officeDocument/2006/relationships/hyperlink" Target="https://www.xueqiu.com/2389993040/410954970" TargetMode="External"/><Relationship Id="rId25" Type="http://schemas.openxmlformats.org/officeDocument/2006/relationships/hyperlink" Target="https://www.futunn.com/stock/02636-HK/community" TargetMode="External"/><Relationship Id="rId26" Type="http://schemas.openxmlformats.org/officeDocument/2006/relationships/hyperlink" Target="https://www.futunn.com/stock/688036-SH/community" TargetMode="External"/><Relationship Id="rId27" Type="http://schemas.openxmlformats.org/officeDocument/2006/relationships/hyperlink" Target="https://www.futunn.com/stock/688036-SH" TargetMode="External"/><Relationship Id="rId28" Type="http://schemas.openxmlformats.org/officeDocument/2006/relationships/hyperlink" Target="https://www.exchangerates.org.uk/CNY-HKD-exchange-rate-history.html" TargetMode="External"/><Relationship Id="rId29" Type="http://schemas.openxmlformats.org/officeDocument/2006/relationships/hyperlink" Target="https://ycharts.com/indicators/us_dollar_to_hong_kong_dollar_exchange_rate" TargetMode="External"/><Relationship Id="rId30" Type="http://schemas.openxmlformats.org/officeDocument/2006/relationships/hyperlink" Target="https://static.cninfo.com.cn/finalpage/2026-08-31/1225533054.PDF" TargetMode="External"/><Relationship Id="rId31" Type="http://schemas.openxmlformats.org/officeDocument/2006/relationships/hyperlink" Target="https://file.finance.sina.com.cn/211.154.219.97%3A9494/MRGG/CNSESZ_STOCK/2026/2026-9/2026-09-18/12611848.PDF" TargetMode="External"/><Relationship Id="rId32" Type="http://schemas.openxmlformats.org/officeDocument/2006/relationships/hyperlink" Target="https://financialfilings.com/filings/xiaomi-corporation/annual-report/2026/37918501/" TargetMode="External"/><Relationship Id="rId33" Type="http://schemas.openxmlformats.org/officeDocument/2006/relationships/hyperlink" Target="https://ir.mi.com/static-files/b903a881-8143-44a3-b759-703653bbb043" TargetMode="External"/><Relationship Id="rId34" Type="http://schemas.openxmlformats.org/officeDocument/2006/relationships/hyperlink" Target="https://cn.investing.com/equities/xiaomi-historical-data" TargetMode="External"/><Relationship Id="rId35" Type="http://schemas.openxmlformats.org/officeDocument/2006/relationships/hyperlink" Target="https://money.finance.sina.com.cn/corp/view/vCB_AllBulletinDetail.php?id=12075087&amp;stockid=300866" TargetMode="External"/><Relationship Id="rId36" Type="http://schemas.openxmlformats.org/officeDocument/2006/relationships/hyperlink" Target="https://cn.investing.com/equities/anker-innovations-technology-co-ltd-historical-data" TargetMode="External"/><Relationship Id="rId37" Type="http://schemas.openxmlformats.org/officeDocument/2006/relationships/hyperlink" Target="https://stockanalysis.com/quote/hkg/0668/history/" TargetMode="External"/><Relationship Id="rId38" Type="http://schemas.openxmlformats.org/officeDocument/2006/relationships/hyperlink" Target="https://doc.irasia.com/listco/hk/lenovo/annual/2026/cres.pdf" TargetMode="External"/><Relationship Id="rId39" Type="http://schemas.openxmlformats.org/officeDocument/2006/relationships/hyperlink" Target="https://doc.irasia.com/listco/hk/lenovo/interim/2027/int1qc.pdf" TargetMode="External"/><Relationship Id="rId40" Type="http://schemas.openxmlformats.org/officeDocument/2006/relationships/hyperlink" Target="https://doc.irasia.com/listco/hk/lenovo/announcement/ca261006.pdf" TargetMode="External"/><Relationship Id="rId41" Type="http://schemas.openxmlformats.org/officeDocument/2006/relationships/hyperlink" Target="https://hk.investing.com/equities/lenovo-group-ltd-historical-data" TargetMode="External"/><Relationship Id="rId42" Type="http://schemas.openxmlformats.org/officeDocument/2006/relationships/hyperlink" Target="https://www.zte.com.cn/content/dam/zte-site/investorrelations/cn_annual_report/2025%E5%B9%B4%E5%B9%B4%E5%BA%A6%E6%8A%A5%E5%91%8A.pdf" TargetMode="External"/><Relationship Id="rId43" Type="http://schemas.openxmlformats.org/officeDocument/2006/relationships/hyperlink" Target="https://vip.stock.finance.sina.com.cn/corp/view/vCB_AllBulletinDetail.php?id=12517314&amp;stockid=000063" TargetMode="External"/><Relationship Id="rId44" Type="http://schemas.openxmlformats.org/officeDocument/2006/relationships/hyperlink" Target="https://cn.investing.com/equities/zte-a-historical-data" TargetMode="External"/><Relationship Id="rId45" Type="http://schemas.openxmlformats.org/officeDocument/2006/relationships/hyperlink" Target="https://cn.investing.com/equities/zte-corp.-historical-data" TargetMode="External"/><Relationship Id="rId46" Type="http://schemas.openxmlformats.org/officeDocument/2006/relationships/hyperlink" Target="https://static.cninfo.com.cn/finalpage/2026-03-24/1225025934.PDF" TargetMode="External"/><Relationship Id="rId47" Type="http://schemas.openxmlformats.org/officeDocument/2006/relationships/hyperlink" Target="https://vip.stock.finance.sina.com.cn/corp/view/vCB_AllBulletinDetail.php?id=12533310&amp;stockid=603296" TargetMode="External"/><Relationship Id="rId48" Type="http://schemas.openxmlformats.org/officeDocument/2006/relationships/hyperlink" Target="https://www.futunn.com/stock/603296-SH" TargetMode="External"/><Relationship Id="rId49" Type="http://schemas.openxmlformats.org/officeDocument/2006/relationships/hyperlink" Target="https://cn.investing.com/equities/huaqin-co-ltd-historical-data" TargetMode="External"/><Relationship Id="rId50" Type="http://schemas.openxmlformats.org/officeDocument/2006/relationships/hyperlink" Target="https://vip.stock.finance.sina.com.cn/corp/view/vCB_AllBulletinDetail.php?CompanyCode=80147122&amp;gather=1&amp;id=12043474" TargetMode="External"/><Relationship Id="rId51" Type="http://schemas.openxmlformats.org/officeDocument/2006/relationships/hyperlink" Target="https://money.finance.sina.com.cn/corp/view/vCB_AllBulletinDetail.php?id=12556259&amp;stockid=603341" TargetMode="External"/><Relationship Id="rId52" Type="http://schemas.openxmlformats.org/officeDocument/2006/relationships/hyperlink" Target="https://cn.investing.com/equities/shanghai-longcheer-tech-historical-data" TargetMode="External"/><Relationship Id="rId53" Type="http://schemas.openxmlformats.org/officeDocument/2006/relationships/hyperlink" Target="https://hk.investing.com/equities/shanghai-longcheer-technology-co-lt-historical-data" TargetMode="External"/><Relationship Id="rId54" Type="http://schemas.openxmlformats.org/officeDocument/2006/relationships/hyperlink" Target="https://www1.hkexnews.hk/listedco/listconews/sehk/2026/0422/2026042200748.pdf" TargetMode="External"/><Relationship Id="rId55" Type="http://schemas.openxmlformats.org/officeDocument/2006/relationships/hyperlink" Target="https://www1.hkexnews.hk/listedco/listconews/sehk/2026/0828/2026082801253.pdf" TargetMode="External"/><Relationship Id="rId56" Type="http://schemas.openxmlformats.org/officeDocument/2006/relationships/hyperlink" Target="https://cn.investing.com/equities/byd-electronic-historical-data" TargetMode="External"/><Relationship Id="rId57" Type="http://schemas.openxmlformats.org/officeDocument/2006/relationships/hyperlink" Target="https://www.sunnyoptical.com/webfile/temps/202603222321113617.pdf" TargetMode="External"/><Relationship Id="rId58" Type="http://schemas.openxmlformats.org/officeDocument/2006/relationships/hyperlink" Target="https://www.sunnyoptical.com/webfile/temps/20260981213275389.pdf" TargetMode="External"/><Relationship Id="rId59" Type="http://schemas.openxmlformats.org/officeDocument/2006/relationships/hyperlink" Target="https://jp.investing.com/equities/sunny-optical-hk-historical-data" TargetMode="External"/><Relationship Id="rId6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Transsion H IPO Trader Brief — 8 October 2026</dc:title>
  <dc:subject>H peer valuation, upside, risks, cash, margins and retail views</dc:subject>
  <dc:creator/>
  <cp:keywords>Transsion, Anker, H IPO, trader briefing, valuation</cp:keywords>
  <dc:description>generated by python-docx</dc:description>
  <cp:lastModifiedBy/>
  <cp:revision>1</cp:revision>
  <dcterms:created xsi:type="dcterms:W3CDTF">2013-12-23T23:15:00Z</dcterms:created>
  <dcterms:modified xsi:type="dcterms:W3CDTF">2013-12-23T23:15:00Z</dcterms:modified>
  <cp:category/>
</cp:coreProperties>
</file>