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Transsion H Share IPO Trader Brief</w:t>
      </w:r>
    </w:p>
    <w:p>
      <w:pPr>
        <w:pStyle w:val="Subtitle"/>
      </w:pPr>
      <w:r>
        <w:t>8 October 2026    A 688036    H 02636</w:t>
      </w:r>
    </w:p>
    <w:p>
      <w:r>
        <w:rPr>
          <w:b/>
          <w:sz w:val="20"/>
        </w:rPr>
        <w:t>Desk view:</w:t>
      </w:r>
      <w:r>
        <w:rPr>
          <w:sz w:val="20"/>
        </w:rPr>
        <w:t xml:space="preserve"> cautiously constructive at the low to midpoint. Underwrite an earnings recovery and non-phone expansion; AI remains potential upside until monetisation is demonstrated. Prebuying protected H1 profit, but the larger June stock position now raises cash and write-down risk. The 41% A discount alone does not make the offer cheap.</w:t>
      </w:r>
    </w:p>
    <w:p>
      <w:r>
        <w:rPr>
          <w:sz w:val="18"/>
        </w:rPr>
        <w:t>Offer HK$35.30–38.80; midpoint HK$37.05. Books 7–12 Oct; expected pricing 13 Oct and listing 15 Oct. Base issue: 86.65m new H shares, 7.0% of enlarged capital. Indicative offer terms. [1]</w:t>
      </w:r>
    </w:p>
    <w:p>
      <w:pPr>
        <w:pStyle w:val="Heading1"/>
        <w:keepNext/>
        <w:spacing w:before="160" w:after="100"/>
      </w:pPr>
      <w:r>
        <w:rPr>
          <w:b/>
          <w:sz w:val="23"/>
        </w:rPr>
        <w:t>Good points and business potential</w:t>
      </w:r>
    </w:p>
    <w:p>
      <w:pPr>
        <w:pStyle w:val="ListBullet"/>
        <w:spacing w:after="100" w:line="254" w:lineRule="auto"/>
        <w:ind w:left="230" w:hanging="187"/>
      </w:pPr>
      <w:r>
        <w:rPr>
          <w:rFonts w:ascii="Arial" w:hAnsi="Arial"/>
          <w:b/>
          <w:sz w:val="20"/>
        </w:rPr>
        <w:t xml:space="preserve">Non-phone growth is already material. </w:t>
      </w:r>
      <w:r>
        <w:rPr>
          <w:rFonts w:ascii="Arial" w:hAnsi="Arial"/>
          <w:sz w:val="20"/>
        </w:rPr>
        <w:t>H1 other products/services revenue rose 91.3% to RMB5.68bn, or 16% of sales. Calculated A-basis gross margin was 29.1%, versus smartphones at 21.3%. Accessories, appliances and energy products can reuse local brands and channels: a credible route to better mix and less dependence on cheap phones. [3, 6, 14]</w:t>
      </w:r>
    </w:p>
    <w:p>
      <w:pPr>
        <w:pStyle w:val="ListBullet"/>
        <w:spacing w:after="100" w:line="254" w:lineRule="auto"/>
        <w:ind w:left="230" w:hanging="187"/>
      </w:pPr>
      <w:r>
        <w:rPr>
          <w:rFonts w:ascii="Arial" w:hAnsi="Arial"/>
          <w:b/>
          <w:sz w:val="20"/>
        </w:rPr>
        <w:t xml:space="preserve">The installed franchise can capture upgrades. </w:t>
      </w:r>
      <w:r>
        <w:rPr>
          <w:rFonts w:ascii="Arial" w:hAnsi="Arial"/>
          <w:sz w:val="20"/>
        </w:rPr>
        <w:t>TECNO, Infinix and itel cover different price tiers. Existing distribution, service and local product design give Transsion access to feature-phone replacement and higher-value smartphones. That supports long-term demand; growth outside Africa still requires channel and brand investment. [1, 5]</w:t>
      </w:r>
    </w:p>
    <w:p>
      <w:pPr>
        <w:pStyle w:val="ListBullet"/>
        <w:spacing w:after="100" w:line="254" w:lineRule="auto"/>
        <w:ind w:left="230" w:hanging="187"/>
      </w:pPr>
      <w:r>
        <w:rPr>
          <w:rFonts w:ascii="Arial" w:hAnsi="Arial"/>
          <w:b/>
          <w:sz w:val="20"/>
        </w:rPr>
        <w:t xml:space="preserve">AI has a plausible route to value. </w:t>
      </w:r>
      <w:r>
        <w:rPr>
          <w:rFonts w:ascii="Arial" w:hAnsi="Arial"/>
          <w:sz w:val="20"/>
        </w:rPr>
        <w:t>Ella assistance, local-language voice and imaging features are real products. Better local usefulness could improve handset mix and retention; OS traffic can monetise through app distribution and advertising. About 40% of net IPO proceeds supports R&amp;D, including AI. No incremental AI earnings contribution is disclosed. [1, 15–18]</w:t>
      </w:r>
    </w:p>
    <w:p>
      <w:pPr>
        <w:pStyle w:val="ListBullet"/>
        <w:spacing w:after="100" w:line="254" w:lineRule="auto"/>
        <w:ind w:left="230" w:hanging="187"/>
      </w:pPr>
      <w:r>
        <w:rPr>
          <w:rFonts w:ascii="Arial" w:hAnsi="Arial"/>
          <w:b/>
          <w:sz w:val="20"/>
        </w:rPr>
        <w:t xml:space="preserve">The H price offers a recovery discount. </w:t>
      </w:r>
      <w:r>
        <w:rPr>
          <w:rFonts w:ascii="Arial" w:hAnsi="Arial"/>
          <w:sz w:val="20"/>
        </w:rPr>
        <w:t>Midpoint is 12.5× reported TTM earnings versus Xiaomi 16.2× and Anker 18.5×; 11.0× FY26 consensus. H1 owner profit rose 46.2%, with ex-nonrecurring profit up 65.0%. There is an earnings rebound to value, although consensus already assumes further recovery. [3, 4; peer sources]</w:t>
      </w:r>
    </w:p>
    <w:p>
      <w:pPr>
        <w:pStyle w:val="ListBullet"/>
        <w:spacing w:after="100" w:line="254" w:lineRule="auto"/>
        <w:ind w:left="230" w:hanging="187"/>
      </w:pPr>
      <w:r>
        <w:rPr>
          <w:rFonts w:ascii="Arial" w:hAnsi="Arial"/>
          <w:b/>
          <w:sz w:val="20"/>
        </w:rPr>
        <w:t xml:space="preserve">The anchors include industry and financial capital. </w:t>
      </w:r>
      <w:r>
        <w:rPr>
          <w:rFonts w:ascii="Arial" w:hAnsi="Arial"/>
          <w:sz w:val="20"/>
        </w:rPr>
        <w:t>Largest is Longsys, US$30m; BYD’s GoldenLink invests RMB150m and MediaTek’s Digimoc US$9m. GIC commits US$17m, E Fund US$16m and Millennium US$15m. Commitments cover 38.8% of the base offer at midpoint. MediaTek is already a shareholder; this is allocation certainty, not a price floor. [1, pp.210–220]</w:t>
      </w:r>
    </w:p>
    <w:p>
      <w:pPr>
        <w:pStyle w:val="Heading1"/>
        <w:keepNext/>
        <w:spacing w:before="160" w:after="100"/>
      </w:pPr>
      <w:r>
        <w:rPr>
          <w:b/>
          <w:sz w:val="23"/>
        </w:rPr>
        <w:t>Bad points and risks</w:t>
      </w:r>
    </w:p>
    <w:p>
      <w:pPr>
        <w:pStyle w:val="ListBullet"/>
        <w:spacing w:after="100" w:line="254" w:lineRule="auto"/>
        <w:ind w:left="230" w:hanging="187"/>
      </w:pPr>
      <w:r>
        <w:rPr>
          <w:rFonts w:ascii="Arial" w:hAnsi="Arial"/>
          <w:b/>
          <w:sz w:val="20"/>
        </w:rPr>
        <w:t xml:space="preserve">Recovery is pricing and cost timing, not a volume rebound. </w:t>
      </w:r>
      <w:r>
        <w:rPr>
          <w:rFonts w:ascii="Arial" w:hAnsi="Arial"/>
          <w:sz w:val="20"/>
        </w:rPr>
        <w:t>H1 smartphones sold fell 11.2% to 39.5m; ASP rose 30.3% to RMB713.4. Management attributes margin improvement to repricing and cheaper historical stock. Replenishment at higher memory costs can squeeze margins unless pricing or mix offsets it. FY26 consensus is still 36% below FY24 owner profit. [1, p.261; 2, 3, 16, 19]</w:t>
      </w:r>
    </w:p>
    <w:p>
      <w:pPr>
        <w:pStyle w:val="ListBullet"/>
        <w:spacing w:after="100" w:line="254" w:lineRule="auto"/>
        <w:ind w:left="230" w:hanging="187"/>
      </w:pPr>
      <w:r>
        <w:rPr>
          <w:rFonts w:ascii="Arial" w:hAnsi="Arial"/>
          <w:b/>
          <w:sz w:val="20"/>
        </w:rPr>
        <w:t xml:space="preserve">Inventory is now the principal cash risk. </w:t>
      </w:r>
      <w:r>
        <w:rPr>
          <w:rFonts w:ascii="Arial" w:hAnsi="Arial"/>
          <w:sz w:val="20"/>
        </w:rPr>
        <w:t>Stock more than doubled to RMB18.94bn; H1 OCF was −RMB5.86bn. Prebuying protects supply during inflation, but weaker demand or falling memory prices can leave expensive stock facing handset price cuts. Raw materials drove 62% of the build; the memory amount is undisclosed. April-stock utilisation of 92.6% does not prove June-stock clearance or cash collection. [1, 3, 14]</w:t>
      </w:r>
    </w:p>
    <w:p>
      <w:pPr>
        <w:pStyle w:val="ListBullet"/>
        <w:spacing w:after="100" w:line="254" w:lineRule="auto"/>
        <w:ind w:left="230" w:hanging="187"/>
      </w:pPr>
      <w:r>
        <w:rPr>
          <w:rFonts w:ascii="Arial" w:hAnsi="Arial"/>
          <w:b/>
          <w:sz w:val="20"/>
        </w:rPr>
        <w:t xml:space="preserve">Affordability and competition constrain the upgrade thesis. </w:t>
      </w:r>
      <w:r>
        <w:rPr>
          <w:rFonts w:ascii="Arial" w:hAnsi="Arial"/>
          <w:sz w:val="20"/>
        </w:rPr>
        <w:t>Q2 African smartphone demand fell 7%, with sub-US$100 down 34%; Transsion shipments fell 14% while Samsung grew 15%. Raising prices risks losing the customers who built the franchise. Xiaomi also declined 30% in that quarter; Samsung was the immediate share-gain threat. [8]</w:t>
      </w:r>
    </w:p>
    <w:p>
      <w:pPr>
        <w:pStyle w:val="ListBullet"/>
        <w:spacing w:after="100" w:line="254" w:lineRule="auto"/>
        <w:ind w:left="230" w:hanging="187"/>
      </w:pPr>
      <w:r>
        <w:rPr>
          <w:rFonts w:ascii="Arial" w:hAnsi="Arial"/>
          <w:b/>
          <w:sz w:val="20"/>
        </w:rPr>
        <w:t xml:space="preserve">New businesses need to earn their valuation. </w:t>
      </w:r>
      <w:r>
        <w:rPr>
          <w:rFonts w:ascii="Arial" w:hAnsi="Arial"/>
          <w:sz w:val="20"/>
        </w:rPr>
        <w:t>Internet was only 1.44% of FY25 sales despite 80% gross margin. Generic AI features are copyable and carry R&amp;D/inference costs. H1 R&amp;D rose 20.2%; FX losses were RMB390m, and patent/royalty risk remains after Ericsson’s settlement. Expansion can consume cash before it raises EPS. [1–3, 9, 10, 17]</w:t>
      </w:r>
    </w:p>
    <w:p>
      <w:r>
        <w:rPr>
          <w:b/>
          <w:sz w:val="18"/>
        </w:rPr>
        <w:t>What changes conviction:</w:t>
      </w:r>
      <w:r>
        <w:rPr>
          <w:sz w:val="18"/>
        </w:rPr>
        <w:t xml:space="preserve"> smartphone margin holding on replacement stock, non-phone gross profit scaling and inventory releasing cash. Weak margins with stock still elevated would undermine the recovery case. Strong AI usage needs to translate into handset profit or service revenue before paying a platform premium.</w:t>
      </w:r>
    </w:p>
    <w:p>
      <w:r>
        <w:br w:type="page"/>
      </w:r>
    </w:p>
    <w:p>
      <w:pPr>
        <w:pStyle w:val="Heading1"/>
        <w:keepNext/>
        <w:spacing w:before="160" w:after="100"/>
      </w:pPr>
      <w:r>
        <w:rPr>
          <w:b/>
          <w:sz w:val="23"/>
        </w:rPr>
        <w:t>H share valuation and peer relevance</w:t>
      </w:r>
    </w:p>
    <w:p>
      <w:r>
        <w:rPr>
          <w:sz w:val="19"/>
        </w:rPr>
        <w:t>Xiaomi is the closest listed handset-brand peer. Anker is an overseas branded-device comparison for the non-phone opportunity. Huaqin and Longcheer are ODM references; their customers and economics differ. No listed company fully matches Transsion’s entry-level emerging-market exposure.</w:t>
      </w:r>
    </w:p>
    <w:p>
      <w:pPr>
        <w:pStyle w:val="Caption"/>
      </w:pPr>
      <w:r>
        <w:t>H peer valuations at 6 October 2026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2261"/>
        <w:gridCol w:w="1109"/>
        <w:gridCol w:w="1469"/>
        <w:gridCol w:w="5170"/>
      </w:tblGrid>
      <w:tr>
        <w:trPr>
          <w:tblHeader/>
          <w:cantSplit/>
        </w:trPr>
        <w:tc>
          <w:tcPr>
            <w:tcW w:type="dxa" w:w="2261"/>
            <w:vAlign w:val="center"/>
            <w:shd w:fill="233B53"/>
          </w:tcPr>
          <w:p>
            <w:pPr>
              <w:spacing w:after="0" w:before="0" w:line="250" w:lineRule="auto"/>
              <w:jc w:val="left"/>
            </w:pPr>
            <w:r>
              <w:rPr>
                <w:rFonts w:ascii="Arial" w:hAnsi="Arial"/>
                <w:b/>
                <w:color w:val="FFFFFF"/>
                <w:sz w:val="19"/>
              </w:rPr>
              <w:t>Company and H ticker</w:t>
            </w:r>
          </w:p>
        </w:tc>
        <w:tc>
          <w:tcPr>
            <w:tcW w:type="dxa" w:w="1109"/>
            <w:vAlign w:val="center"/>
            <w:shd w:fill="233B53"/>
          </w:tcPr>
          <w:p>
            <w:pPr>
              <w:spacing w:after="0" w:before="0" w:line="250" w:lineRule="auto"/>
              <w:jc w:val="center"/>
            </w:pPr>
            <w:r>
              <w:rPr>
                <w:rFonts w:ascii="Arial" w:hAnsi="Arial"/>
                <w:b/>
                <w:color w:val="FFFFFF"/>
                <w:sz w:val="19"/>
              </w:rPr>
              <w:t>Close</w:t>
              <w:br/>
              <w:t>HK$</w:t>
            </w:r>
          </w:p>
        </w:tc>
        <w:tc>
          <w:tcPr>
            <w:tcW w:type="dxa" w:w="1469"/>
            <w:vAlign w:val="center"/>
            <w:shd w:fill="233B53"/>
          </w:tcPr>
          <w:p>
            <w:pPr>
              <w:spacing w:after="0" w:before="0" w:line="250" w:lineRule="auto"/>
              <w:jc w:val="center"/>
            </w:pPr>
            <w:r>
              <w:rPr>
                <w:rFonts w:ascii="Arial" w:hAnsi="Arial"/>
                <w:b/>
                <w:color w:val="FFFFFF"/>
                <w:sz w:val="19"/>
              </w:rPr>
              <w:t>Reported</w:t>
              <w:br/>
              <w:t>TTM P/E</w:t>
            </w:r>
          </w:p>
        </w:tc>
        <w:tc>
          <w:tcPr>
            <w:tcW w:type="dxa" w:w="5170"/>
            <w:vAlign w:val="center"/>
            <w:shd w:fill="233B53"/>
          </w:tcPr>
          <w:p>
            <w:pPr>
              <w:spacing w:after="0" w:before="0" w:line="250" w:lineRule="auto"/>
              <w:jc w:val="left"/>
            </w:pPr>
            <w:r>
              <w:rPr>
                <w:rFonts w:ascii="Arial" w:hAnsi="Arial"/>
                <w:b/>
                <w:color w:val="FFFFFF"/>
                <w:sz w:val="19"/>
              </w:rPr>
              <w:t>Business relevance and limitation</w:t>
            </w:r>
          </w:p>
        </w:tc>
      </w:tr>
      <w:tr>
        <w:trPr>
          <w:cantSplit/>
        </w:trPr>
        <w:tc>
          <w:tcPr>
            <w:tcW w:type="dxa" w:w="2261"/>
            <w:vAlign w:val="center"/>
            <w:shd w:fill="FFFFFF"/>
          </w:tcPr>
          <w:p>
            <w:pPr>
              <w:spacing w:after="0" w:before="0" w:line="250" w:lineRule="auto"/>
              <w:jc w:val="left"/>
            </w:pPr>
            <w:r>
              <w:rPr>
                <w:rFonts w:ascii="Arial" w:hAnsi="Arial"/>
                <w:b w:val="0"/>
                <w:color w:val="000000"/>
                <w:sz w:val="19"/>
              </w:rPr>
              <w:t>Xiaomi 1810</w:t>
            </w:r>
          </w:p>
        </w:tc>
        <w:tc>
          <w:tcPr>
            <w:tcW w:type="dxa" w:w="1109"/>
            <w:vAlign w:val="center"/>
            <w:shd w:fill="FFFFFF"/>
          </w:tcPr>
          <w:p>
            <w:pPr>
              <w:spacing w:after="0" w:before="0" w:line="250" w:lineRule="auto"/>
              <w:jc w:val="center"/>
            </w:pPr>
            <w:r>
              <w:rPr>
                <w:rFonts w:ascii="Arial" w:hAnsi="Arial"/>
                <w:b w:val="0"/>
                <w:color w:val="000000"/>
                <w:sz w:val="19"/>
              </w:rPr>
              <w:t>24.26</w:t>
            </w:r>
          </w:p>
        </w:tc>
        <w:tc>
          <w:tcPr>
            <w:tcW w:type="dxa" w:w="1469"/>
            <w:vAlign w:val="center"/>
            <w:shd w:fill="FFFFFF"/>
          </w:tcPr>
          <w:p>
            <w:pPr>
              <w:spacing w:after="0" w:before="0" w:line="250" w:lineRule="auto"/>
              <w:jc w:val="center"/>
            </w:pPr>
            <w:r>
              <w:rPr>
                <w:rFonts w:ascii="Arial" w:hAnsi="Arial"/>
                <w:b w:val="0"/>
                <w:color w:val="000000"/>
                <w:sz w:val="19"/>
              </w:rPr>
              <w:t>16.2×</w:t>
            </w:r>
          </w:p>
        </w:tc>
        <w:tc>
          <w:tcPr>
            <w:tcW w:type="dxa" w:w="5170"/>
            <w:vAlign w:val="center"/>
            <w:shd w:fill="FFFFFF"/>
          </w:tcPr>
          <w:p>
            <w:pPr>
              <w:spacing w:after="0" w:before="0" w:line="250" w:lineRule="auto"/>
              <w:jc w:val="left"/>
            </w:pPr>
            <w:r>
              <w:rPr>
                <w:rFonts w:ascii="Arial" w:hAnsi="Arial"/>
                <w:b w:val="0"/>
                <w:color w:val="000000"/>
                <w:sz w:val="19"/>
              </w:rPr>
              <w:t>Closest handset brand; internet, IoT and EV mix</w:t>
            </w:r>
          </w:p>
        </w:tc>
      </w:tr>
      <w:tr>
        <w:trPr>
          <w:cantSplit/>
        </w:trPr>
        <w:tc>
          <w:tcPr>
            <w:tcW w:type="dxa" w:w="2261"/>
            <w:vAlign w:val="center"/>
            <w:shd w:fill="EEF3F7"/>
          </w:tcPr>
          <w:p>
            <w:pPr>
              <w:spacing w:after="0" w:before="0" w:line="250" w:lineRule="auto"/>
              <w:jc w:val="left"/>
            </w:pPr>
            <w:r>
              <w:rPr>
                <w:rFonts w:ascii="Arial" w:hAnsi="Arial"/>
                <w:b w:val="0"/>
                <w:color w:val="000000"/>
                <w:sz w:val="19"/>
              </w:rPr>
              <w:t>Anker 0668</w:t>
            </w:r>
          </w:p>
        </w:tc>
        <w:tc>
          <w:tcPr>
            <w:tcW w:type="dxa" w:w="1109"/>
            <w:vAlign w:val="center"/>
            <w:shd w:fill="EEF3F7"/>
          </w:tcPr>
          <w:p>
            <w:pPr>
              <w:spacing w:after="0" w:before="0" w:line="250" w:lineRule="auto"/>
              <w:jc w:val="center"/>
            </w:pPr>
            <w:r>
              <w:rPr>
                <w:rFonts w:ascii="Arial" w:hAnsi="Arial"/>
                <w:b w:val="0"/>
                <w:color w:val="000000"/>
                <w:sz w:val="19"/>
              </w:rPr>
              <w:t>113.00</w:t>
            </w:r>
          </w:p>
        </w:tc>
        <w:tc>
          <w:tcPr>
            <w:tcW w:type="dxa" w:w="1469"/>
            <w:vAlign w:val="center"/>
            <w:shd w:fill="EEF3F7"/>
          </w:tcPr>
          <w:p>
            <w:pPr>
              <w:spacing w:after="0" w:before="0" w:line="250" w:lineRule="auto"/>
              <w:jc w:val="center"/>
            </w:pPr>
            <w:r>
              <w:rPr>
                <w:rFonts w:ascii="Arial" w:hAnsi="Arial"/>
                <w:b w:val="0"/>
                <w:color w:val="000000"/>
                <w:sz w:val="19"/>
              </w:rPr>
              <w:t>18.5×</w:t>
            </w:r>
          </w:p>
        </w:tc>
        <w:tc>
          <w:tcPr>
            <w:tcW w:type="dxa" w:w="5170"/>
            <w:vAlign w:val="center"/>
            <w:shd w:fill="EEF3F7"/>
          </w:tcPr>
          <w:p>
            <w:pPr>
              <w:spacing w:after="0" w:before="0" w:line="250" w:lineRule="auto"/>
              <w:jc w:val="left"/>
            </w:pPr>
            <w:r>
              <w:rPr>
                <w:rFonts w:ascii="Arial" w:hAnsi="Arial"/>
                <w:b w:val="0"/>
                <w:color w:val="000000"/>
                <w:sz w:val="19"/>
              </w:rPr>
              <w:t>Overseas branded devices; charging and energy storage overlap, not handsets</w:t>
            </w:r>
          </w:p>
        </w:tc>
      </w:tr>
      <w:tr>
        <w:trPr>
          <w:cantSplit/>
        </w:trPr>
        <w:tc>
          <w:tcPr>
            <w:tcW w:type="dxa" w:w="2261"/>
            <w:vAlign w:val="center"/>
            <w:shd w:fill="FFFFFF"/>
          </w:tcPr>
          <w:p>
            <w:pPr>
              <w:spacing w:after="0" w:before="0" w:line="250" w:lineRule="auto"/>
              <w:jc w:val="left"/>
            </w:pPr>
            <w:r>
              <w:rPr>
                <w:rFonts w:ascii="Arial" w:hAnsi="Arial"/>
                <w:b w:val="0"/>
                <w:color w:val="000000"/>
                <w:sz w:val="19"/>
              </w:rPr>
              <w:t>Huaqin 3296</w:t>
            </w:r>
          </w:p>
        </w:tc>
        <w:tc>
          <w:tcPr>
            <w:tcW w:type="dxa" w:w="1109"/>
            <w:vAlign w:val="center"/>
            <w:shd w:fill="FFFFFF"/>
          </w:tcPr>
          <w:p>
            <w:pPr>
              <w:spacing w:after="0" w:before="0" w:line="250" w:lineRule="auto"/>
              <w:jc w:val="center"/>
            </w:pPr>
            <w:r>
              <w:rPr>
                <w:rFonts w:ascii="Arial" w:hAnsi="Arial"/>
                <w:b w:val="0"/>
                <w:color w:val="000000"/>
                <w:sz w:val="19"/>
              </w:rPr>
              <w:t>65.10</w:t>
            </w:r>
          </w:p>
        </w:tc>
        <w:tc>
          <w:tcPr>
            <w:tcW w:type="dxa" w:w="1469"/>
            <w:vAlign w:val="center"/>
            <w:shd w:fill="FFFFFF"/>
          </w:tcPr>
          <w:p>
            <w:pPr>
              <w:spacing w:after="0" w:before="0" w:line="250" w:lineRule="auto"/>
              <w:jc w:val="center"/>
            </w:pPr>
            <w:r>
              <w:rPr>
                <w:rFonts w:ascii="Arial" w:hAnsi="Arial"/>
                <w:b w:val="0"/>
                <w:color w:val="000000"/>
                <w:sz w:val="19"/>
              </w:rPr>
              <w:t>16.3×</w:t>
            </w:r>
          </w:p>
        </w:tc>
        <w:tc>
          <w:tcPr>
            <w:tcW w:type="dxa" w:w="5170"/>
            <w:vAlign w:val="center"/>
            <w:shd w:fill="FFFFFF"/>
          </w:tcPr>
          <w:p>
            <w:pPr>
              <w:spacing w:after="0" w:before="0" w:line="250" w:lineRule="auto"/>
              <w:jc w:val="left"/>
            </w:pPr>
            <w:r>
              <w:rPr>
                <w:rFonts w:ascii="Arial" w:hAnsi="Arial"/>
                <w:b w:val="0"/>
                <w:color w:val="000000"/>
                <w:sz w:val="19"/>
              </w:rPr>
              <w:t>Handset/electronics ODM; manufacturing economics</w:t>
            </w:r>
          </w:p>
        </w:tc>
      </w:tr>
      <w:tr>
        <w:trPr>
          <w:cantSplit/>
        </w:trPr>
        <w:tc>
          <w:tcPr>
            <w:tcW w:type="dxa" w:w="2261"/>
            <w:vAlign w:val="center"/>
            <w:shd w:fill="EEF3F7"/>
          </w:tcPr>
          <w:p>
            <w:pPr>
              <w:spacing w:after="0" w:before="0" w:line="250" w:lineRule="auto"/>
              <w:jc w:val="left"/>
            </w:pPr>
            <w:r>
              <w:rPr>
                <w:rFonts w:ascii="Arial" w:hAnsi="Arial"/>
                <w:b w:val="0"/>
                <w:color w:val="000000"/>
                <w:sz w:val="19"/>
              </w:rPr>
              <w:t>Longcheer 9611</w:t>
            </w:r>
          </w:p>
        </w:tc>
        <w:tc>
          <w:tcPr>
            <w:tcW w:type="dxa" w:w="1109"/>
            <w:vAlign w:val="center"/>
            <w:shd w:fill="EEF3F7"/>
          </w:tcPr>
          <w:p>
            <w:pPr>
              <w:spacing w:after="0" w:before="0" w:line="250" w:lineRule="auto"/>
              <w:jc w:val="center"/>
            </w:pPr>
            <w:r>
              <w:rPr>
                <w:rFonts w:ascii="Arial" w:hAnsi="Arial"/>
                <w:b w:val="0"/>
                <w:color w:val="000000"/>
                <w:sz w:val="19"/>
              </w:rPr>
              <w:t>20.20</w:t>
            </w:r>
          </w:p>
        </w:tc>
        <w:tc>
          <w:tcPr>
            <w:tcW w:type="dxa" w:w="1469"/>
            <w:vAlign w:val="center"/>
            <w:shd w:fill="EEF3F7"/>
          </w:tcPr>
          <w:p>
            <w:pPr>
              <w:spacing w:after="0" w:before="0" w:line="250" w:lineRule="auto"/>
              <w:jc w:val="center"/>
            </w:pPr>
            <w:r>
              <w:rPr>
                <w:rFonts w:ascii="Arial" w:hAnsi="Arial"/>
                <w:b w:val="0"/>
                <w:color w:val="000000"/>
                <w:sz w:val="19"/>
              </w:rPr>
              <w:t>19.0×</w:t>
            </w:r>
          </w:p>
        </w:tc>
        <w:tc>
          <w:tcPr>
            <w:tcW w:type="dxa" w:w="5170"/>
            <w:vAlign w:val="center"/>
            <w:shd w:fill="EEF3F7"/>
          </w:tcPr>
          <w:p>
            <w:pPr>
              <w:spacing w:after="0" w:before="0" w:line="250" w:lineRule="auto"/>
              <w:jc w:val="left"/>
            </w:pPr>
            <w:r>
              <w:rPr>
                <w:rFonts w:ascii="Arial" w:hAnsi="Arial"/>
                <w:b w:val="0"/>
                <w:color w:val="000000"/>
                <w:sz w:val="19"/>
              </w:rPr>
              <w:t>Smartphone ODM; manufacturing economics</w:t>
            </w:r>
          </w:p>
        </w:tc>
      </w:tr>
      <w:tr>
        <w:trPr>
          <w:cantSplit/>
        </w:trPr>
        <w:tc>
          <w:tcPr>
            <w:tcW w:type="dxa" w:w="2261"/>
            <w:vAlign w:val="center"/>
            <w:shd w:fill="FFFFFF"/>
          </w:tcPr>
          <w:p>
            <w:pPr>
              <w:spacing w:after="0" w:before="0" w:line="250" w:lineRule="auto"/>
              <w:jc w:val="left"/>
            </w:pPr>
            <w:r>
              <w:rPr>
                <w:rFonts w:ascii="Arial" w:hAnsi="Arial"/>
                <w:b w:val="0"/>
                <w:color w:val="000000"/>
                <w:sz w:val="19"/>
              </w:rPr>
              <w:t>BYD Electronic 0285</w:t>
            </w:r>
          </w:p>
        </w:tc>
        <w:tc>
          <w:tcPr>
            <w:tcW w:type="dxa" w:w="1109"/>
            <w:vAlign w:val="center"/>
            <w:shd w:fill="FFFFFF"/>
          </w:tcPr>
          <w:p>
            <w:pPr>
              <w:spacing w:after="0" w:before="0" w:line="250" w:lineRule="auto"/>
              <w:jc w:val="center"/>
            </w:pPr>
            <w:r>
              <w:rPr>
                <w:rFonts w:ascii="Arial" w:hAnsi="Arial"/>
                <w:b w:val="0"/>
                <w:color w:val="000000"/>
                <w:sz w:val="19"/>
              </w:rPr>
              <w:t>23.90</w:t>
            </w:r>
          </w:p>
        </w:tc>
        <w:tc>
          <w:tcPr>
            <w:tcW w:type="dxa" w:w="1469"/>
            <w:vAlign w:val="center"/>
            <w:shd w:fill="FFFFFF"/>
          </w:tcPr>
          <w:p>
            <w:pPr>
              <w:spacing w:after="0" w:before="0" w:line="250" w:lineRule="auto"/>
              <w:jc w:val="center"/>
            </w:pPr>
            <w:r>
              <w:rPr>
                <w:rFonts w:ascii="Arial" w:hAnsi="Arial"/>
                <w:b w:val="0"/>
                <w:color w:val="000000"/>
                <w:sz w:val="19"/>
              </w:rPr>
              <w:t>20.8×</w:t>
            </w:r>
          </w:p>
        </w:tc>
        <w:tc>
          <w:tcPr>
            <w:tcW w:type="dxa" w:w="5170"/>
            <w:vAlign w:val="center"/>
            <w:shd w:fill="FFFFFF"/>
          </w:tcPr>
          <w:p>
            <w:pPr>
              <w:spacing w:after="0" w:before="0" w:line="250" w:lineRule="auto"/>
              <w:jc w:val="left"/>
            </w:pPr>
            <w:r>
              <w:rPr>
                <w:rFonts w:ascii="Arial" w:hAnsi="Arial"/>
                <w:b w:val="0"/>
                <w:color w:val="000000"/>
                <w:sz w:val="19"/>
              </w:rPr>
              <w:t>Electronics assembly; different product/customer mix</w:t>
            </w:r>
          </w:p>
        </w:tc>
      </w:tr>
      <w:tr>
        <w:trPr>
          <w:cantSplit/>
        </w:trPr>
        <w:tc>
          <w:tcPr>
            <w:tcW w:type="dxa" w:w="2261"/>
            <w:vAlign w:val="center"/>
            <w:shd w:fill="EEF3F7"/>
          </w:tcPr>
          <w:p>
            <w:pPr>
              <w:spacing w:after="0" w:before="0" w:line="250" w:lineRule="auto"/>
              <w:jc w:val="left"/>
            </w:pPr>
            <w:r>
              <w:rPr>
                <w:rFonts w:ascii="Arial" w:hAnsi="Arial"/>
                <w:b w:val="0"/>
                <w:color w:val="000000"/>
                <w:sz w:val="19"/>
              </w:rPr>
              <w:t>ZTE 0763</w:t>
            </w:r>
          </w:p>
        </w:tc>
        <w:tc>
          <w:tcPr>
            <w:tcW w:type="dxa" w:w="1109"/>
            <w:vAlign w:val="center"/>
            <w:shd w:fill="EEF3F7"/>
          </w:tcPr>
          <w:p>
            <w:pPr>
              <w:spacing w:after="0" w:before="0" w:line="250" w:lineRule="auto"/>
              <w:jc w:val="center"/>
            </w:pPr>
            <w:r>
              <w:rPr>
                <w:rFonts w:ascii="Arial" w:hAnsi="Arial"/>
                <w:b w:val="0"/>
                <w:color w:val="000000"/>
                <w:sz w:val="19"/>
              </w:rPr>
              <w:t>21.80</w:t>
            </w:r>
          </w:p>
        </w:tc>
        <w:tc>
          <w:tcPr>
            <w:tcW w:type="dxa" w:w="1469"/>
            <w:vAlign w:val="center"/>
            <w:shd w:fill="EEF3F7"/>
          </w:tcPr>
          <w:p>
            <w:pPr>
              <w:spacing w:after="0" w:before="0" w:line="250" w:lineRule="auto"/>
              <w:jc w:val="center"/>
            </w:pPr>
            <w:r>
              <w:rPr>
                <w:rFonts w:ascii="Arial" w:hAnsi="Arial"/>
                <w:b w:val="0"/>
                <w:color w:val="000000"/>
                <w:sz w:val="19"/>
              </w:rPr>
              <w:t>26.9×</w:t>
            </w:r>
          </w:p>
        </w:tc>
        <w:tc>
          <w:tcPr>
            <w:tcW w:type="dxa" w:w="5170"/>
            <w:vAlign w:val="center"/>
            <w:shd w:fill="EEF3F7"/>
          </w:tcPr>
          <w:p>
            <w:pPr>
              <w:spacing w:after="0" w:before="0" w:line="250" w:lineRule="auto"/>
              <w:jc w:val="left"/>
            </w:pPr>
            <w:r>
              <w:rPr>
                <w:rFonts w:ascii="Arial" w:hAnsi="Arial"/>
                <w:b w:val="0"/>
                <w:color w:val="000000"/>
                <w:sz w:val="19"/>
              </w:rPr>
              <w:t>Nubia handset overlap; telecom equipment dominates</w:t>
            </w:r>
          </w:p>
        </w:tc>
      </w:tr>
      <w:tr>
        <w:trPr>
          <w:cantSplit/>
        </w:trPr>
        <w:tc>
          <w:tcPr>
            <w:tcW w:type="dxa" w:w="2261"/>
            <w:vAlign w:val="center"/>
            <w:shd w:fill="FFFFFF"/>
          </w:tcPr>
          <w:p>
            <w:pPr>
              <w:spacing w:after="0" w:before="0" w:line="250" w:lineRule="auto"/>
              <w:jc w:val="left"/>
            </w:pPr>
            <w:r>
              <w:rPr>
                <w:rFonts w:ascii="Arial" w:hAnsi="Arial"/>
                <w:b w:val="0"/>
                <w:color w:val="000000"/>
                <w:sz w:val="19"/>
              </w:rPr>
              <w:t>Lenovo 0992</w:t>
            </w:r>
          </w:p>
        </w:tc>
        <w:tc>
          <w:tcPr>
            <w:tcW w:type="dxa" w:w="1109"/>
            <w:vAlign w:val="center"/>
            <w:shd w:fill="FFFFFF"/>
          </w:tcPr>
          <w:p>
            <w:pPr>
              <w:spacing w:after="0" w:before="0" w:line="250" w:lineRule="auto"/>
              <w:jc w:val="center"/>
            </w:pPr>
            <w:r>
              <w:rPr>
                <w:rFonts w:ascii="Arial" w:hAnsi="Arial"/>
                <w:b w:val="0"/>
                <w:color w:val="000000"/>
                <w:sz w:val="19"/>
              </w:rPr>
              <w:t>35.40</w:t>
            </w:r>
          </w:p>
        </w:tc>
        <w:tc>
          <w:tcPr>
            <w:tcW w:type="dxa" w:w="1469"/>
            <w:vAlign w:val="center"/>
            <w:shd w:fill="FFFFFF"/>
          </w:tcPr>
          <w:p>
            <w:pPr>
              <w:spacing w:after="0" w:before="0" w:line="250" w:lineRule="auto"/>
              <w:jc w:val="center"/>
            </w:pPr>
            <w:r>
              <w:rPr>
                <w:rFonts w:ascii="Arial" w:hAnsi="Arial"/>
                <w:b w:val="0"/>
                <w:color w:val="000000"/>
                <w:sz w:val="19"/>
              </w:rPr>
              <w:t>72.5× /</w:t>
              <w:br/>
              <w:t>21.2×*</w:t>
            </w:r>
          </w:p>
        </w:tc>
        <w:tc>
          <w:tcPr>
            <w:tcW w:type="dxa" w:w="5170"/>
            <w:vAlign w:val="center"/>
            <w:shd w:fill="FFFFFF"/>
          </w:tcPr>
          <w:p>
            <w:pPr>
              <w:spacing w:after="0" w:before="0" w:line="250" w:lineRule="auto"/>
              <w:jc w:val="left"/>
            </w:pPr>
            <w:r>
              <w:rPr>
                <w:rFonts w:ascii="Arial" w:hAnsi="Arial"/>
                <w:b w:val="0"/>
                <w:color w:val="000000"/>
                <w:sz w:val="19"/>
              </w:rPr>
              <w:t>Motorola handset overlap; PCs/servers dominate</w:t>
            </w:r>
          </w:p>
        </w:tc>
      </w:tr>
      <w:tr>
        <w:trPr>
          <w:cantSplit/>
        </w:trPr>
        <w:tc>
          <w:tcPr>
            <w:tcW w:type="dxa" w:w="2261"/>
            <w:vAlign w:val="center"/>
            <w:shd w:fill="EEF3F7"/>
          </w:tcPr>
          <w:p>
            <w:pPr>
              <w:spacing w:after="0" w:before="0" w:line="250" w:lineRule="auto"/>
              <w:jc w:val="left"/>
            </w:pPr>
            <w:r>
              <w:rPr>
                <w:rFonts w:ascii="Arial" w:hAnsi="Arial"/>
                <w:b w:val="0"/>
                <w:color w:val="000000"/>
                <w:sz w:val="19"/>
              </w:rPr>
              <w:t>Sunny Optical 2382</w:t>
            </w:r>
          </w:p>
        </w:tc>
        <w:tc>
          <w:tcPr>
            <w:tcW w:type="dxa" w:w="1109"/>
            <w:vAlign w:val="center"/>
            <w:shd w:fill="EEF3F7"/>
          </w:tcPr>
          <w:p>
            <w:pPr>
              <w:spacing w:after="0" w:before="0" w:line="250" w:lineRule="auto"/>
              <w:jc w:val="center"/>
            </w:pPr>
            <w:r>
              <w:rPr>
                <w:rFonts w:ascii="Arial" w:hAnsi="Arial"/>
                <w:b w:val="0"/>
                <w:color w:val="000000"/>
                <w:sz w:val="19"/>
              </w:rPr>
              <w:t>64.10</w:t>
            </w:r>
          </w:p>
        </w:tc>
        <w:tc>
          <w:tcPr>
            <w:tcW w:type="dxa" w:w="1469"/>
            <w:vAlign w:val="center"/>
            <w:shd w:fill="EEF3F7"/>
          </w:tcPr>
          <w:p>
            <w:pPr>
              <w:spacing w:after="0" w:before="0" w:line="250" w:lineRule="auto"/>
              <w:jc w:val="center"/>
            </w:pPr>
            <w:r>
              <w:rPr>
                <w:rFonts w:ascii="Arial" w:hAnsi="Arial"/>
                <w:b w:val="0"/>
                <w:color w:val="000000"/>
                <w:sz w:val="19"/>
              </w:rPr>
              <w:t>12.3×</w:t>
            </w:r>
          </w:p>
        </w:tc>
        <w:tc>
          <w:tcPr>
            <w:tcW w:type="dxa" w:w="5170"/>
            <w:vAlign w:val="center"/>
            <w:shd w:fill="EEF3F7"/>
          </w:tcPr>
          <w:p>
            <w:pPr>
              <w:spacing w:after="0" w:before="0" w:line="250" w:lineRule="auto"/>
              <w:jc w:val="left"/>
            </w:pPr>
            <w:r>
              <w:rPr>
                <w:rFonts w:ascii="Arial" w:hAnsi="Arial"/>
                <w:b w:val="0"/>
                <w:color w:val="000000"/>
                <w:sz w:val="19"/>
              </w:rPr>
              <w:t>Optical components; weaker business match</w:t>
            </w:r>
          </w:p>
        </w:tc>
      </w:tr>
    </w:tbl>
    <w:p>
      <w:pPr>
        <w:spacing w:after="0"/>
      </w:pPr>
    </w:p>
    <w:p>
      <w:r>
        <w:rPr>
          <w:b/>
          <w:sz w:val="18"/>
        </w:rPr>
        <w:t>Anker is relevant to Transsion’s brand/channel expansion,</w:t>
      </w:r>
      <w:r>
        <w:rPr>
          <w:sz w:val="18"/>
        </w:rPr>
        <w:t xml:space="preserve"> but its margin is not a target: H1 reported gross margin of 49.82% benefited from prior-year IEEPA tariff refunds, and fair-value gains helped profit. Its 18.5× is a reported-earnings reference. [12]</w:t>
      </w:r>
    </w:p>
    <w:p>
      <w:r>
        <w:rPr>
          <w:sz w:val="17"/>
        </w:rPr>
        <w:t>* Lenovo: reported / adjusted non-GAAP P/E. Warrant fair-value charges depress reported profit; exclude 72.5× from a simple peer average. Other ratios use reported profit attributable to owners. Price and filing links are on page 4.</w:t>
      </w:r>
    </w:p>
    <w:p>
      <w:pPr>
        <w:pStyle w:val="Caption"/>
      </w:pPr>
      <w:r>
        <w:t>Transsion A valuation and H offer valuation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1670"/>
        <w:gridCol w:w="1699"/>
        <w:gridCol w:w="1800"/>
        <w:gridCol w:w="1584"/>
        <w:gridCol w:w="1584"/>
        <w:gridCol w:w="1670"/>
      </w:tblGrid>
      <w:tr>
        <w:trPr>
          <w:tblHeader/>
          <w:cantSplit/>
        </w:trPr>
        <w:tc>
          <w:tcPr>
            <w:tcW w:type="dxa" w:w="1670"/>
            <w:vAlign w:val="center"/>
            <w:shd w:fill="233B53"/>
          </w:tcPr>
          <w:p>
            <w:pPr>
              <w:spacing w:after="0" w:before="0" w:line="250" w:lineRule="auto"/>
              <w:jc w:val="left"/>
            </w:pPr>
            <w:r>
              <w:rPr>
                <w:rFonts w:ascii="Arial" w:hAnsi="Arial"/>
                <w:b/>
                <w:color w:val="FFFFFF"/>
                <w:sz w:val="19"/>
              </w:rPr>
              <w:t>Listing</w:t>
            </w:r>
          </w:p>
        </w:tc>
        <w:tc>
          <w:tcPr>
            <w:tcW w:type="dxa" w:w="1699"/>
            <w:vAlign w:val="center"/>
            <w:shd w:fill="233B53"/>
          </w:tcPr>
          <w:p>
            <w:pPr>
              <w:spacing w:after="0" w:before="0" w:line="250" w:lineRule="auto"/>
              <w:jc w:val="center"/>
            </w:pPr>
            <w:r>
              <w:rPr>
                <w:rFonts w:ascii="Arial" w:hAnsi="Arial"/>
                <w:b/>
                <w:color w:val="FFFFFF"/>
                <w:sz w:val="19"/>
              </w:rPr>
              <w:t>Price</w:t>
            </w:r>
          </w:p>
        </w:tc>
        <w:tc>
          <w:tcPr>
            <w:tcW w:type="dxa" w:w="1800"/>
            <w:vAlign w:val="center"/>
            <w:shd w:fill="233B53"/>
          </w:tcPr>
          <w:p>
            <w:pPr>
              <w:spacing w:after="0" w:before="0" w:line="250" w:lineRule="auto"/>
              <w:jc w:val="center"/>
            </w:pPr>
            <w:r>
              <w:rPr>
                <w:rFonts w:ascii="Arial" w:hAnsi="Arial"/>
                <w:b/>
                <w:color w:val="FFFFFF"/>
                <w:sz w:val="19"/>
              </w:rPr>
              <w:t>Equity value</w:t>
              <w:br/>
              <w:t>RMB bn</w:t>
            </w:r>
          </w:p>
        </w:tc>
        <w:tc>
          <w:tcPr>
            <w:tcW w:type="dxa" w:w="1584"/>
            <w:vAlign w:val="center"/>
            <w:shd w:fill="233B53"/>
          </w:tcPr>
          <w:p>
            <w:pPr>
              <w:spacing w:after="0" w:before="0" w:line="250" w:lineRule="auto"/>
              <w:jc w:val="center"/>
            </w:pPr>
            <w:r>
              <w:rPr>
                <w:rFonts w:ascii="Arial" w:hAnsi="Arial"/>
                <w:b/>
                <w:color w:val="FFFFFF"/>
                <w:sz w:val="19"/>
              </w:rPr>
              <w:t>FY25</w:t>
              <w:br/>
              <w:t>P/E</w:t>
            </w:r>
          </w:p>
        </w:tc>
        <w:tc>
          <w:tcPr>
            <w:tcW w:type="dxa" w:w="1584"/>
            <w:vAlign w:val="center"/>
            <w:shd w:fill="233B53"/>
          </w:tcPr>
          <w:p>
            <w:pPr>
              <w:spacing w:after="0" w:before="0" w:line="250" w:lineRule="auto"/>
              <w:jc w:val="center"/>
            </w:pPr>
            <w:r>
              <w:rPr>
                <w:rFonts w:ascii="Arial" w:hAnsi="Arial"/>
                <w:b/>
                <w:color w:val="FFFFFF"/>
                <w:sz w:val="19"/>
              </w:rPr>
              <w:t>TTM</w:t>
              <w:br/>
              <w:t>P/E</w:t>
            </w:r>
          </w:p>
        </w:tc>
        <w:tc>
          <w:tcPr>
            <w:tcW w:type="dxa" w:w="1670"/>
            <w:vAlign w:val="center"/>
            <w:shd w:fill="233B53"/>
          </w:tcPr>
          <w:p>
            <w:pPr>
              <w:spacing w:after="0" w:before="0" w:line="250" w:lineRule="auto"/>
              <w:jc w:val="center"/>
            </w:pPr>
            <w:r>
              <w:rPr>
                <w:rFonts w:ascii="Arial" w:hAnsi="Arial"/>
                <w:b/>
                <w:color w:val="FFFFFF"/>
                <w:sz w:val="19"/>
              </w:rPr>
              <w:t>2026E</w:t>
              <w:br/>
              <w:t>P/E</w:t>
            </w:r>
          </w:p>
        </w:tc>
      </w:tr>
      <w:tr>
        <w:trPr>
          <w:cantSplit/>
        </w:trPr>
        <w:tc>
          <w:tcPr>
            <w:tcW w:type="dxa" w:w="1670"/>
            <w:vAlign w:val="center"/>
            <w:shd w:fill="FFFFFF"/>
          </w:tcPr>
          <w:p>
            <w:pPr>
              <w:spacing w:after="0" w:before="0" w:line="250" w:lineRule="auto"/>
              <w:jc w:val="left"/>
            </w:pPr>
            <w:r>
              <w:rPr>
                <w:rFonts w:ascii="Arial" w:hAnsi="Arial"/>
                <w:b w:val="0"/>
                <w:color w:val="000000"/>
                <w:sz w:val="19"/>
              </w:rPr>
              <w:t>Existing A</w:t>
            </w:r>
          </w:p>
        </w:tc>
        <w:tc>
          <w:tcPr>
            <w:tcW w:type="dxa" w:w="1699"/>
            <w:vAlign w:val="center"/>
            <w:shd w:fill="FFFFFF"/>
          </w:tcPr>
          <w:p>
            <w:pPr>
              <w:spacing w:after="0" w:before="0" w:line="250" w:lineRule="auto"/>
              <w:jc w:val="center"/>
            </w:pPr>
            <w:r>
              <w:rPr>
                <w:rFonts w:ascii="Arial" w:hAnsi="Arial"/>
                <w:b w:val="0"/>
                <w:color w:val="000000"/>
                <w:sz w:val="19"/>
              </w:rPr>
              <w:t>RMB53.80</w:t>
            </w:r>
          </w:p>
        </w:tc>
        <w:tc>
          <w:tcPr>
            <w:tcW w:type="dxa" w:w="1800"/>
            <w:vAlign w:val="center"/>
            <w:shd w:fill="FFFFFF"/>
          </w:tcPr>
          <w:p>
            <w:pPr>
              <w:spacing w:after="0" w:before="0" w:line="250" w:lineRule="auto"/>
              <w:jc w:val="center"/>
            </w:pPr>
            <w:r>
              <w:rPr>
                <w:rFonts w:ascii="Arial" w:hAnsi="Arial"/>
                <w:b w:val="0"/>
                <w:color w:val="000000"/>
                <w:sz w:val="19"/>
              </w:rPr>
              <w:t>61.9</w:t>
            </w:r>
          </w:p>
        </w:tc>
        <w:tc>
          <w:tcPr>
            <w:tcW w:type="dxa" w:w="1584"/>
            <w:vAlign w:val="center"/>
            <w:shd w:fill="FFFFFF"/>
          </w:tcPr>
          <w:p>
            <w:pPr>
              <w:spacing w:after="0" w:before="0" w:line="250" w:lineRule="auto"/>
              <w:jc w:val="center"/>
            </w:pPr>
            <w:r>
              <w:rPr>
                <w:rFonts w:ascii="Arial" w:hAnsi="Arial"/>
                <w:b w:val="0"/>
                <w:color w:val="000000"/>
                <w:sz w:val="19"/>
              </w:rPr>
              <w:t>24.0×</w:t>
            </w:r>
          </w:p>
        </w:tc>
        <w:tc>
          <w:tcPr>
            <w:tcW w:type="dxa" w:w="1584"/>
            <w:vAlign w:val="center"/>
            <w:shd w:fill="FFFFFF"/>
          </w:tcPr>
          <w:p>
            <w:pPr>
              <w:spacing w:after="0" w:before="0" w:line="250" w:lineRule="auto"/>
              <w:jc w:val="center"/>
            </w:pPr>
            <w:r>
              <w:rPr>
                <w:rFonts w:ascii="Arial" w:hAnsi="Arial"/>
                <w:b w:val="0"/>
                <w:color w:val="000000"/>
                <w:sz w:val="19"/>
              </w:rPr>
              <w:t>19.7×</w:t>
            </w:r>
          </w:p>
        </w:tc>
        <w:tc>
          <w:tcPr>
            <w:tcW w:type="dxa" w:w="1670"/>
            <w:vAlign w:val="center"/>
            <w:shd w:fill="FFFFFF"/>
          </w:tcPr>
          <w:p>
            <w:pPr>
              <w:spacing w:after="0" w:before="0" w:line="250" w:lineRule="auto"/>
              <w:jc w:val="center"/>
            </w:pPr>
            <w:r>
              <w:rPr>
                <w:rFonts w:ascii="Arial" w:hAnsi="Arial"/>
                <w:b w:val="0"/>
                <w:color w:val="000000"/>
                <w:sz w:val="19"/>
              </w:rPr>
              <w:t>17.4×</w:t>
            </w:r>
          </w:p>
        </w:tc>
      </w:tr>
      <w:tr>
        <w:trPr>
          <w:cantSplit/>
        </w:trPr>
        <w:tc>
          <w:tcPr>
            <w:tcW w:type="dxa" w:w="1670"/>
            <w:vAlign w:val="center"/>
            <w:shd w:fill="EEF3F7"/>
          </w:tcPr>
          <w:p>
            <w:pPr>
              <w:spacing w:after="0" w:before="0" w:line="250" w:lineRule="auto"/>
              <w:jc w:val="left"/>
            </w:pPr>
            <w:r>
              <w:rPr>
                <w:rFonts w:ascii="Arial" w:hAnsi="Arial"/>
                <w:b w:val="0"/>
                <w:color w:val="000000"/>
                <w:sz w:val="19"/>
              </w:rPr>
              <w:t>H low</w:t>
            </w:r>
          </w:p>
        </w:tc>
        <w:tc>
          <w:tcPr>
            <w:tcW w:type="dxa" w:w="1699"/>
            <w:vAlign w:val="center"/>
            <w:shd w:fill="EEF3F7"/>
          </w:tcPr>
          <w:p>
            <w:pPr>
              <w:spacing w:after="0" w:before="0" w:line="250" w:lineRule="auto"/>
              <w:jc w:val="center"/>
            </w:pPr>
            <w:r>
              <w:rPr>
                <w:rFonts w:ascii="Arial" w:hAnsi="Arial"/>
                <w:b w:val="0"/>
                <w:color w:val="000000"/>
                <w:sz w:val="19"/>
              </w:rPr>
              <w:t>HK$35.30</w:t>
            </w:r>
          </w:p>
        </w:tc>
        <w:tc>
          <w:tcPr>
            <w:tcW w:type="dxa" w:w="1800"/>
            <w:vAlign w:val="center"/>
            <w:shd w:fill="EEF3F7"/>
          </w:tcPr>
          <w:p>
            <w:pPr>
              <w:spacing w:after="0" w:before="0" w:line="250" w:lineRule="auto"/>
              <w:jc w:val="center"/>
            </w:pPr>
            <w:r>
              <w:rPr>
                <w:rFonts w:ascii="Arial" w:hAnsi="Arial"/>
                <w:b w:val="0"/>
                <w:color w:val="000000"/>
                <w:sz w:val="19"/>
              </w:rPr>
              <w:t>37.3</w:t>
            </w:r>
          </w:p>
        </w:tc>
        <w:tc>
          <w:tcPr>
            <w:tcW w:type="dxa" w:w="1584"/>
            <w:vAlign w:val="center"/>
            <w:shd w:fill="EEF3F7"/>
          </w:tcPr>
          <w:p>
            <w:pPr>
              <w:spacing w:after="0" w:before="0" w:line="250" w:lineRule="auto"/>
              <w:jc w:val="center"/>
            </w:pPr>
            <w:r>
              <w:rPr>
                <w:rFonts w:ascii="Arial" w:hAnsi="Arial"/>
                <w:b w:val="0"/>
                <w:color w:val="000000"/>
                <w:sz w:val="19"/>
              </w:rPr>
              <w:t>14.5×</w:t>
            </w:r>
          </w:p>
        </w:tc>
        <w:tc>
          <w:tcPr>
            <w:tcW w:type="dxa" w:w="1584"/>
            <w:vAlign w:val="center"/>
            <w:shd w:fill="EEF3F7"/>
          </w:tcPr>
          <w:p>
            <w:pPr>
              <w:spacing w:after="0" w:before="0" w:line="250" w:lineRule="auto"/>
              <w:jc w:val="center"/>
            </w:pPr>
            <w:r>
              <w:rPr>
                <w:rFonts w:ascii="Arial" w:hAnsi="Arial"/>
                <w:b w:val="0"/>
                <w:color w:val="000000"/>
                <w:sz w:val="19"/>
              </w:rPr>
              <w:t>11.9×</w:t>
            </w:r>
          </w:p>
        </w:tc>
        <w:tc>
          <w:tcPr>
            <w:tcW w:type="dxa" w:w="1670"/>
            <w:vAlign w:val="center"/>
            <w:shd w:fill="EEF3F7"/>
          </w:tcPr>
          <w:p>
            <w:pPr>
              <w:spacing w:after="0" w:before="0" w:line="250" w:lineRule="auto"/>
              <w:jc w:val="center"/>
            </w:pPr>
            <w:r>
              <w:rPr>
                <w:rFonts w:ascii="Arial" w:hAnsi="Arial"/>
                <w:b w:val="0"/>
                <w:color w:val="000000"/>
                <w:sz w:val="19"/>
              </w:rPr>
              <w:t>10.5×</w:t>
            </w:r>
          </w:p>
        </w:tc>
      </w:tr>
      <w:tr>
        <w:trPr>
          <w:cantSplit/>
        </w:trPr>
        <w:tc>
          <w:tcPr>
            <w:tcW w:type="dxa" w:w="1670"/>
            <w:vAlign w:val="center"/>
            <w:shd w:fill="FFFFFF"/>
          </w:tcPr>
          <w:p>
            <w:pPr>
              <w:spacing w:after="0" w:before="0" w:line="250" w:lineRule="auto"/>
              <w:jc w:val="left"/>
            </w:pPr>
            <w:r>
              <w:rPr>
                <w:rFonts w:ascii="Arial" w:hAnsi="Arial"/>
                <w:b w:val="0"/>
                <w:color w:val="000000"/>
                <w:sz w:val="19"/>
              </w:rPr>
              <w:t>H midpoint</w:t>
            </w:r>
          </w:p>
        </w:tc>
        <w:tc>
          <w:tcPr>
            <w:tcW w:type="dxa" w:w="1699"/>
            <w:vAlign w:val="center"/>
            <w:shd w:fill="FFFFFF"/>
          </w:tcPr>
          <w:p>
            <w:pPr>
              <w:spacing w:after="0" w:before="0" w:line="250" w:lineRule="auto"/>
              <w:jc w:val="center"/>
            </w:pPr>
            <w:r>
              <w:rPr>
                <w:rFonts w:ascii="Arial" w:hAnsi="Arial"/>
                <w:b w:val="0"/>
                <w:color w:val="000000"/>
                <w:sz w:val="19"/>
              </w:rPr>
              <w:t>HK$37.05</w:t>
            </w:r>
          </w:p>
        </w:tc>
        <w:tc>
          <w:tcPr>
            <w:tcW w:type="dxa" w:w="1800"/>
            <w:vAlign w:val="center"/>
            <w:shd w:fill="FFFFFF"/>
          </w:tcPr>
          <w:p>
            <w:pPr>
              <w:spacing w:after="0" w:before="0" w:line="250" w:lineRule="auto"/>
              <w:jc w:val="center"/>
            </w:pPr>
            <w:r>
              <w:rPr>
                <w:rFonts w:ascii="Arial" w:hAnsi="Arial"/>
                <w:b w:val="0"/>
                <w:color w:val="000000"/>
                <w:sz w:val="19"/>
              </w:rPr>
              <w:t>39.2</w:t>
            </w:r>
          </w:p>
        </w:tc>
        <w:tc>
          <w:tcPr>
            <w:tcW w:type="dxa" w:w="1584"/>
            <w:vAlign w:val="center"/>
            <w:shd w:fill="FFFFFF"/>
          </w:tcPr>
          <w:p>
            <w:pPr>
              <w:spacing w:after="0" w:before="0" w:line="250" w:lineRule="auto"/>
              <w:jc w:val="center"/>
            </w:pPr>
            <w:r>
              <w:rPr>
                <w:rFonts w:ascii="Arial" w:hAnsi="Arial"/>
                <w:b w:val="0"/>
                <w:color w:val="000000"/>
                <w:sz w:val="19"/>
              </w:rPr>
              <w:t>15.2×</w:t>
            </w:r>
          </w:p>
        </w:tc>
        <w:tc>
          <w:tcPr>
            <w:tcW w:type="dxa" w:w="1584"/>
            <w:vAlign w:val="center"/>
            <w:shd w:fill="FFFFFF"/>
          </w:tcPr>
          <w:p>
            <w:pPr>
              <w:spacing w:after="0" w:before="0" w:line="250" w:lineRule="auto"/>
              <w:jc w:val="center"/>
            </w:pPr>
            <w:r>
              <w:rPr>
                <w:rFonts w:ascii="Arial" w:hAnsi="Arial"/>
                <w:b w:val="0"/>
                <w:color w:val="000000"/>
                <w:sz w:val="19"/>
              </w:rPr>
              <w:t>12.5×</w:t>
            </w:r>
          </w:p>
        </w:tc>
        <w:tc>
          <w:tcPr>
            <w:tcW w:type="dxa" w:w="1670"/>
            <w:vAlign w:val="center"/>
            <w:shd w:fill="FFFFFF"/>
          </w:tcPr>
          <w:p>
            <w:pPr>
              <w:spacing w:after="0" w:before="0" w:line="250" w:lineRule="auto"/>
              <w:jc w:val="center"/>
            </w:pPr>
            <w:r>
              <w:rPr>
                <w:rFonts w:ascii="Arial" w:hAnsi="Arial"/>
                <w:b w:val="0"/>
                <w:color w:val="000000"/>
                <w:sz w:val="19"/>
              </w:rPr>
              <w:t>11.0×</w:t>
            </w:r>
          </w:p>
        </w:tc>
      </w:tr>
      <w:tr>
        <w:trPr>
          <w:cantSplit/>
        </w:trPr>
        <w:tc>
          <w:tcPr>
            <w:tcW w:type="dxa" w:w="1670"/>
            <w:vAlign w:val="center"/>
            <w:shd w:fill="EEF3F7"/>
          </w:tcPr>
          <w:p>
            <w:pPr>
              <w:spacing w:after="0" w:before="0" w:line="250" w:lineRule="auto"/>
              <w:jc w:val="left"/>
            </w:pPr>
            <w:r>
              <w:rPr>
                <w:rFonts w:ascii="Arial" w:hAnsi="Arial"/>
                <w:b w:val="0"/>
                <w:color w:val="000000"/>
                <w:sz w:val="19"/>
              </w:rPr>
              <w:t>H high</w:t>
            </w:r>
          </w:p>
        </w:tc>
        <w:tc>
          <w:tcPr>
            <w:tcW w:type="dxa" w:w="1699"/>
            <w:vAlign w:val="center"/>
            <w:shd w:fill="EEF3F7"/>
          </w:tcPr>
          <w:p>
            <w:pPr>
              <w:spacing w:after="0" w:before="0" w:line="250" w:lineRule="auto"/>
              <w:jc w:val="center"/>
            </w:pPr>
            <w:r>
              <w:rPr>
                <w:rFonts w:ascii="Arial" w:hAnsi="Arial"/>
                <w:b w:val="0"/>
                <w:color w:val="000000"/>
                <w:sz w:val="19"/>
              </w:rPr>
              <w:t>HK$38.80</w:t>
            </w:r>
          </w:p>
        </w:tc>
        <w:tc>
          <w:tcPr>
            <w:tcW w:type="dxa" w:w="1800"/>
            <w:vAlign w:val="center"/>
            <w:shd w:fill="EEF3F7"/>
          </w:tcPr>
          <w:p>
            <w:pPr>
              <w:spacing w:after="0" w:before="0" w:line="250" w:lineRule="auto"/>
              <w:jc w:val="center"/>
            </w:pPr>
            <w:r>
              <w:rPr>
                <w:rFonts w:ascii="Arial" w:hAnsi="Arial"/>
                <w:b w:val="0"/>
                <w:color w:val="000000"/>
                <w:sz w:val="19"/>
              </w:rPr>
              <w:t>41.0</w:t>
            </w:r>
          </w:p>
        </w:tc>
        <w:tc>
          <w:tcPr>
            <w:tcW w:type="dxa" w:w="1584"/>
            <w:vAlign w:val="center"/>
            <w:shd w:fill="EEF3F7"/>
          </w:tcPr>
          <w:p>
            <w:pPr>
              <w:spacing w:after="0" w:before="0" w:line="250" w:lineRule="auto"/>
              <w:jc w:val="center"/>
            </w:pPr>
            <w:r>
              <w:rPr>
                <w:rFonts w:ascii="Arial" w:hAnsi="Arial"/>
                <w:b w:val="0"/>
                <w:color w:val="000000"/>
                <w:sz w:val="19"/>
              </w:rPr>
              <w:t>15.9×</w:t>
            </w:r>
          </w:p>
        </w:tc>
        <w:tc>
          <w:tcPr>
            <w:tcW w:type="dxa" w:w="1584"/>
            <w:vAlign w:val="center"/>
            <w:shd w:fill="EEF3F7"/>
          </w:tcPr>
          <w:p>
            <w:pPr>
              <w:spacing w:after="0" w:before="0" w:line="250" w:lineRule="auto"/>
              <w:jc w:val="center"/>
            </w:pPr>
            <w:r>
              <w:rPr>
                <w:rFonts w:ascii="Arial" w:hAnsi="Arial"/>
                <w:b w:val="0"/>
                <w:color w:val="000000"/>
                <w:sz w:val="19"/>
              </w:rPr>
              <w:t>13.1×</w:t>
            </w:r>
          </w:p>
        </w:tc>
        <w:tc>
          <w:tcPr>
            <w:tcW w:type="dxa" w:w="1670"/>
            <w:vAlign w:val="center"/>
            <w:shd w:fill="EEF3F7"/>
          </w:tcPr>
          <w:p>
            <w:pPr>
              <w:spacing w:after="0" w:before="0" w:line="250" w:lineRule="auto"/>
              <w:jc w:val="center"/>
            </w:pPr>
            <w:r>
              <w:rPr>
                <w:rFonts w:ascii="Arial" w:hAnsi="Arial"/>
                <w:b w:val="0"/>
                <w:color w:val="000000"/>
                <w:sz w:val="19"/>
              </w:rPr>
              <w:t>11.5×</w:t>
            </w:r>
          </w:p>
        </w:tc>
      </w:tr>
    </w:tbl>
    <w:p>
      <w:pPr>
        <w:spacing w:after="0"/>
      </w:pPr>
    </w:p>
    <w:p>
      <w:r>
        <w:rPr>
          <w:sz w:val="17"/>
        </w:rPr>
        <w:t>A input is the 30 Sep close; H inputs are 6 Oct closes, not 8 Oct live quotes. FX: RMB1 = HK$1.1705; US$1 = HK$7.848. H equity value applies the offer price to all 1.2378bn post-issue shares, excluding greenshoe; existing A uses 1.1512bn pre-issue shares. [1, 11]</w:t>
      </w:r>
    </w:p>
    <w:p>
      <w:r>
        <w:rPr>
          <w:sz w:val="17"/>
        </w:rPr>
        <w:t>At unchanged A price on enlarged capital, A TTM P/E would be 21.2×. H discount is 38.4–43.9%; midpoint 41.2%. Anker/Huaqin/Longcheer H discounts are about 22.5%/25.3%/51.0%. A/H shares are not freely interchangeable, so the discount is not a mechanical arbitrage return.</w:t>
      </w:r>
    </w:p>
    <w:p>
      <w:r>
        <w:rPr>
          <w:sz w:val="17"/>
        </w:rPr>
        <w:t>2026E: 12-institution owner-profit mean RMB3.557bn as of 3 Oct; range RMB2.856–4.228bn. Midpoint forward P/E spans 13.7–9.3× across that range. TTM = FY25 + H1 26 − H1 25; Lenovo follows its March year end. Anker uses 589.464m shares verified through 18 Sep. [4, 12, 13]</w:t>
      </w:r>
    </w:p>
    <w:p>
      <w:r>
        <w:rPr>
          <w:b/>
          <w:sz w:val="17"/>
        </w:rPr>
        <w:t>Price sensitivity:</w:t>
      </w:r>
      <w:r>
        <w:rPr>
          <w:sz w:val="17"/>
        </w:rPr>
        <w:t xml:space="preserve"> at FY26 consensus and chosen 12–14× P/E, implied value is HK$40.36–47.09 (+9% to +27% from midpoint). At FY25 profit and 10×, it is HK$24.40 (−34%). These are illustrative scenarios, not price targets; use enlarged shares and the FX above, excluding dividends and greenshoe.</w:t>
      </w:r>
    </w:p>
    <w:p>
      <w:r>
        <w:br w:type="page"/>
      </w:r>
    </w:p>
    <w:p>
      <w:pPr>
        <w:pStyle w:val="Heading1"/>
        <w:keepNext/>
        <w:spacing w:before="160" w:after="100"/>
      </w:pPr>
      <w:r>
        <w:rPr>
          <w:b/>
          <w:sz w:val="23"/>
        </w:rPr>
        <w:t>A share references and checks on the numbers</w:t>
      </w:r>
    </w:p>
    <w:p>
      <w:pPr>
        <w:pStyle w:val="Caption"/>
      </w:pPr>
      <w:r>
        <w:t>Closest retained A references at 30 September 2026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2592"/>
        <w:gridCol w:w="1152"/>
        <w:gridCol w:w="1440"/>
        <w:gridCol w:w="4824"/>
      </w:tblGrid>
      <w:tr>
        <w:trPr>
          <w:tblHeader/>
          <w:cantSplit/>
        </w:trPr>
        <w:tc>
          <w:tcPr>
            <w:tcW w:type="dxa" w:w="2592"/>
            <w:vAlign w:val="center"/>
            <w:shd w:fill="233B53"/>
          </w:tcPr>
          <w:p>
            <w:pPr>
              <w:spacing w:after="0" w:before="0" w:line="250" w:lineRule="auto"/>
              <w:jc w:val="left"/>
            </w:pPr>
            <w:r>
              <w:rPr>
                <w:rFonts w:ascii="Arial" w:hAnsi="Arial"/>
                <w:b/>
                <w:color w:val="FFFFFF"/>
                <w:sz w:val="19"/>
              </w:rPr>
              <w:t>Company and A ticker</w:t>
            </w:r>
          </w:p>
        </w:tc>
        <w:tc>
          <w:tcPr>
            <w:tcW w:type="dxa" w:w="1152"/>
            <w:vAlign w:val="center"/>
            <w:shd w:fill="233B53"/>
          </w:tcPr>
          <w:p>
            <w:pPr>
              <w:spacing w:after="0" w:before="0" w:line="250" w:lineRule="auto"/>
              <w:jc w:val="center"/>
            </w:pPr>
            <w:r>
              <w:rPr>
                <w:rFonts w:ascii="Arial" w:hAnsi="Arial"/>
                <w:b/>
                <w:color w:val="FFFFFF"/>
                <w:sz w:val="19"/>
              </w:rPr>
              <w:t>Close</w:t>
              <w:br/>
              <w:t>RMB</w:t>
            </w:r>
          </w:p>
        </w:tc>
        <w:tc>
          <w:tcPr>
            <w:tcW w:type="dxa" w:w="1440"/>
            <w:vAlign w:val="center"/>
            <w:shd w:fill="233B53"/>
          </w:tcPr>
          <w:p>
            <w:pPr>
              <w:spacing w:after="0" w:before="0" w:line="250" w:lineRule="auto"/>
              <w:jc w:val="center"/>
            </w:pPr>
            <w:r>
              <w:rPr>
                <w:rFonts w:ascii="Arial" w:hAnsi="Arial"/>
                <w:b/>
                <w:color w:val="FFFFFF"/>
                <w:sz w:val="19"/>
              </w:rPr>
              <w:t>Reported</w:t>
              <w:br/>
              <w:t>TTM P/E</w:t>
            </w:r>
          </w:p>
        </w:tc>
        <w:tc>
          <w:tcPr>
            <w:tcW w:type="dxa" w:w="4824"/>
            <w:vAlign w:val="center"/>
            <w:shd w:fill="233B53"/>
          </w:tcPr>
          <w:p>
            <w:pPr>
              <w:spacing w:after="0" w:before="0" w:line="250" w:lineRule="auto"/>
              <w:jc w:val="left"/>
            </w:pPr>
            <w:r>
              <w:rPr>
                <w:rFonts w:ascii="Arial" w:hAnsi="Arial"/>
                <w:b/>
                <w:color w:val="FFFFFF"/>
                <w:sz w:val="19"/>
              </w:rPr>
              <w:t>Relevance</w:t>
            </w:r>
          </w:p>
        </w:tc>
      </w:tr>
      <w:tr>
        <w:trPr>
          <w:cantSplit/>
        </w:trPr>
        <w:tc>
          <w:tcPr>
            <w:tcW w:type="dxa" w:w="2592"/>
            <w:vAlign w:val="center"/>
            <w:shd w:fill="FFFFFF"/>
          </w:tcPr>
          <w:p>
            <w:pPr>
              <w:spacing w:after="0" w:before="0" w:line="250" w:lineRule="auto"/>
              <w:jc w:val="left"/>
            </w:pPr>
            <w:r>
              <w:rPr>
                <w:rFonts w:ascii="Arial" w:hAnsi="Arial"/>
                <w:b w:val="0"/>
                <w:color w:val="000000"/>
                <w:sz w:val="19"/>
              </w:rPr>
              <w:t>Anker 300866</w:t>
            </w:r>
          </w:p>
        </w:tc>
        <w:tc>
          <w:tcPr>
            <w:tcW w:type="dxa" w:w="1152"/>
            <w:vAlign w:val="center"/>
            <w:shd w:fill="FFFFFF"/>
          </w:tcPr>
          <w:p>
            <w:pPr>
              <w:spacing w:after="0" w:before="0" w:line="250" w:lineRule="auto"/>
              <w:jc w:val="center"/>
            </w:pPr>
            <w:r>
              <w:rPr>
                <w:rFonts w:ascii="Arial" w:hAnsi="Arial"/>
                <w:b w:val="0"/>
                <w:color w:val="000000"/>
                <w:sz w:val="19"/>
              </w:rPr>
              <w:t>124.63</w:t>
            </w:r>
          </w:p>
        </w:tc>
        <w:tc>
          <w:tcPr>
            <w:tcW w:type="dxa" w:w="1440"/>
            <w:vAlign w:val="center"/>
            <w:shd w:fill="FFFFFF"/>
          </w:tcPr>
          <w:p>
            <w:pPr>
              <w:spacing w:after="0" w:before="0" w:line="250" w:lineRule="auto"/>
              <w:jc w:val="center"/>
            </w:pPr>
            <w:r>
              <w:rPr>
                <w:rFonts w:ascii="Arial" w:hAnsi="Arial"/>
                <w:b w:val="0"/>
                <w:color w:val="000000"/>
                <w:sz w:val="19"/>
              </w:rPr>
              <w:t>23.9×</w:t>
            </w:r>
          </w:p>
        </w:tc>
        <w:tc>
          <w:tcPr>
            <w:tcW w:type="dxa" w:w="4824"/>
            <w:vAlign w:val="center"/>
            <w:shd w:fill="FFFFFF"/>
          </w:tcPr>
          <w:p>
            <w:pPr>
              <w:spacing w:after="0" w:before="0" w:line="250" w:lineRule="auto"/>
              <w:jc w:val="left"/>
            </w:pPr>
            <w:r>
              <w:rPr>
                <w:rFonts w:ascii="Arial" w:hAnsi="Arial"/>
                <w:b w:val="0"/>
                <w:color w:val="000000"/>
                <w:sz w:val="19"/>
              </w:rPr>
              <w:t>Overseas branded consumer devices</w:t>
            </w:r>
          </w:p>
        </w:tc>
      </w:tr>
      <w:tr>
        <w:trPr>
          <w:cantSplit/>
        </w:trPr>
        <w:tc>
          <w:tcPr>
            <w:tcW w:type="dxa" w:w="2592"/>
            <w:vAlign w:val="center"/>
            <w:shd w:fill="EEF3F7"/>
          </w:tcPr>
          <w:p>
            <w:pPr>
              <w:spacing w:after="0" w:before="0" w:line="250" w:lineRule="auto"/>
              <w:jc w:val="left"/>
            </w:pPr>
            <w:r>
              <w:rPr>
                <w:rFonts w:ascii="Arial" w:hAnsi="Arial"/>
                <w:b w:val="0"/>
                <w:color w:val="000000"/>
                <w:sz w:val="19"/>
              </w:rPr>
              <w:t>Huaqin 603296</w:t>
            </w:r>
          </w:p>
        </w:tc>
        <w:tc>
          <w:tcPr>
            <w:tcW w:type="dxa" w:w="1152"/>
            <w:vAlign w:val="center"/>
            <w:shd w:fill="EEF3F7"/>
          </w:tcPr>
          <w:p>
            <w:pPr>
              <w:spacing w:after="0" w:before="0" w:line="250" w:lineRule="auto"/>
              <w:jc w:val="center"/>
            </w:pPr>
            <w:r>
              <w:rPr>
                <w:rFonts w:ascii="Arial" w:hAnsi="Arial"/>
                <w:b w:val="0"/>
                <w:color w:val="000000"/>
                <w:sz w:val="19"/>
              </w:rPr>
              <w:t>74.49</w:t>
            </w:r>
          </w:p>
        </w:tc>
        <w:tc>
          <w:tcPr>
            <w:tcW w:type="dxa" w:w="1440"/>
            <w:vAlign w:val="center"/>
            <w:shd w:fill="EEF3F7"/>
          </w:tcPr>
          <w:p>
            <w:pPr>
              <w:spacing w:after="0" w:before="0" w:line="250" w:lineRule="auto"/>
              <w:jc w:val="center"/>
            </w:pPr>
            <w:r>
              <w:rPr>
                <w:rFonts w:ascii="Arial" w:hAnsi="Arial"/>
                <w:b w:val="0"/>
                <w:color w:val="000000"/>
                <w:sz w:val="19"/>
              </w:rPr>
              <w:t>21.9×</w:t>
            </w:r>
          </w:p>
        </w:tc>
        <w:tc>
          <w:tcPr>
            <w:tcW w:type="dxa" w:w="4824"/>
            <w:vAlign w:val="center"/>
            <w:shd w:fill="EEF3F7"/>
          </w:tcPr>
          <w:p>
            <w:pPr>
              <w:spacing w:after="0" w:before="0" w:line="250" w:lineRule="auto"/>
              <w:jc w:val="left"/>
            </w:pPr>
            <w:r>
              <w:rPr>
                <w:rFonts w:ascii="Arial" w:hAnsi="Arial"/>
                <w:b w:val="0"/>
                <w:color w:val="000000"/>
                <w:sz w:val="19"/>
              </w:rPr>
              <w:t>Handset/electronics ODM</w:t>
            </w:r>
          </w:p>
        </w:tc>
      </w:tr>
      <w:tr>
        <w:trPr>
          <w:cantSplit/>
        </w:trPr>
        <w:tc>
          <w:tcPr>
            <w:tcW w:type="dxa" w:w="2592"/>
            <w:vAlign w:val="center"/>
            <w:shd w:fill="FFFFFF"/>
          </w:tcPr>
          <w:p>
            <w:pPr>
              <w:spacing w:after="0" w:before="0" w:line="250" w:lineRule="auto"/>
              <w:jc w:val="left"/>
            </w:pPr>
            <w:r>
              <w:rPr>
                <w:rFonts w:ascii="Arial" w:hAnsi="Arial"/>
                <w:b w:val="0"/>
                <w:color w:val="000000"/>
                <w:sz w:val="19"/>
              </w:rPr>
              <w:t>Longcheer 603341</w:t>
            </w:r>
          </w:p>
        </w:tc>
        <w:tc>
          <w:tcPr>
            <w:tcW w:type="dxa" w:w="1152"/>
            <w:vAlign w:val="center"/>
            <w:shd w:fill="FFFFFF"/>
          </w:tcPr>
          <w:p>
            <w:pPr>
              <w:spacing w:after="0" w:before="0" w:line="250" w:lineRule="auto"/>
              <w:jc w:val="center"/>
            </w:pPr>
            <w:r>
              <w:rPr>
                <w:rFonts w:ascii="Arial" w:hAnsi="Arial"/>
                <w:b w:val="0"/>
                <w:color w:val="000000"/>
                <w:sz w:val="19"/>
              </w:rPr>
              <w:t>35.21</w:t>
            </w:r>
          </w:p>
        </w:tc>
        <w:tc>
          <w:tcPr>
            <w:tcW w:type="dxa" w:w="1440"/>
            <w:vAlign w:val="center"/>
            <w:shd w:fill="FFFFFF"/>
          </w:tcPr>
          <w:p>
            <w:pPr>
              <w:spacing w:after="0" w:before="0" w:line="250" w:lineRule="auto"/>
              <w:jc w:val="center"/>
            </w:pPr>
            <w:r>
              <w:rPr>
                <w:rFonts w:ascii="Arial" w:hAnsi="Arial"/>
                <w:b w:val="0"/>
                <w:color w:val="000000"/>
                <w:sz w:val="19"/>
              </w:rPr>
              <w:t>38.7×</w:t>
            </w:r>
          </w:p>
        </w:tc>
        <w:tc>
          <w:tcPr>
            <w:tcW w:type="dxa" w:w="4824"/>
            <w:vAlign w:val="center"/>
            <w:shd w:fill="FFFFFF"/>
          </w:tcPr>
          <w:p>
            <w:pPr>
              <w:spacing w:after="0" w:before="0" w:line="250" w:lineRule="auto"/>
              <w:jc w:val="left"/>
            </w:pPr>
            <w:r>
              <w:rPr>
                <w:rFonts w:ascii="Arial" w:hAnsi="Arial"/>
                <w:b w:val="0"/>
                <w:color w:val="000000"/>
                <w:sz w:val="19"/>
              </w:rPr>
              <w:t>Smartphone ODM</w:t>
            </w:r>
          </w:p>
        </w:tc>
      </w:tr>
    </w:tbl>
    <w:p>
      <w:pPr>
        <w:spacing w:after="0"/>
      </w:pPr>
    </w:p>
    <w:p>
      <w:r>
        <w:rPr>
          <w:sz w:val="17"/>
        </w:rPr>
        <w:t>OPPO, vivo and Honor are operating rivals, with no listed valuation used here. Xiaomi has no A listing. Anker and the ODMs are reference businesses, with the differences above; Transsion’s own A comparison is on page 2.</w:t>
      </w:r>
    </w:p>
    <w:p>
      <w:pPr>
        <w:pStyle w:val="Caption"/>
      </w:pPr>
      <w:r>
        <w:t>Financial reconciliation in RMB billions except margins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2376"/>
        <w:gridCol w:w="1627"/>
        <w:gridCol w:w="1728"/>
        <w:gridCol w:w="4277"/>
      </w:tblGrid>
      <w:tr>
        <w:trPr>
          <w:tblHeader/>
          <w:cantSplit/>
        </w:trPr>
        <w:tc>
          <w:tcPr>
            <w:tcW w:type="dxa" w:w="2376"/>
            <w:vAlign w:val="center"/>
            <w:shd w:fill="233B53"/>
          </w:tcPr>
          <w:p>
            <w:pPr>
              <w:spacing w:after="0" w:before="0" w:line="250" w:lineRule="auto"/>
              <w:jc w:val="left"/>
            </w:pPr>
            <w:r>
              <w:rPr>
                <w:rFonts w:ascii="Arial" w:hAnsi="Arial"/>
                <w:b/>
                <w:color w:val="FFFFFF"/>
                <w:sz w:val="19"/>
              </w:rPr>
              <w:t>Metric</w:t>
            </w:r>
          </w:p>
        </w:tc>
        <w:tc>
          <w:tcPr>
            <w:tcW w:type="dxa" w:w="1627"/>
            <w:vAlign w:val="center"/>
            <w:shd w:fill="233B53"/>
          </w:tcPr>
          <w:p>
            <w:pPr>
              <w:spacing w:after="0" w:before="0" w:line="250" w:lineRule="auto"/>
              <w:jc w:val="center"/>
            </w:pPr>
            <w:r>
              <w:rPr>
                <w:rFonts w:ascii="Arial" w:hAnsi="Arial"/>
                <w:b/>
                <w:color w:val="FFFFFF"/>
                <w:sz w:val="19"/>
              </w:rPr>
              <w:t>FY25 or Dec25</w:t>
            </w:r>
          </w:p>
        </w:tc>
        <w:tc>
          <w:tcPr>
            <w:tcW w:type="dxa" w:w="1728"/>
            <w:vAlign w:val="center"/>
            <w:shd w:fill="233B53"/>
          </w:tcPr>
          <w:p>
            <w:pPr>
              <w:spacing w:after="0" w:before="0" w:line="250" w:lineRule="auto"/>
              <w:jc w:val="center"/>
            </w:pPr>
            <w:r>
              <w:rPr>
                <w:rFonts w:ascii="Arial" w:hAnsi="Arial"/>
                <w:b/>
                <w:color w:val="FFFFFF"/>
                <w:sz w:val="19"/>
              </w:rPr>
              <w:t>H1 or Jun26</w:t>
            </w:r>
          </w:p>
        </w:tc>
        <w:tc>
          <w:tcPr>
            <w:tcW w:type="dxa" w:w="4277"/>
            <w:vAlign w:val="center"/>
            <w:shd w:fill="233B53"/>
          </w:tcPr>
          <w:p>
            <w:pPr>
              <w:spacing w:after="0" w:before="0" w:line="250" w:lineRule="auto"/>
              <w:jc w:val="left"/>
            </w:pPr>
            <w:r>
              <w:rPr>
                <w:rFonts w:ascii="Arial" w:hAnsi="Arial"/>
                <w:b/>
                <w:color w:val="FFFFFF"/>
                <w:sz w:val="19"/>
              </w:rPr>
              <w:t>Interpretation</w:t>
            </w:r>
          </w:p>
        </w:tc>
      </w:tr>
      <w:tr>
        <w:trPr>
          <w:cantSplit/>
        </w:trPr>
        <w:tc>
          <w:tcPr>
            <w:tcW w:type="dxa" w:w="2376"/>
            <w:vAlign w:val="center"/>
            <w:shd w:fill="FFFFFF"/>
          </w:tcPr>
          <w:p>
            <w:pPr>
              <w:spacing w:after="0" w:before="0" w:line="250" w:lineRule="auto"/>
              <w:jc w:val="left"/>
            </w:pPr>
            <w:r>
              <w:rPr>
                <w:rFonts w:ascii="Arial" w:hAnsi="Arial"/>
                <w:b w:val="0"/>
                <w:color w:val="000000"/>
                <w:sz w:val="19"/>
              </w:rPr>
              <w:t>Owner profit</w:t>
            </w:r>
          </w:p>
        </w:tc>
        <w:tc>
          <w:tcPr>
            <w:tcW w:type="dxa" w:w="1627"/>
            <w:vAlign w:val="center"/>
            <w:shd w:fill="FFFFFF"/>
          </w:tcPr>
          <w:p>
            <w:pPr>
              <w:spacing w:after="0" w:before="0" w:line="250" w:lineRule="auto"/>
              <w:jc w:val="center"/>
            </w:pPr>
            <w:r>
              <w:rPr>
                <w:rFonts w:ascii="Arial" w:hAnsi="Arial"/>
                <w:b w:val="0"/>
                <w:color w:val="000000"/>
                <w:sz w:val="19"/>
              </w:rPr>
              <w:t>2.581</w:t>
            </w:r>
          </w:p>
        </w:tc>
        <w:tc>
          <w:tcPr>
            <w:tcW w:type="dxa" w:w="1728"/>
            <w:vAlign w:val="center"/>
            <w:shd w:fill="FFFFFF"/>
          </w:tcPr>
          <w:p>
            <w:pPr>
              <w:spacing w:after="0" w:before="0" w:line="250" w:lineRule="auto"/>
              <w:jc w:val="center"/>
            </w:pPr>
            <w:r>
              <w:rPr>
                <w:rFonts w:ascii="Arial" w:hAnsi="Arial"/>
                <w:b w:val="0"/>
                <w:color w:val="000000"/>
                <w:sz w:val="19"/>
              </w:rPr>
              <w:t>1.773</w:t>
            </w:r>
          </w:p>
        </w:tc>
        <w:tc>
          <w:tcPr>
            <w:tcW w:type="dxa" w:w="4277"/>
            <w:vAlign w:val="center"/>
            <w:shd w:fill="FFFFFF"/>
          </w:tcPr>
          <w:p>
            <w:pPr>
              <w:spacing w:after="0" w:before="0" w:line="250" w:lineRule="auto"/>
              <w:jc w:val="left"/>
            </w:pPr>
            <w:r>
              <w:rPr>
                <w:rFonts w:ascii="Arial" w:hAnsi="Arial"/>
                <w:b w:val="0"/>
                <w:color w:val="000000"/>
                <w:sz w:val="19"/>
              </w:rPr>
              <w:t>P/E uses owner profit; FY25 net profit including minorities was 2.605</w:t>
            </w:r>
          </w:p>
        </w:tc>
      </w:tr>
      <w:tr>
        <w:trPr>
          <w:cantSplit/>
        </w:trPr>
        <w:tc>
          <w:tcPr>
            <w:tcW w:type="dxa" w:w="2376"/>
            <w:vAlign w:val="center"/>
            <w:shd w:fill="EEF3F7"/>
          </w:tcPr>
          <w:p>
            <w:pPr>
              <w:spacing w:after="0" w:before="0" w:line="250" w:lineRule="auto"/>
              <w:jc w:val="left"/>
            </w:pPr>
            <w:r>
              <w:rPr>
                <w:rFonts w:ascii="Arial" w:hAnsi="Arial"/>
                <w:b w:val="0"/>
                <w:color w:val="000000"/>
                <w:sz w:val="19"/>
              </w:rPr>
              <w:t>Group margin A / H basis</w:t>
            </w:r>
          </w:p>
        </w:tc>
        <w:tc>
          <w:tcPr>
            <w:tcW w:type="dxa" w:w="1627"/>
            <w:vAlign w:val="center"/>
            <w:shd w:fill="EEF3F7"/>
          </w:tcPr>
          <w:p>
            <w:pPr>
              <w:spacing w:after="0" w:before="0" w:line="250" w:lineRule="auto"/>
              <w:jc w:val="center"/>
            </w:pPr>
            <w:r>
              <w:rPr>
                <w:rFonts w:ascii="Arial" w:hAnsi="Arial"/>
                <w:b w:val="0"/>
                <w:color w:val="000000"/>
                <w:sz w:val="19"/>
              </w:rPr>
              <w:t>19.15% / 18.72%</w:t>
            </w:r>
          </w:p>
        </w:tc>
        <w:tc>
          <w:tcPr>
            <w:tcW w:type="dxa" w:w="1728"/>
            <w:vAlign w:val="center"/>
            <w:shd w:fill="EEF3F7"/>
          </w:tcPr>
          <w:p>
            <w:pPr>
              <w:spacing w:after="0" w:before="0" w:line="250" w:lineRule="auto"/>
              <w:jc w:val="center"/>
            </w:pPr>
            <w:r>
              <w:rPr>
                <w:rFonts w:ascii="Arial" w:hAnsi="Arial"/>
                <w:b w:val="0"/>
                <w:color w:val="000000"/>
                <w:sz w:val="19"/>
              </w:rPr>
              <w:t>22.63% / 21.58%</w:t>
            </w:r>
          </w:p>
        </w:tc>
        <w:tc>
          <w:tcPr>
            <w:tcW w:type="dxa" w:w="4277"/>
            <w:vAlign w:val="center"/>
            <w:shd w:fill="EEF3F7"/>
          </w:tcPr>
          <w:p>
            <w:pPr>
              <w:spacing w:after="0" w:before="0" w:line="250" w:lineRule="auto"/>
              <w:jc w:val="left"/>
            </w:pPr>
            <w:r>
              <w:rPr>
                <w:rFonts w:ascii="Arial" w:hAnsi="Arial"/>
                <w:b w:val="0"/>
                <w:color w:val="000000"/>
                <w:sz w:val="19"/>
              </w:rPr>
              <w:t>Different inventory impairment presentation</w:t>
            </w:r>
          </w:p>
        </w:tc>
      </w:tr>
      <w:tr>
        <w:trPr>
          <w:cantSplit/>
        </w:trPr>
        <w:tc>
          <w:tcPr>
            <w:tcW w:type="dxa" w:w="2376"/>
            <w:vAlign w:val="center"/>
            <w:shd w:fill="FFFFFF"/>
          </w:tcPr>
          <w:p>
            <w:pPr>
              <w:spacing w:after="0" w:before="0" w:line="250" w:lineRule="auto"/>
              <w:jc w:val="left"/>
            </w:pPr>
            <w:r>
              <w:rPr>
                <w:rFonts w:ascii="Arial" w:hAnsi="Arial"/>
                <w:b w:val="0"/>
                <w:color w:val="000000"/>
                <w:sz w:val="19"/>
              </w:rPr>
              <w:t>Net inventory</w:t>
            </w:r>
          </w:p>
        </w:tc>
        <w:tc>
          <w:tcPr>
            <w:tcW w:type="dxa" w:w="1627"/>
            <w:vAlign w:val="center"/>
            <w:shd w:fill="FFFFFF"/>
          </w:tcPr>
          <w:p>
            <w:pPr>
              <w:spacing w:after="0" w:before="0" w:line="250" w:lineRule="auto"/>
              <w:jc w:val="center"/>
            </w:pPr>
            <w:r>
              <w:rPr>
                <w:rFonts w:ascii="Arial" w:hAnsi="Arial"/>
                <w:b w:val="0"/>
                <w:color w:val="000000"/>
                <w:sz w:val="19"/>
              </w:rPr>
              <w:t>8.90</w:t>
            </w:r>
          </w:p>
        </w:tc>
        <w:tc>
          <w:tcPr>
            <w:tcW w:type="dxa" w:w="1728"/>
            <w:vAlign w:val="center"/>
            <w:shd w:fill="FFFFFF"/>
          </w:tcPr>
          <w:p>
            <w:pPr>
              <w:spacing w:after="0" w:before="0" w:line="250" w:lineRule="auto"/>
              <w:jc w:val="center"/>
            </w:pPr>
            <w:r>
              <w:rPr>
                <w:rFonts w:ascii="Arial" w:hAnsi="Arial"/>
                <w:b w:val="0"/>
                <w:color w:val="000000"/>
                <w:sz w:val="19"/>
              </w:rPr>
              <w:t>18.94</w:t>
            </w:r>
          </w:p>
        </w:tc>
        <w:tc>
          <w:tcPr>
            <w:tcW w:type="dxa" w:w="4277"/>
            <w:vAlign w:val="center"/>
            <w:shd w:fill="FFFFFF"/>
          </w:tcPr>
          <w:p>
            <w:pPr>
              <w:spacing w:after="0" w:before="0" w:line="250" w:lineRule="auto"/>
              <w:jc w:val="left"/>
            </w:pPr>
            <w:r>
              <w:rPr>
                <w:rFonts w:ascii="Arial" w:hAnsi="Arial"/>
                <w:b w:val="0"/>
                <w:color w:val="000000"/>
                <w:sz w:val="19"/>
              </w:rPr>
              <w:t>Raw materials +6.25; finished goods +1.69</w:t>
            </w:r>
          </w:p>
        </w:tc>
      </w:tr>
      <w:tr>
        <w:trPr>
          <w:cantSplit/>
        </w:trPr>
        <w:tc>
          <w:tcPr>
            <w:tcW w:type="dxa" w:w="2376"/>
            <w:vAlign w:val="center"/>
            <w:shd w:fill="EEF3F7"/>
          </w:tcPr>
          <w:p>
            <w:pPr>
              <w:spacing w:after="0" w:before="0" w:line="250" w:lineRule="auto"/>
              <w:jc w:val="left"/>
            </w:pPr>
            <w:r>
              <w:rPr>
                <w:rFonts w:ascii="Arial" w:hAnsi="Arial"/>
                <w:b w:val="0"/>
                <w:color w:val="000000"/>
                <w:sz w:val="19"/>
              </w:rPr>
              <w:t>Raw materials</w:t>
            </w:r>
          </w:p>
        </w:tc>
        <w:tc>
          <w:tcPr>
            <w:tcW w:type="dxa" w:w="1627"/>
            <w:vAlign w:val="center"/>
            <w:shd w:fill="EEF3F7"/>
          </w:tcPr>
          <w:p>
            <w:pPr>
              <w:spacing w:after="0" w:before="0" w:line="250" w:lineRule="auto"/>
              <w:jc w:val="center"/>
            </w:pPr>
            <w:r>
              <w:rPr>
                <w:rFonts w:ascii="Arial" w:hAnsi="Arial"/>
                <w:b w:val="0"/>
                <w:color w:val="000000"/>
                <w:sz w:val="19"/>
              </w:rPr>
              <w:t>3.72</w:t>
            </w:r>
          </w:p>
        </w:tc>
        <w:tc>
          <w:tcPr>
            <w:tcW w:type="dxa" w:w="1728"/>
            <w:vAlign w:val="center"/>
            <w:shd w:fill="EEF3F7"/>
          </w:tcPr>
          <w:p>
            <w:pPr>
              <w:spacing w:after="0" w:before="0" w:line="250" w:lineRule="auto"/>
              <w:jc w:val="center"/>
            </w:pPr>
            <w:r>
              <w:rPr>
                <w:rFonts w:ascii="Arial" w:hAnsi="Arial"/>
                <w:b w:val="0"/>
                <w:color w:val="000000"/>
                <w:sz w:val="19"/>
              </w:rPr>
              <w:t>9.97</w:t>
            </w:r>
          </w:p>
        </w:tc>
        <w:tc>
          <w:tcPr>
            <w:tcW w:type="dxa" w:w="4277"/>
            <w:vAlign w:val="center"/>
            <w:shd w:fill="EEF3F7"/>
          </w:tcPr>
          <w:p>
            <w:pPr>
              <w:spacing w:after="0" w:before="0" w:line="250" w:lineRule="auto"/>
              <w:jc w:val="left"/>
            </w:pPr>
            <w:r>
              <w:rPr>
                <w:rFonts w:ascii="Arial" w:hAnsi="Arial"/>
                <w:b w:val="0"/>
                <w:color w:val="000000"/>
                <w:sz w:val="19"/>
              </w:rPr>
              <w:t>Memory subset is not separately disclosed</w:t>
            </w:r>
          </w:p>
        </w:tc>
      </w:tr>
      <w:tr>
        <w:trPr>
          <w:cantSplit/>
        </w:trPr>
        <w:tc>
          <w:tcPr>
            <w:tcW w:type="dxa" w:w="2376"/>
            <w:vAlign w:val="center"/>
            <w:shd w:fill="FFFFFF"/>
          </w:tcPr>
          <w:p>
            <w:pPr>
              <w:spacing w:after="0" w:before="0" w:line="250" w:lineRule="auto"/>
              <w:jc w:val="left"/>
            </w:pPr>
            <w:r>
              <w:rPr>
                <w:rFonts w:ascii="Arial" w:hAnsi="Arial"/>
                <w:b w:val="0"/>
                <w:color w:val="000000"/>
                <w:sz w:val="19"/>
              </w:rPr>
              <w:t>Cash / bank loans</w:t>
            </w:r>
          </w:p>
        </w:tc>
        <w:tc>
          <w:tcPr>
            <w:tcW w:type="dxa" w:w="1627"/>
            <w:vAlign w:val="center"/>
            <w:shd w:fill="FFFFFF"/>
          </w:tcPr>
          <w:p>
            <w:pPr>
              <w:spacing w:after="0" w:before="0" w:line="250" w:lineRule="auto"/>
              <w:jc w:val="center"/>
            </w:pPr>
            <w:r>
              <w:rPr>
                <w:rFonts w:ascii="Arial" w:hAnsi="Arial"/>
                <w:b w:val="0"/>
                <w:color w:val="000000"/>
                <w:sz w:val="19"/>
              </w:rPr>
              <w:t>—</w:t>
            </w:r>
          </w:p>
        </w:tc>
        <w:tc>
          <w:tcPr>
            <w:tcW w:type="dxa" w:w="1728"/>
            <w:vAlign w:val="center"/>
            <w:shd w:fill="FFFFFF"/>
          </w:tcPr>
          <w:p>
            <w:pPr>
              <w:spacing w:after="0" w:before="0" w:line="250" w:lineRule="auto"/>
              <w:jc w:val="center"/>
            </w:pPr>
            <w:r>
              <w:rPr>
                <w:rFonts w:ascii="Arial" w:hAnsi="Arial"/>
                <w:b w:val="0"/>
                <w:color w:val="000000"/>
                <w:sz w:val="19"/>
              </w:rPr>
              <w:t>11.64 / 4.01</w:t>
            </w:r>
          </w:p>
        </w:tc>
        <w:tc>
          <w:tcPr>
            <w:tcW w:type="dxa" w:w="4277"/>
            <w:vAlign w:val="center"/>
            <w:shd w:fill="FFFFFF"/>
          </w:tcPr>
          <w:p>
            <w:pPr>
              <w:spacing w:after="0" w:before="0" w:line="250" w:lineRule="auto"/>
              <w:jc w:val="left"/>
            </w:pPr>
            <w:r>
              <w:rPr>
                <w:rFonts w:ascii="Arial" w:hAnsi="Arial"/>
                <w:b w:val="0"/>
                <w:color w:val="000000"/>
                <w:sz w:val="19"/>
              </w:rPr>
              <w:t>Cash buffer remains; debt is not zero</w:t>
            </w:r>
          </w:p>
        </w:tc>
      </w:tr>
    </w:tbl>
    <w:p>
      <w:pPr>
        <w:spacing w:after="0"/>
      </w:pPr>
    </w:p>
    <w:p>
      <w:r>
        <w:rPr>
          <w:b/>
          <w:sz w:val="17"/>
        </w:rPr>
        <w:t>A/H margin reconciliation:</w:t>
      </w:r>
      <w:r>
        <w:rPr>
          <w:sz w:val="17"/>
        </w:rPr>
        <w:t xml:space="preserve"> H cost of sales includes inventory write-downs; A accounts record impairment separately. Net profit is unchanged. FY25 18.43% is the A phone-segment margin, not group margin. H1 other-category margin 29.09% and smartphone margin 21.32% are calculated from A-report revenue/cost, p.142. [1–3]</w:t>
      </w:r>
    </w:p>
    <w:p>
      <w:r>
        <w:rPr>
          <w:b/>
          <w:sz w:val="17"/>
        </w:rPr>
        <w:t>Cash bridge:</w:t>
      </w:r>
      <w:r>
        <w:rPr>
          <w:sz w:val="17"/>
        </w:rPr>
        <w:t xml:space="preserve"> inventory −RMB10.41bn, receivables −1.66bn and payables +3.53bn contributed to −5.86bn OCF. Inventory buying explains much of the outflow, but does not establish that every yuan bought memory. H1 ex-nonrecurring owner profit was RMB1.48bn versus 1.77bn reported. [3]</w:t>
      </w:r>
    </w:p>
    <w:p>
      <w:pPr>
        <w:pStyle w:val="Caption"/>
      </w:pPr>
      <w:r>
        <w:t>Selected cornerstone investors and their investment type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2376"/>
        <w:gridCol w:w="1872"/>
        <w:gridCol w:w="5760"/>
      </w:tblGrid>
      <w:tr>
        <w:trPr>
          <w:tblHeader/>
          <w:cantSplit/>
        </w:trPr>
        <w:tc>
          <w:tcPr>
            <w:tcW w:type="dxa" w:w="2376"/>
            <w:vAlign w:val="center"/>
            <w:shd w:fill="233B53"/>
          </w:tcPr>
          <w:p>
            <w:pPr>
              <w:spacing w:after="0" w:before="0" w:line="250" w:lineRule="auto"/>
              <w:jc w:val="left"/>
            </w:pPr>
            <w:r>
              <w:rPr>
                <w:rFonts w:ascii="Arial" w:hAnsi="Arial"/>
                <w:b/>
                <w:color w:val="FFFFFF"/>
                <w:sz w:val="19"/>
              </w:rPr>
              <w:t>Investor</w:t>
            </w:r>
          </w:p>
        </w:tc>
        <w:tc>
          <w:tcPr>
            <w:tcW w:type="dxa" w:w="1872"/>
            <w:vAlign w:val="center"/>
            <w:shd w:fill="233B53"/>
          </w:tcPr>
          <w:p>
            <w:pPr>
              <w:spacing w:after="0" w:before="0" w:line="250" w:lineRule="auto"/>
              <w:jc w:val="center"/>
            </w:pPr>
            <w:r>
              <w:rPr>
                <w:rFonts w:ascii="Arial" w:hAnsi="Arial"/>
                <w:b/>
                <w:color w:val="FFFFFF"/>
                <w:sz w:val="19"/>
              </w:rPr>
              <w:t>Commitment</w:t>
            </w:r>
          </w:p>
        </w:tc>
        <w:tc>
          <w:tcPr>
            <w:tcW w:type="dxa" w:w="5760"/>
            <w:vAlign w:val="center"/>
            <w:shd w:fill="233B53"/>
          </w:tcPr>
          <w:p>
            <w:pPr>
              <w:spacing w:after="0" w:before="0" w:line="250" w:lineRule="auto"/>
              <w:jc w:val="left"/>
            </w:pPr>
            <w:r>
              <w:rPr>
                <w:rFonts w:ascii="Arial" w:hAnsi="Arial"/>
                <w:b/>
                <w:color w:val="FFFFFF"/>
                <w:sz w:val="19"/>
              </w:rPr>
              <w:t>Type and significance</w:t>
            </w:r>
          </w:p>
        </w:tc>
      </w:tr>
      <w:tr>
        <w:trPr>
          <w:cantSplit/>
        </w:trPr>
        <w:tc>
          <w:tcPr>
            <w:tcW w:type="dxa" w:w="2376"/>
            <w:vAlign w:val="center"/>
            <w:shd w:fill="FFFFFF"/>
          </w:tcPr>
          <w:p>
            <w:pPr>
              <w:spacing w:after="0" w:before="0" w:line="250" w:lineRule="auto"/>
              <w:jc w:val="left"/>
            </w:pPr>
            <w:r>
              <w:rPr>
                <w:rFonts w:ascii="Arial" w:hAnsi="Arial"/>
                <w:b w:val="0"/>
                <w:color w:val="000000"/>
                <w:sz w:val="19"/>
              </w:rPr>
              <w:t>Longsys</w:t>
            </w:r>
          </w:p>
        </w:tc>
        <w:tc>
          <w:tcPr>
            <w:tcW w:type="dxa" w:w="1872"/>
            <w:vAlign w:val="center"/>
            <w:shd w:fill="FFFFFF"/>
          </w:tcPr>
          <w:p>
            <w:pPr>
              <w:spacing w:after="0" w:before="0" w:line="250" w:lineRule="auto"/>
              <w:jc w:val="center"/>
            </w:pPr>
            <w:r>
              <w:rPr>
                <w:rFonts w:ascii="Arial" w:hAnsi="Arial"/>
                <w:b w:val="0"/>
                <w:color w:val="000000"/>
                <w:sz w:val="19"/>
              </w:rPr>
              <w:t>US$30m</w:t>
            </w:r>
          </w:p>
        </w:tc>
        <w:tc>
          <w:tcPr>
            <w:tcW w:type="dxa" w:w="5760"/>
            <w:vAlign w:val="center"/>
            <w:shd w:fill="FFFFFF"/>
          </w:tcPr>
          <w:p>
            <w:pPr>
              <w:spacing w:after="0" w:before="0" w:line="250" w:lineRule="auto"/>
              <w:jc w:val="left"/>
            </w:pPr>
            <w:r>
              <w:rPr>
                <w:rFonts w:ascii="Arial" w:hAnsi="Arial"/>
                <w:b w:val="0"/>
                <w:color w:val="000000"/>
                <w:sz w:val="19"/>
              </w:rPr>
              <w:t>Largest anchor; memory products supplier</w:t>
            </w:r>
          </w:p>
        </w:tc>
      </w:tr>
      <w:tr>
        <w:trPr>
          <w:cantSplit/>
        </w:trPr>
        <w:tc>
          <w:tcPr>
            <w:tcW w:type="dxa" w:w="2376"/>
            <w:vAlign w:val="center"/>
            <w:shd w:fill="EEF3F7"/>
          </w:tcPr>
          <w:p>
            <w:pPr>
              <w:spacing w:after="0" w:before="0" w:line="250" w:lineRule="auto"/>
              <w:jc w:val="left"/>
            </w:pPr>
            <w:r>
              <w:rPr>
                <w:rFonts w:ascii="Arial" w:hAnsi="Arial"/>
                <w:b w:val="0"/>
                <w:color w:val="000000"/>
                <w:sz w:val="19"/>
              </w:rPr>
              <w:t>GoldenLink BYD affiliate</w:t>
            </w:r>
          </w:p>
        </w:tc>
        <w:tc>
          <w:tcPr>
            <w:tcW w:type="dxa" w:w="1872"/>
            <w:vAlign w:val="center"/>
            <w:shd w:fill="EEF3F7"/>
          </w:tcPr>
          <w:p>
            <w:pPr>
              <w:spacing w:after="0" w:before="0" w:line="250" w:lineRule="auto"/>
              <w:jc w:val="center"/>
            </w:pPr>
            <w:r>
              <w:rPr>
                <w:rFonts w:ascii="Arial" w:hAnsi="Arial"/>
                <w:b w:val="0"/>
                <w:color w:val="000000"/>
                <w:sz w:val="19"/>
              </w:rPr>
              <w:t>RMB150m</w:t>
            </w:r>
          </w:p>
        </w:tc>
        <w:tc>
          <w:tcPr>
            <w:tcW w:type="dxa" w:w="5760"/>
            <w:vAlign w:val="center"/>
            <w:shd w:fill="EEF3F7"/>
          </w:tcPr>
          <w:p>
            <w:pPr>
              <w:spacing w:after="0" w:before="0" w:line="250" w:lineRule="auto"/>
              <w:jc w:val="left"/>
            </w:pPr>
            <w:r>
              <w:rPr>
                <w:rFonts w:ascii="Arial" w:hAnsi="Arial"/>
                <w:b w:val="0"/>
                <w:color w:val="000000"/>
                <w:sz w:val="19"/>
              </w:rPr>
              <w:t>Industrial investor; battery/energy adjacency</w:t>
            </w:r>
          </w:p>
        </w:tc>
      </w:tr>
      <w:tr>
        <w:trPr>
          <w:cantSplit/>
        </w:trPr>
        <w:tc>
          <w:tcPr>
            <w:tcW w:type="dxa" w:w="2376"/>
            <w:vAlign w:val="center"/>
            <w:shd w:fill="FFFFFF"/>
          </w:tcPr>
          <w:p>
            <w:pPr>
              <w:spacing w:after="0" w:before="0" w:line="250" w:lineRule="auto"/>
              <w:jc w:val="left"/>
            </w:pPr>
            <w:r>
              <w:rPr>
                <w:rFonts w:ascii="Arial" w:hAnsi="Arial"/>
                <w:b w:val="0"/>
                <w:color w:val="000000"/>
                <w:sz w:val="19"/>
              </w:rPr>
              <w:t>Digimoc MediaTek</w:t>
            </w:r>
          </w:p>
        </w:tc>
        <w:tc>
          <w:tcPr>
            <w:tcW w:type="dxa" w:w="1872"/>
            <w:vAlign w:val="center"/>
            <w:shd w:fill="FFFFFF"/>
          </w:tcPr>
          <w:p>
            <w:pPr>
              <w:spacing w:after="0" w:before="0" w:line="250" w:lineRule="auto"/>
              <w:jc w:val="center"/>
            </w:pPr>
            <w:r>
              <w:rPr>
                <w:rFonts w:ascii="Arial" w:hAnsi="Arial"/>
                <w:b w:val="0"/>
                <w:color w:val="000000"/>
                <w:sz w:val="19"/>
              </w:rPr>
              <w:t>US$9m</w:t>
            </w:r>
          </w:p>
        </w:tc>
        <w:tc>
          <w:tcPr>
            <w:tcW w:type="dxa" w:w="5760"/>
            <w:vAlign w:val="center"/>
            <w:shd w:fill="FFFFFF"/>
          </w:tcPr>
          <w:p>
            <w:pPr>
              <w:spacing w:after="0" w:before="0" w:line="250" w:lineRule="auto"/>
              <w:jc w:val="left"/>
            </w:pPr>
            <w:r>
              <w:rPr>
                <w:rFonts w:ascii="Arial" w:hAnsi="Arial"/>
                <w:b w:val="0"/>
                <w:color w:val="000000"/>
                <w:sz w:val="19"/>
              </w:rPr>
              <w:t>Chip designer; already owned 6.22% before IPO</w:t>
            </w:r>
          </w:p>
        </w:tc>
      </w:tr>
      <w:tr>
        <w:trPr>
          <w:cantSplit/>
        </w:trPr>
        <w:tc>
          <w:tcPr>
            <w:tcW w:type="dxa" w:w="2376"/>
            <w:vAlign w:val="center"/>
            <w:shd w:fill="EEF3F7"/>
          </w:tcPr>
          <w:p>
            <w:pPr>
              <w:spacing w:after="0" w:before="0" w:line="250" w:lineRule="auto"/>
              <w:jc w:val="left"/>
            </w:pPr>
            <w:r>
              <w:rPr>
                <w:rFonts w:ascii="Arial" w:hAnsi="Arial"/>
                <w:b w:val="0"/>
                <w:color w:val="000000"/>
                <w:sz w:val="19"/>
              </w:rPr>
              <w:t>GIC and E Fund</w:t>
            </w:r>
          </w:p>
        </w:tc>
        <w:tc>
          <w:tcPr>
            <w:tcW w:type="dxa" w:w="1872"/>
            <w:vAlign w:val="center"/>
            <w:shd w:fill="EEF3F7"/>
          </w:tcPr>
          <w:p>
            <w:pPr>
              <w:spacing w:after="0" w:before="0" w:line="250" w:lineRule="auto"/>
              <w:jc w:val="center"/>
            </w:pPr>
            <w:r>
              <w:rPr>
                <w:rFonts w:ascii="Arial" w:hAnsi="Arial"/>
                <w:b w:val="0"/>
                <w:color w:val="000000"/>
                <w:sz w:val="19"/>
              </w:rPr>
              <w:t>US$17m / US$16m</w:t>
            </w:r>
          </w:p>
        </w:tc>
        <w:tc>
          <w:tcPr>
            <w:tcW w:type="dxa" w:w="5760"/>
            <w:vAlign w:val="center"/>
            <w:shd w:fill="EEF3F7"/>
          </w:tcPr>
          <w:p>
            <w:pPr>
              <w:spacing w:after="0" w:before="0" w:line="250" w:lineRule="auto"/>
              <w:jc w:val="left"/>
            </w:pPr>
            <w:r>
              <w:rPr>
                <w:rFonts w:ascii="Arial" w:hAnsi="Arial"/>
                <w:b w:val="0"/>
                <w:color w:val="000000"/>
                <w:sz w:val="19"/>
              </w:rPr>
              <w:t>Sovereign investor / asset manager</w:t>
            </w:r>
          </w:p>
        </w:tc>
      </w:tr>
      <w:tr>
        <w:trPr>
          <w:cantSplit/>
        </w:trPr>
        <w:tc>
          <w:tcPr>
            <w:tcW w:type="dxa" w:w="2376"/>
            <w:vAlign w:val="center"/>
            <w:shd w:fill="FFFFFF"/>
          </w:tcPr>
          <w:p>
            <w:pPr>
              <w:spacing w:after="0" w:before="0" w:line="250" w:lineRule="auto"/>
              <w:jc w:val="left"/>
            </w:pPr>
            <w:r>
              <w:rPr>
                <w:rFonts w:ascii="Arial" w:hAnsi="Arial"/>
                <w:b w:val="0"/>
                <w:color w:val="000000"/>
                <w:sz w:val="19"/>
              </w:rPr>
              <w:t>Millennium</w:t>
            </w:r>
          </w:p>
        </w:tc>
        <w:tc>
          <w:tcPr>
            <w:tcW w:type="dxa" w:w="1872"/>
            <w:vAlign w:val="center"/>
            <w:shd w:fill="FFFFFF"/>
          </w:tcPr>
          <w:p>
            <w:pPr>
              <w:spacing w:after="0" w:before="0" w:line="250" w:lineRule="auto"/>
              <w:jc w:val="center"/>
            </w:pPr>
            <w:r>
              <w:rPr>
                <w:rFonts w:ascii="Arial" w:hAnsi="Arial"/>
                <w:b w:val="0"/>
                <w:color w:val="000000"/>
                <w:sz w:val="19"/>
              </w:rPr>
              <w:t>US$15m</w:t>
            </w:r>
          </w:p>
        </w:tc>
        <w:tc>
          <w:tcPr>
            <w:tcW w:type="dxa" w:w="5760"/>
            <w:vAlign w:val="center"/>
            <w:shd w:fill="FFFFFF"/>
          </w:tcPr>
          <w:p>
            <w:pPr>
              <w:spacing w:after="0" w:before="0" w:line="250" w:lineRule="auto"/>
              <w:jc w:val="left"/>
            </w:pPr>
            <w:r>
              <w:rPr>
                <w:rFonts w:ascii="Arial" w:hAnsi="Arial"/>
                <w:b w:val="0"/>
                <w:color w:val="000000"/>
                <w:sz w:val="19"/>
              </w:rPr>
              <w:t>Multi-strategy investment manager</w:t>
            </w:r>
          </w:p>
        </w:tc>
      </w:tr>
      <w:tr>
        <w:trPr>
          <w:cantSplit/>
        </w:trPr>
        <w:tc>
          <w:tcPr>
            <w:tcW w:type="dxa" w:w="2376"/>
            <w:vAlign w:val="center"/>
            <w:shd w:fill="EEF3F7"/>
          </w:tcPr>
          <w:p>
            <w:pPr>
              <w:spacing w:after="0" w:before="0" w:line="250" w:lineRule="auto"/>
              <w:jc w:val="left"/>
            </w:pPr>
            <w:r>
              <w:rPr>
                <w:rFonts w:ascii="Arial" w:hAnsi="Arial"/>
                <w:b w:val="0"/>
                <w:color w:val="000000"/>
                <w:sz w:val="19"/>
              </w:rPr>
              <w:t>Hosin Hong Kong</w:t>
            </w:r>
          </w:p>
        </w:tc>
        <w:tc>
          <w:tcPr>
            <w:tcW w:type="dxa" w:w="1872"/>
            <w:vAlign w:val="center"/>
            <w:shd w:fill="EEF3F7"/>
          </w:tcPr>
          <w:p>
            <w:pPr>
              <w:spacing w:after="0" w:before="0" w:line="250" w:lineRule="auto"/>
              <w:jc w:val="center"/>
            </w:pPr>
            <w:r>
              <w:rPr>
                <w:rFonts w:ascii="Arial" w:hAnsi="Arial"/>
                <w:b w:val="0"/>
                <w:color w:val="000000"/>
                <w:sz w:val="19"/>
              </w:rPr>
              <w:t>HK$40m</w:t>
            </w:r>
          </w:p>
        </w:tc>
        <w:tc>
          <w:tcPr>
            <w:tcW w:type="dxa" w:w="5760"/>
            <w:vAlign w:val="center"/>
            <w:shd w:fill="EEF3F7"/>
          </w:tcPr>
          <w:p>
            <w:pPr>
              <w:spacing w:after="0" w:before="0" w:line="250" w:lineRule="auto"/>
              <w:jc w:val="left"/>
            </w:pPr>
            <w:r>
              <w:rPr>
                <w:rFonts w:ascii="Arial" w:hAnsi="Arial"/>
                <w:b w:val="0"/>
                <w:color w:val="000000"/>
                <w:sz w:val="19"/>
              </w:rPr>
              <w:t>Memory products supplier</w:t>
            </w:r>
          </w:p>
        </w:tc>
      </w:tr>
    </w:tbl>
    <w:p>
      <w:pPr>
        <w:spacing w:after="0"/>
      </w:pPr>
    </w:p>
    <w:p>
      <w:r>
        <w:rPr>
          <w:sz w:val="17"/>
        </w:rPr>
        <w:t>Total commitments, including other anchors, are HK$1.2455bn: 33.62m H shares or 38.8% of the base issue at midpoint. This leaves 53.03m base-offer shares outside cornerstone allocation. Supplier participation does not disclose procurement discounts or guaranteed operating contracts. [1, pp.210–220]</w:t>
      </w:r>
    </w:p>
    <w:p>
      <w:r>
        <w:rPr>
          <w:b/>
          <w:sz w:val="17"/>
        </w:rPr>
        <w:t>Proceeds and payback:</w:t>
      </w:r>
      <w:r>
        <w:rPr>
          <w:sz w:val="17"/>
        </w:rPr>
        <w:t xml:space="preserve"> midpoint net HK$3.12bn; R&amp;D including AI 40%, marketing 30%, internet/IoT 20%, working capital 10%. The IPO principally funds expansion rather than a memory purchase alone. Marketing and AI spending must generate enough profit to offset costs and 7.0% share dilution. [1]</w:t>
      </w:r>
    </w:p>
    <w:p>
      <w:r>
        <w:br w:type="page"/>
      </w:r>
    </w:p>
    <w:p>
      <w:pPr>
        <w:pStyle w:val="Heading1"/>
        <w:keepNext/>
        <w:spacing w:before="160" w:after="100"/>
      </w:pPr>
      <w:r>
        <w:rPr>
          <w:b/>
          <w:sz w:val="23"/>
        </w:rPr>
        <w:t>Source references</w:t>
      </w:r>
    </w:p>
    <w:p>
      <w:r>
        <w:rPr>
          <w:sz w:val="18"/>
        </w:rPr>
        <w:t>Investment arguments from analyst notes, Xueqiu and Niuniu are incorporated into the good and bad points. Company filings establish the financial figures. Forum posts express individual opinions, not a measured retail consensus.</w:t>
      </w:r>
    </w:p>
    <w:p>
      <w:pPr>
        <w:spacing w:after="60" w:line="245" w:lineRule="auto"/>
      </w:pPr>
      <w:r>
        <w:rPr>
          <w:sz w:val="17"/>
        </w:rPr>
        <w:t xml:space="preserve">[1] </w:t>
      </w:r>
      <w:hyperlink r:id="rId9">
        <w:r>
          <w:rPr>
            <w:color w:val="175F99"/>
            <w:u w:val="single"/>
          </w:rPr>
          <w:t>Transsion final prospectus and offer terms</w:t>
        </w:r>
      </w:hyperlink>
    </w:p>
    <w:p>
      <w:pPr>
        <w:spacing w:after="60" w:line="245" w:lineRule="auto"/>
      </w:pPr>
      <w:r>
        <w:rPr>
          <w:sz w:val="17"/>
        </w:rPr>
        <w:t xml:space="preserve">[2] </w:t>
      </w:r>
      <w:hyperlink r:id="rId10">
        <w:r>
          <w:rPr>
            <w:color w:val="175F99"/>
            <w:u w:val="single"/>
          </w:rPr>
          <w:t>Transsion FY2025 annual report</w:t>
        </w:r>
      </w:hyperlink>
    </w:p>
    <w:p>
      <w:pPr>
        <w:spacing w:after="60" w:line="245" w:lineRule="auto"/>
      </w:pPr>
      <w:r>
        <w:rPr>
          <w:sz w:val="17"/>
        </w:rPr>
        <w:t xml:space="preserve">[3] </w:t>
      </w:r>
      <w:hyperlink r:id="rId11">
        <w:r>
          <w:rPr>
            <w:color w:val="175F99"/>
            <w:u w:val="single"/>
          </w:rPr>
          <w:t>Transsion H1 report pp 8 142 143 and financial statements</w:t>
        </w:r>
      </w:hyperlink>
    </w:p>
    <w:p>
      <w:pPr>
        <w:spacing w:after="60" w:line="245" w:lineRule="auto"/>
      </w:pPr>
      <w:r>
        <w:rPr>
          <w:sz w:val="17"/>
        </w:rPr>
        <w:t xml:space="preserve">[4] </w:t>
      </w:r>
      <w:hyperlink r:id="rId12">
        <w:r>
          <w:rPr>
            <w:color w:val="175F99"/>
            <w:u w:val="single"/>
          </w:rPr>
          <w:t>Tonghuashun consensus as of 3 October</w:t>
        </w:r>
      </w:hyperlink>
    </w:p>
    <w:p>
      <w:pPr>
        <w:spacing w:after="60" w:line="245" w:lineRule="auto"/>
      </w:pPr>
      <w:r>
        <w:rPr>
          <w:sz w:val="17"/>
        </w:rPr>
        <w:t xml:space="preserve">[5] </w:t>
      </w:r>
      <w:hyperlink r:id="rId13">
        <w:r>
          <w:rPr>
            <w:color w:val="175F99"/>
            <w:u w:val="single"/>
          </w:rPr>
          <w:t>Kaiyuan H1 results commentary</w:t>
        </w:r>
      </w:hyperlink>
    </w:p>
    <w:p>
      <w:pPr>
        <w:spacing w:after="60" w:line="245" w:lineRule="auto"/>
      </w:pPr>
      <w:r>
        <w:rPr>
          <w:sz w:val="17"/>
        </w:rPr>
        <w:t xml:space="preserve">[6] </w:t>
      </w:r>
      <w:hyperlink r:id="rId14">
        <w:r>
          <w:rPr>
            <w:color w:val="175F99"/>
            <w:u w:val="single"/>
          </w:rPr>
          <w:t>Guolian Minsheng H1 commentary</w:t>
        </w:r>
      </w:hyperlink>
    </w:p>
    <w:p>
      <w:pPr>
        <w:spacing w:after="60" w:line="245" w:lineRule="auto"/>
      </w:pPr>
      <w:r>
        <w:rPr>
          <w:sz w:val="17"/>
        </w:rPr>
        <w:t xml:space="preserve">[7] </w:t>
      </w:r>
      <w:hyperlink r:id="rId15">
        <w:r>
          <w:rPr>
            <w:color w:val="175F99"/>
            <w:u w:val="single"/>
          </w:rPr>
          <w:t>Zhongtai H1 commentary</w:t>
        </w:r>
      </w:hyperlink>
    </w:p>
    <w:p>
      <w:pPr>
        <w:spacing w:after="60" w:line="245" w:lineRule="auto"/>
      </w:pPr>
      <w:r>
        <w:rPr>
          <w:sz w:val="17"/>
        </w:rPr>
        <w:t xml:space="preserve">[8] </w:t>
      </w:r>
      <w:hyperlink r:id="rId16">
        <w:r>
          <w:rPr>
            <w:color w:val="175F99"/>
            <w:u w:val="single"/>
          </w:rPr>
          <w:t>Omdia African smartphone market Q2 2026</w:t>
        </w:r>
      </w:hyperlink>
    </w:p>
    <w:p>
      <w:pPr>
        <w:spacing w:after="60" w:line="245" w:lineRule="auto"/>
      </w:pPr>
      <w:r>
        <w:rPr>
          <w:sz w:val="17"/>
        </w:rPr>
        <w:t xml:space="preserve">[9] </w:t>
      </w:r>
      <w:hyperlink r:id="rId17">
        <w:r>
          <w:rPr>
            <w:color w:val="175F99"/>
            <w:u w:val="single"/>
          </w:rPr>
          <w:t>Ericsson settlement announcement 8 July</w:t>
        </w:r>
      </w:hyperlink>
    </w:p>
    <w:p>
      <w:pPr>
        <w:spacing w:after="60" w:line="245" w:lineRule="auto"/>
      </w:pPr>
      <w:r>
        <w:rPr>
          <w:sz w:val="17"/>
        </w:rPr>
        <w:t xml:space="preserve">[10] </w:t>
      </w:r>
      <w:hyperlink r:id="rId18">
        <w:r>
          <w:rPr>
            <w:color w:val="175F99"/>
            <w:u w:val="single"/>
          </w:rPr>
          <w:t>InterDigital Brazil injunction announcement</w:t>
        </w:r>
      </w:hyperlink>
    </w:p>
    <w:p>
      <w:pPr>
        <w:spacing w:after="60" w:line="245" w:lineRule="auto"/>
      </w:pPr>
      <w:r>
        <w:rPr>
          <w:sz w:val="17"/>
        </w:rPr>
        <w:t xml:space="preserve">[11] </w:t>
      </w:r>
      <w:r>
        <w:rPr>
          <w:sz w:val="17"/>
        </w:rPr>
        <w:t xml:space="preserve">Price and FX inputs   </w:t>
      </w:r>
      <w:hyperlink r:id="rId19">
        <w:r>
          <w:rPr>
            <w:color w:val="175F99"/>
            <w:u w:val="single"/>
          </w:rPr>
          <w:t>Transsion A</w:t>
        </w:r>
      </w:hyperlink>
      <w:r>
        <w:rPr>
          <w:sz w:val="17"/>
        </w:rPr>
        <w:t xml:space="preserve"> | </w:t>
      </w:r>
      <w:hyperlink r:id="rId20">
        <w:r>
          <w:rPr>
            <w:color w:val="175F99"/>
            <w:u w:val="single"/>
          </w:rPr>
          <w:t>CNY HKD</w:t>
        </w:r>
      </w:hyperlink>
      <w:r>
        <w:rPr>
          <w:sz w:val="17"/>
        </w:rPr>
        <w:t xml:space="preserve"> | </w:t>
      </w:r>
      <w:hyperlink r:id="rId21">
        <w:r>
          <w:rPr>
            <w:color w:val="175F99"/>
            <w:u w:val="single"/>
          </w:rPr>
          <w:t>USD HKD</w:t>
        </w:r>
      </w:hyperlink>
    </w:p>
    <w:p>
      <w:pPr>
        <w:spacing w:after="60" w:line="245" w:lineRule="auto"/>
      </w:pPr>
      <w:r>
        <w:rPr>
          <w:sz w:val="17"/>
        </w:rPr>
        <w:t xml:space="preserve">[12] </w:t>
      </w:r>
      <w:hyperlink r:id="rId22">
        <w:r>
          <w:rPr>
            <w:color w:val="175F99"/>
            <w:u w:val="single"/>
          </w:rPr>
          <w:t>Anker H1 report on earnings tariff refunds and fair value</w:t>
        </w:r>
      </w:hyperlink>
    </w:p>
    <w:p>
      <w:pPr>
        <w:spacing w:after="60" w:line="245" w:lineRule="auto"/>
      </w:pPr>
      <w:r>
        <w:rPr>
          <w:sz w:val="17"/>
        </w:rPr>
        <w:t xml:space="preserve">[13] </w:t>
      </w:r>
      <w:hyperlink r:id="rId23">
        <w:r>
          <w:rPr>
            <w:color w:val="175F99"/>
            <w:u w:val="single"/>
          </w:rPr>
          <w:t>Anker share changes 18 September</w:t>
        </w:r>
      </w:hyperlink>
    </w:p>
    <w:p>
      <w:pPr>
        <w:spacing w:after="60" w:line="245" w:lineRule="auto"/>
      </w:pPr>
      <w:r>
        <w:rPr>
          <w:sz w:val="17"/>
        </w:rPr>
        <w:t xml:space="preserve">[14] </w:t>
      </w:r>
      <w:hyperlink r:id="rId24">
        <w:r>
          <w:rPr>
            <w:color w:val="175F99"/>
            <w:u w:val="single"/>
          </w:rPr>
          <w:t>Niuniu 36kr Finance 28 Aug on inventory prices and category growth</w:t>
        </w:r>
      </w:hyperlink>
    </w:p>
    <w:p>
      <w:pPr>
        <w:spacing w:after="60" w:line="245" w:lineRule="auto"/>
      </w:pPr>
      <w:r>
        <w:rPr>
          <w:sz w:val="17"/>
        </w:rPr>
        <w:t xml:space="preserve">[15] </w:t>
      </w:r>
      <w:hyperlink r:id="rId25">
        <w:r>
          <w:rPr>
            <w:color w:val="175F99"/>
            <w:u w:val="single"/>
          </w:rPr>
          <w:t>TECNO CAMON 50 Pro product announcement 5 April on Ella and imaging</w:t>
        </w:r>
      </w:hyperlink>
    </w:p>
    <w:p>
      <w:pPr>
        <w:spacing w:after="60" w:line="245" w:lineRule="auto"/>
      </w:pPr>
      <w:r>
        <w:rPr>
          <w:sz w:val="17"/>
        </w:rPr>
        <w:t xml:space="preserve">[16] </w:t>
      </w:r>
      <w:hyperlink r:id="rId26">
        <w:r>
          <w:rPr>
            <w:color w:val="175F99"/>
            <w:u w:val="single"/>
          </w:rPr>
          <w:t>Issuer H1 earnings preview 20 July on pricing and inventory cost timing</w:t>
        </w:r>
      </w:hyperlink>
    </w:p>
    <w:p>
      <w:pPr>
        <w:spacing w:after="60" w:line="245" w:lineRule="auto"/>
      </w:pPr>
      <w:r>
        <w:rPr>
          <w:sz w:val="17"/>
        </w:rPr>
        <w:t xml:space="preserve">[17] </w:t>
      </w:r>
      <w:hyperlink r:id="rId27">
        <w:r>
          <w:rPr>
            <w:color w:val="175F99"/>
            <w:u w:val="single"/>
          </w:rPr>
          <w:t>Xueqiu Meigu Research 18 Aug on handset economics and AI monetisation</w:t>
        </w:r>
      </w:hyperlink>
    </w:p>
    <w:p>
      <w:pPr>
        <w:spacing w:after="60" w:line="245" w:lineRule="auto"/>
      </w:pPr>
      <w:r>
        <w:rPr>
          <w:sz w:val="17"/>
        </w:rPr>
        <w:t xml:space="preserve">[18] </w:t>
      </w:r>
      <w:hyperlink r:id="rId28">
        <w:r>
          <w:rPr>
            <w:color w:val="175F99"/>
            <w:u w:val="single"/>
          </w:rPr>
          <w:t>Transsion June application Business pp 118 121 135 on upgrades and monetisation</w:t>
        </w:r>
      </w:hyperlink>
    </w:p>
    <w:p>
      <w:pPr>
        <w:spacing w:after="60" w:line="245" w:lineRule="auto"/>
      </w:pPr>
      <w:r>
        <w:rPr>
          <w:sz w:val="17"/>
        </w:rPr>
        <w:t xml:space="preserve">[19] </w:t>
      </w:r>
      <w:hyperlink r:id="rId29">
        <w:r>
          <w:rPr>
            <w:color w:val="175F99"/>
            <w:u w:val="single"/>
          </w:rPr>
          <w:t>Xueqiu investor Chengxinge Xianren 20 Aug on inventory and H2 sustainability</w:t>
        </w:r>
      </w:hyperlink>
    </w:p>
    <w:p>
      <w:pPr>
        <w:pStyle w:val="Heading1"/>
        <w:keepNext/>
        <w:spacing w:before="160" w:after="100"/>
      </w:pPr>
      <w:r>
        <w:rPr>
          <w:b/>
          <w:sz w:val="23"/>
        </w:rPr>
        <w:t>Peer filings and price histories</w:t>
      </w:r>
    </w:p>
    <w:p>
      <w:pPr>
        <w:spacing w:after="100" w:line="245" w:lineRule="auto"/>
      </w:pPr>
      <w:r>
        <w:rPr>
          <w:b/>
          <w:sz w:val="17"/>
        </w:rPr>
        <w:t xml:space="preserve">Xiaomi   </w:t>
      </w:r>
      <w:hyperlink r:id="rId30">
        <w:r>
          <w:rPr>
            <w:color w:val="175F99"/>
            <w:u w:val="single"/>
          </w:rPr>
          <w:t>FY25</w:t>
        </w:r>
      </w:hyperlink>
      <w:r>
        <w:rPr>
          <w:sz w:val="17"/>
        </w:rPr>
        <w:t xml:space="preserve"> | </w:t>
      </w:r>
      <w:hyperlink r:id="rId31">
        <w:r>
          <w:rPr>
            <w:color w:val="175F99"/>
            <w:u w:val="single"/>
          </w:rPr>
          <w:t>H1</w:t>
        </w:r>
      </w:hyperlink>
      <w:r>
        <w:rPr>
          <w:sz w:val="17"/>
        </w:rPr>
        <w:t xml:space="preserve"> | </w:t>
      </w:r>
      <w:hyperlink r:id="rId32">
        <w:r>
          <w:rPr>
            <w:color w:val="175F99"/>
            <w:u w:val="single"/>
          </w:rPr>
          <w:t>H close</w:t>
        </w:r>
      </w:hyperlink>
    </w:p>
    <w:p>
      <w:pPr>
        <w:spacing w:after="100" w:line="245" w:lineRule="auto"/>
      </w:pPr>
      <w:r>
        <w:rPr>
          <w:b/>
          <w:sz w:val="17"/>
        </w:rPr>
        <w:t xml:space="preserve">Anker   </w:t>
      </w:r>
      <w:hyperlink r:id="rId33">
        <w:r>
          <w:rPr>
            <w:color w:val="175F99"/>
            <w:u w:val="single"/>
          </w:rPr>
          <w:t>FY25</w:t>
        </w:r>
      </w:hyperlink>
      <w:r>
        <w:rPr>
          <w:sz w:val="17"/>
        </w:rPr>
        <w:t xml:space="preserve"> | </w:t>
      </w:r>
      <w:hyperlink r:id="rId22">
        <w:r>
          <w:rPr>
            <w:color w:val="175F99"/>
            <w:u w:val="single"/>
          </w:rPr>
          <w:t>H1</w:t>
        </w:r>
      </w:hyperlink>
      <w:r>
        <w:rPr>
          <w:sz w:val="17"/>
        </w:rPr>
        <w:t xml:space="preserve"> | </w:t>
      </w:r>
      <w:hyperlink r:id="rId34">
        <w:r>
          <w:rPr>
            <w:color w:val="175F99"/>
            <w:u w:val="single"/>
          </w:rPr>
          <w:t>A close</w:t>
        </w:r>
      </w:hyperlink>
      <w:r>
        <w:rPr>
          <w:sz w:val="17"/>
        </w:rPr>
        <w:t xml:space="preserve"> | </w:t>
      </w:r>
      <w:hyperlink r:id="rId35">
        <w:r>
          <w:rPr>
            <w:color w:val="175F99"/>
            <w:u w:val="single"/>
          </w:rPr>
          <w:t>H close</w:t>
        </w:r>
      </w:hyperlink>
    </w:p>
    <w:p>
      <w:pPr>
        <w:spacing w:after="100" w:line="245" w:lineRule="auto"/>
      </w:pPr>
      <w:r>
        <w:rPr>
          <w:b/>
          <w:sz w:val="17"/>
        </w:rPr>
        <w:t xml:space="preserve">Lenovo   </w:t>
      </w:r>
      <w:hyperlink r:id="rId36">
        <w:r>
          <w:rPr>
            <w:color w:val="175F99"/>
            <w:u w:val="single"/>
          </w:rPr>
          <w:t>FY to Mar26</w:t>
        </w:r>
      </w:hyperlink>
      <w:r>
        <w:rPr>
          <w:sz w:val="17"/>
        </w:rPr>
        <w:t xml:space="preserve"> | </w:t>
      </w:r>
      <w:hyperlink r:id="rId37">
        <w:r>
          <w:rPr>
            <w:color w:val="175F99"/>
            <w:u w:val="single"/>
          </w:rPr>
          <w:t>Jun quarter</w:t>
        </w:r>
      </w:hyperlink>
      <w:r>
        <w:rPr>
          <w:sz w:val="17"/>
        </w:rPr>
        <w:t xml:space="preserve"> | </w:t>
      </w:r>
      <w:hyperlink r:id="rId38">
        <w:r>
          <w:rPr>
            <w:color w:val="175F99"/>
            <w:u w:val="single"/>
          </w:rPr>
          <w:t>Shares</w:t>
        </w:r>
      </w:hyperlink>
      <w:r>
        <w:rPr>
          <w:sz w:val="17"/>
        </w:rPr>
        <w:t xml:space="preserve"> | </w:t>
      </w:r>
      <w:hyperlink r:id="rId39">
        <w:r>
          <w:rPr>
            <w:color w:val="175F99"/>
            <w:u w:val="single"/>
          </w:rPr>
          <w:t>H close</w:t>
        </w:r>
      </w:hyperlink>
    </w:p>
    <w:p>
      <w:pPr>
        <w:spacing w:after="100" w:line="245" w:lineRule="auto"/>
      </w:pPr>
      <w:r>
        <w:rPr>
          <w:b/>
          <w:sz w:val="17"/>
        </w:rPr>
        <w:t xml:space="preserve">ZTE   </w:t>
      </w:r>
      <w:hyperlink r:id="rId40">
        <w:r>
          <w:rPr>
            <w:color w:val="175F99"/>
            <w:u w:val="single"/>
          </w:rPr>
          <w:t>FY25</w:t>
        </w:r>
      </w:hyperlink>
      <w:r>
        <w:rPr>
          <w:sz w:val="17"/>
        </w:rPr>
        <w:t xml:space="preserve"> | </w:t>
      </w:r>
      <w:hyperlink r:id="rId41">
        <w:r>
          <w:rPr>
            <w:color w:val="175F99"/>
            <w:u w:val="single"/>
          </w:rPr>
          <w:t>H1</w:t>
        </w:r>
      </w:hyperlink>
      <w:r>
        <w:rPr>
          <w:sz w:val="17"/>
        </w:rPr>
        <w:t xml:space="preserve"> | </w:t>
      </w:r>
      <w:hyperlink r:id="rId42">
        <w:r>
          <w:rPr>
            <w:color w:val="175F99"/>
            <w:u w:val="single"/>
          </w:rPr>
          <w:t>A close</w:t>
        </w:r>
      </w:hyperlink>
      <w:r>
        <w:rPr>
          <w:sz w:val="17"/>
        </w:rPr>
        <w:t xml:space="preserve"> | </w:t>
      </w:r>
      <w:hyperlink r:id="rId43">
        <w:r>
          <w:rPr>
            <w:color w:val="175F99"/>
            <w:u w:val="single"/>
          </w:rPr>
          <w:t>H close</w:t>
        </w:r>
      </w:hyperlink>
    </w:p>
    <w:p>
      <w:pPr>
        <w:spacing w:after="100" w:line="245" w:lineRule="auto"/>
      </w:pPr>
      <w:r>
        <w:rPr>
          <w:b/>
          <w:sz w:val="17"/>
        </w:rPr>
        <w:t xml:space="preserve">Huaqin   </w:t>
      </w:r>
      <w:hyperlink r:id="rId44">
        <w:r>
          <w:rPr>
            <w:color w:val="175F99"/>
            <w:u w:val="single"/>
          </w:rPr>
          <w:t>FY25</w:t>
        </w:r>
      </w:hyperlink>
      <w:r>
        <w:rPr>
          <w:sz w:val="17"/>
        </w:rPr>
        <w:t xml:space="preserve"> | </w:t>
      </w:r>
      <w:hyperlink r:id="rId45">
        <w:r>
          <w:rPr>
            <w:color w:val="175F99"/>
            <w:u w:val="single"/>
          </w:rPr>
          <w:t>H1</w:t>
        </w:r>
      </w:hyperlink>
      <w:r>
        <w:rPr>
          <w:sz w:val="17"/>
        </w:rPr>
        <w:t xml:space="preserve"> | </w:t>
      </w:r>
      <w:hyperlink r:id="rId46">
        <w:r>
          <w:rPr>
            <w:color w:val="175F99"/>
            <w:u w:val="single"/>
          </w:rPr>
          <w:t>A close</w:t>
        </w:r>
      </w:hyperlink>
      <w:r>
        <w:rPr>
          <w:sz w:val="17"/>
        </w:rPr>
        <w:t xml:space="preserve"> | </w:t>
      </w:r>
      <w:hyperlink r:id="rId47">
        <w:r>
          <w:rPr>
            <w:color w:val="175F99"/>
            <w:u w:val="single"/>
          </w:rPr>
          <w:t>H close</w:t>
        </w:r>
      </w:hyperlink>
    </w:p>
    <w:p>
      <w:pPr>
        <w:spacing w:after="100" w:line="245" w:lineRule="auto"/>
      </w:pPr>
      <w:r>
        <w:rPr>
          <w:b/>
          <w:sz w:val="17"/>
        </w:rPr>
        <w:t xml:space="preserve">Longcheer   </w:t>
      </w:r>
      <w:hyperlink r:id="rId48">
        <w:r>
          <w:rPr>
            <w:color w:val="175F99"/>
            <w:u w:val="single"/>
          </w:rPr>
          <w:t>FY25</w:t>
        </w:r>
      </w:hyperlink>
      <w:r>
        <w:rPr>
          <w:sz w:val="17"/>
        </w:rPr>
        <w:t xml:space="preserve"> | </w:t>
      </w:r>
      <w:hyperlink r:id="rId49">
        <w:r>
          <w:rPr>
            <w:color w:val="175F99"/>
            <w:u w:val="single"/>
          </w:rPr>
          <w:t>H1</w:t>
        </w:r>
      </w:hyperlink>
      <w:r>
        <w:rPr>
          <w:sz w:val="17"/>
        </w:rPr>
        <w:t xml:space="preserve"> | </w:t>
      </w:r>
      <w:hyperlink r:id="rId50">
        <w:r>
          <w:rPr>
            <w:color w:val="175F99"/>
            <w:u w:val="single"/>
          </w:rPr>
          <w:t>A close</w:t>
        </w:r>
      </w:hyperlink>
      <w:r>
        <w:rPr>
          <w:sz w:val="17"/>
        </w:rPr>
        <w:t xml:space="preserve"> | </w:t>
      </w:r>
      <w:hyperlink r:id="rId51">
        <w:r>
          <w:rPr>
            <w:color w:val="175F99"/>
            <w:u w:val="single"/>
          </w:rPr>
          <w:t>H close</w:t>
        </w:r>
      </w:hyperlink>
    </w:p>
    <w:p>
      <w:pPr>
        <w:spacing w:after="100" w:line="245" w:lineRule="auto"/>
      </w:pPr>
      <w:r>
        <w:rPr>
          <w:b/>
          <w:sz w:val="17"/>
        </w:rPr>
        <w:t xml:space="preserve">BYD Electronic   </w:t>
      </w:r>
      <w:hyperlink r:id="rId52">
        <w:r>
          <w:rPr>
            <w:color w:val="175F99"/>
            <w:u w:val="single"/>
          </w:rPr>
          <w:t>FY25</w:t>
        </w:r>
      </w:hyperlink>
      <w:r>
        <w:rPr>
          <w:sz w:val="17"/>
        </w:rPr>
        <w:t xml:space="preserve"> | </w:t>
      </w:r>
      <w:hyperlink r:id="rId53">
        <w:r>
          <w:rPr>
            <w:color w:val="175F99"/>
            <w:u w:val="single"/>
          </w:rPr>
          <w:t>H1</w:t>
        </w:r>
      </w:hyperlink>
      <w:r>
        <w:rPr>
          <w:sz w:val="17"/>
        </w:rPr>
        <w:t xml:space="preserve"> | </w:t>
      </w:r>
      <w:hyperlink r:id="rId54">
        <w:r>
          <w:rPr>
            <w:color w:val="175F99"/>
            <w:u w:val="single"/>
          </w:rPr>
          <w:t>H close</w:t>
        </w:r>
      </w:hyperlink>
    </w:p>
    <w:p>
      <w:pPr>
        <w:spacing w:after="100" w:line="245" w:lineRule="auto"/>
      </w:pPr>
      <w:r>
        <w:rPr>
          <w:b/>
          <w:sz w:val="17"/>
        </w:rPr>
        <w:t xml:space="preserve">Sunny Optical   </w:t>
      </w:r>
      <w:hyperlink r:id="rId55">
        <w:r>
          <w:rPr>
            <w:color w:val="175F99"/>
            <w:u w:val="single"/>
          </w:rPr>
          <w:t>FY25</w:t>
        </w:r>
      </w:hyperlink>
      <w:r>
        <w:rPr>
          <w:sz w:val="17"/>
        </w:rPr>
        <w:t xml:space="preserve"> | </w:t>
      </w:r>
      <w:hyperlink r:id="rId56">
        <w:r>
          <w:rPr>
            <w:color w:val="175F99"/>
            <w:u w:val="single"/>
          </w:rPr>
          <w:t>H1</w:t>
        </w:r>
      </w:hyperlink>
      <w:r>
        <w:rPr>
          <w:sz w:val="17"/>
        </w:rPr>
        <w:t xml:space="preserve"> | </w:t>
      </w:r>
      <w:hyperlink r:id="rId57">
        <w:r>
          <w:rPr>
            <w:color w:val="175F99"/>
            <w:u w:val="single"/>
          </w:rPr>
          <w:t>H close</w:t>
        </w:r>
      </w:hyperlink>
    </w:p>
    <w:sectPr w:rsidR="00FC693F" w:rsidRPr="0006063C" w:rsidSect="00034616">
      <w:footerReference w:type="default" r:id="rId58"/>
      <w:pgSz w:w="11905" w:h="16838"/>
      <w:pgMar w:top="893" w:right="936" w:bottom="893" w:left="936"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8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PingFang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PingFang SC"/>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00"/>
    </w:pPr>
    <w:rPr>
      <w:rFonts w:ascii="Arial" w:hAnsi="Arial" w:eastAsia="PingFang SC"/>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1.hkexnews.hk/listedco/listconews/sehk/2026/1007/2026100700008_c.pdf" TargetMode="External"/><Relationship Id="rId10" Type="http://schemas.openxmlformats.org/officeDocument/2006/relationships/hyperlink" Target="https://stockmc.xueqiu.com/202603/688036_20260328_3XNE.pdf" TargetMode="External"/><Relationship Id="rId11" Type="http://schemas.openxmlformats.org/officeDocument/2006/relationships/hyperlink" Target="https://file.finance.sina.com.cn/211.154.219.97%3A9494/MRGG/CNSESH_STOCK/2026/2026-8/2026-08-18/12497971.PDF" TargetMode="External"/><Relationship Id="rId12" Type="http://schemas.openxmlformats.org/officeDocument/2006/relationships/hyperlink" Target="https://basic.10jqka.com.cn/688036/worth.html" TargetMode="External"/><Relationship Id="rId13" Type="http://schemas.openxmlformats.org/officeDocument/2006/relationships/hyperlink" Target="https://data.eastmoney.com/report/info/AP202608191828142060.html" TargetMode="External"/><Relationship Id="rId14" Type="http://schemas.openxmlformats.org/officeDocument/2006/relationships/hyperlink" Target="https://stock.finance.sina.com.cn/stock/go.php/vReport_Show/kind/search/rptid/840635377506/index.phtml" TargetMode="External"/><Relationship Id="rId15" Type="http://schemas.openxmlformats.org/officeDocument/2006/relationships/hyperlink" Target="https://quote.cfi.cn/ybdata.aspx?id=20260820000148" TargetMode="External"/><Relationship Id="rId16" Type="http://schemas.openxmlformats.org/officeDocument/2006/relationships/hyperlink" Target="https://omdia.tech.informa.com/pr/2026/aug/africa-smartphone-market-expected-to-decline-26percent-in-2026-following-first-contraction-in-three-years" TargetMode="External"/><Relationship Id="rId17" Type="http://schemas.openxmlformats.org/officeDocument/2006/relationships/hyperlink" Target="https://www.ericsson.com/en/news/2026/7/ericsson-and-transsion-settle-global-patent-litigation" TargetMode="External"/><Relationship Id="rId18" Type="http://schemas.openxmlformats.org/officeDocument/2006/relationships/hyperlink" Target="https://ir.interdigital.com/news-events/press-releases/news-details/2026/InterDigital-awarded-injunction-against-Transsion/default.aspx" TargetMode="External"/><Relationship Id="rId19" Type="http://schemas.openxmlformats.org/officeDocument/2006/relationships/hyperlink" Target="https://www.futunn.com/stock/688036-SH" TargetMode="External"/><Relationship Id="rId20" Type="http://schemas.openxmlformats.org/officeDocument/2006/relationships/hyperlink" Target="https://www.exchangerates.org.uk/CNY-HKD-exchange-rate-history.html" TargetMode="External"/><Relationship Id="rId21" Type="http://schemas.openxmlformats.org/officeDocument/2006/relationships/hyperlink" Target="https://ycharts.com/indicators/us_dollar_to_hong_kong_dollar_exchange_rate" TargetMode="External"/><Relationship Id="rId22" Type="http://schemas.openxmlformats.org/officeDocument/2006/relationships/hyperlink" Target="https://static.cninfo.com.cn/finalpage/2026-08-31/1225533054.PDF" TargetMode="External"/><Relationship Id="rId23" Type="http://schemas.openxmlformats.org/officeDocument/2006/relationships/hyperlink" Target="https://file.finance.sina.com.cn/211.154.219.97%3A9494/MRGG/CNSESZ_STOCK/2026/2026-9/2026-09-18/12611848.PDF" TargetMode="External"/><Relationship Id="rId24" Type="http://schemas.openxmlformats.org/officeDocument/2006/relationships/hyperlink" Target="https://q.futunn.com/feed/117172557579044" TargetMode="External"/><Relationship Id="rId25" Type="http://schemas.openxmlformats.org/officeDocument/2006/relationships/hyperlink" Target="https://www.tecno-mobile.com/pak/news/tecno-camon-50-pro-pakistan-ai-60x-zoom-flashsnap-launch/" TargetMode="External"/><Relationship Id="rId26" Type="http://schemas.openxmlformats.org/officeDocument/2006/relationships/hyperlink" Target="https://static.cninfo.com.cn/finalpage/2026-07-20/1225431511.PDF" TargetMode="External"/><Relationship Id="rId27" Type="http://schemas.openxmlformats.org/officeDocument/2006/relationships/hyperlink" Target="https://xueqiu.com/3582153332/405502607" TargetMode="External"/><Relationship Id="rId28" Type="http://schemas.openxmlformats.org/officeDocument/2006/relationships/hyperlink" Target="https://www.hkexnews.hk/app/sehk/2026/108656/a134253/sehk26061801864.pdf" TargetMode="External"/><Relationship Id="rId29" Type="http://schemas.openxmlformats.org/officeDocument/2006/relationships/hyperlink" Target="https://xueqiu.com/1044320424/405823503" TargetMode="External"/><Relationship Id="rId30" Type="http://schemas.openxmlformats.org/officeDocument/2006/relationships/hyperlink" Target="https://financialfilings.com/filings/xiaomi-corporation/annual-report/2026/37918501/" TargetMode="External"/><Relationship Id="rId31" Type="http://schemas.openxmlformats.org/officeDocument/2006/relationships/hyperlink" Target="https://ir.mi.com/static-files/b903a881-8143-44a3-b759-703653bbb043" TargetMode="External"/><Relationship Id="rId32" Type="http://schemas.openxmlformats.org/officeDocument/2006/relationships/hyperlink" Target="https://cn.investing.com/equities/xiaomi-historical-data" TargetMode="External"/><Relationship Id="rId33" Type="http://schemas.openxmlformats.org/officeDocument/2006/relationships/hyperlink" Target="https://money.finance.sina.com.cn/corp/view/vCB_AllBulletinDetail.php?id=12075087&amp;stockid=300866" TargetMode="External"/><Relationship Id="rId34" Type="http://schemas.openxmlformats.org/officeDocument/2006/relationships/hyperlink" Target="https://cn.investing.com/equities/anker-innovations-technology-co-ltd-historical-data" TargetMode="External"/><Relationship Id="rId35" Type="http://schemas.openxmlformats.org/officeDocument/2006/relationships/hyperlink" Target="https://stockanalysis.com/quote/hkg/0668/history/" TargetMode="External"/><Relationship Id="rId36" Type="http://schemas.openxmlformats.org/officeDocument/2006/relationships/hyperlink" Target="https://doc.irasia.com/listco/hk/lenovo/annual/2026/cres.pdf" TargetMode="External"/><Relationship Id="rId37" Type="http://schemas.openxmlformats.org/officeDocument/2006/relationships/hyperlink" Target="https://doc.irasia.com/listco/hk/lenovo/interim/2027/int1qc.pdf" TargetMode="External"/><Relationship Id="rId38" Type="http://schemas.openxmlformats.org/officeDocument/2006/relationships/hyperlink" Target="https://doc.irasia.com/listco/hk/lenovo/announcement/ca261006.pdf" TargetMode="External"/><Relationship Id="rId39" Type="http://schemas.openxmlformats.org/officeDocument/2006/relationships/hyperlink" Target="https://hk.investing.com/equities/lenovo-group-ltd-historical-data" TargetMode="External"/><Relationship Id="rId40" Type="http://schemas.openxmlformats.org/officeDocument/2006/relationships/hyperlink" Target="https://www.zte.com.cn/content/dam/zte-site/investorrelations/cn_annual_report/2025%E5%B9%B4%E5%B9%B4%E5%BA%A6%E6%8A%A5%E5%91%8A.pdf" TargetMode="External"/><Relationship Id="rId41" Type="http://schemas.openxmlformats.org/officeDocument/2006/relationships/hyperlink" Target="https://vip.stock.finance.sina.com.cn/corp/view/vCB_AllBulletinDetail.php?id=12517314&amp;stockid=000063" TargetMode="External"/><Relationship Id="rId42" Type="http://schemas.openxmlformats.org/officeDocument/2006/relationships/hyperlink" Target="https://cn.investing.com/equities/zte-a-historical-data" TargetMode="External"/><Relationship Id="rId43" Type="http://schemas.openxmlformats.org/officeDocument/2006/relationships/hyperlink" Target="https://cn.investing.com/equities/zte-corp.-historical-data" TargetMode="External"/><Relationship Id="rId44" Type="http://schemas.openxmlformats.org/officeDocument/2006/relationships/hyperlink" Target="https://static.cninfo.com.cn/finalpage/2026-03-24/1225025934.PDF" TargetMode="External"/><Relationship Id="rId45" Type="http://schemas.openxmlformats.org/officeDocument/2006/relationships/hyperlink" Target="https://vip.stock.finance.sina.com.cn/corp/view/vCB_AllBulletinDetail.php?id=12533310&amp;stockid=603296" TargetMode="External"/><Relationship Id="rId46" Type="http://schemas.openxmlformats.org/officeDocument/2006/relationships/hyperlink" Target="https://www.futunn.com/stock/603296-SH" TargetMode="External"/><Relationship Id="rId47" Type="http://schemas.openxmlformats.org/officeDocument/2006/relationships/hyperlink" Target="https://cn.investing.com/equities/huaqin-co-ltd-historical-data" TargetMode="External"/><Relationship Id="rId48" Type="http://schemas.openxmlformats.org/officeDocument/2006/relationships/hyperlink" Target="https://vip.stock.finance.sina.com.cn/corp/view/vCB_AllBulletinDetail.php?CompanyCode=80147122&amp;gather=1&amp;id=12043474" TargetMode="External"/><Relationship Id="rId49" Type="http://schemas.openxmlformats.org/officeDocument/2006/relationships/hyperlink" Target="https://money.finance.sina.com.cn/corp/view/vCB_AllBulletinDetail.php?id=12556259&amp;stockid=603341" TargetMode="External"/><Relationship Id="rId50" Type="http://schemas.openxmlformats.org/officeDocument/2006/relationships/hyperlink" Target="https://cn.investing.com/equities/shanghai-longcheer-tech-historical-data" TargetMode="External"/><Relationship Id="rId51" Type="http://schemas.openxmlformats.org/officeDocument/2006/relationships/hyperlink" Target="https://hk.investing.com/equities/shanghai-longcheer-technology-co-lt-historical-data" TargetMode="External"/><Relationship Id="rId52" Type="http://schemas.openxmlformats.org/officeDocument/2006/relationships/hyperlink" Target="https://www1.hkexnews.hk/listedco/listconews/sehk/2026/0422/2026042200748.pdf" TargetMode="External"/><Relationship Id="rId53" Type="http://schemas.openxmlformats.org/officeDocument/2006/relationships/hyperlink" Target="https://www1.hkexnews.hk/listedco/listconews/sehk/2026/0828/2026082801253.pdf" TargetMode="External"/><Relationship Id="rId54" Type="http://schemas.openxmlformats.org/officeDocument/2006/relationships/hyperlink" Target="https://cn.investing.com/equities/byd-electronic-historical-data" TargetMode="External"/><Relationship Id="rId55" Type="http://schemas.openxmlformats.org/officeDocument/2006/relationships/hyperlink" Target="https://www.sunnyoptical.com/webfile/temps/202603222321113617.pdf" TargetMode="External"/><Relationship Id="rId56" Type="http://schemas.openxmlformats.org/officeDocument/2006/relationships/hyperlink" Target="https://www.sunnyoptical.com/webfile/temps/20260981213275389.pdf" TargetMode="External"/><Relationship Id="rId57" Type="http://schemas.openxmlformats.org/officeDocument/2006/relationships/hyperlink" Target="https://jp.investing.com/equities/sunny-optical-hk-historical-data" TargetMode="External"/><Relationship Id="rId5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Transsion H Share IPO Trader Brief</dc:title>
  <dc:subject>Business potential and risks with H peer valuation and verified operating figures</dc:subject>
  <dc:creator/>
  <cp:keywords>Transsion, Anker, H IPO, inventory, AI, valuation</cp:keywords>
  <dc:description>generated by python-docx</dc:description>
  <cp:lastModifiedBy/>
  <cp:revision>1</cp:revision>
  <dcterms:created xsi:type="dcterms:W3CDTF">2013-12-23T23:15:00Z</dcterms:created>
  <dcterms:modified xsi:type="dcterms:W3CDTF">2013-12-23T23:15:00Z</dcterms:modified>
  <cp:category/>
</cp:coreProperties>
</file>