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SHEIN &amp; Mech-Mind — HK IPO Note</w:t>
      </w:r>
    </w:p>
    <w:p>
      <w:r>
        <w:rPr>
          <w:i/>
          <w:color w:val="606060"/>
          <w:sz w:val="19"/>
        </w:rPr>
        <w:t>Written 27 Aug 2026, Medcaptain added 30 Aug  ·  SHEIN &amp; Mech-Mind list Mon 1 Sep  ·  Returns vs offer price unless stated</w:t>
      </w:r>
    </w:p>
    <w:p>
      <w:r>
        <w:t>Short version up front: SHEIN is the cheap-looking deal with no buyers and a real ceiling — skip the debut. Mech-Mind is the expensive deal with a 518x retail book and a 7% float — it will pop; the only question is whether you stay for the second act. Plus quick ones on Ingenic (interims Saturday) and Medcaptain, a new medtech deal open now — we'd pass on it. Detail below.</w:t>
      </w:r>
    </w:p>
    <w:p>
      <w:pPr>
        <w:pStyle w:val="Heading1"/>
      </w:pPr>
      <w:r>
        <w:t>1. SHEIN (625 HK)</w:t>
      </w:r>
    </w:p>
    <w:p>
      <w:pPr>
        <w:pStyle w:val="Heading2"/>
      </w:pPr>
      <w:r>
        <w:t>The deal</w:t>
      </w:r>
    </w:p>
    <w:p>
      <w:pPr>
        <w:pStyle w:val="ListBullet"/>
      </w:pPr>
      <w:r>
        <w:t xml:space="preserve">Raising ~US$1.7bn at about </w:t>
      </w:r>
      <w:r>
        <w:rPr>
          <w:b/>
        </w:rPr>
        <w:t>US$26.5bn</w:t>
      </w:r>
      <w:r>
        <w:t>. Guidance is pricing just above midpoint (~HK$48.56); formal number out 31 Aug.</w:t>
      </w:r>
    </w:p>
    <w:p>
      <w:pPr>
        <w:pStyle w:val="ListBullet"/>
      </w:pPr>
      <w:r>
        <w:t xml:space="preserve">Third attempt at a listing (NY failed, London failed), and each pass has come cheaper: </w:t>
      </w:r>
      <w:r>
        <w:rPr>
          <w:b/>
        </w:rPr>
        <w:t>US$100bn</w:t>
      </w:r>
      <w:r>
        <w:t xml:space="preserve"> in the 2022 round → </w:t>
      </w:r>
      <w:r>
        <w:rPr>
          <w:b/>
        </w:rPr>
        <w:t>US$35bn</w:t>
      </w:r>
      <w:r>
        <w:t xml:space="preserve"> when this roadshow started → </w:t>
      </w:r>
      <w:r>
        <w:rPr>
          <w:b/>
        </w:rPr>
        <w:t>US$26.5bn</w:t>
      </w:r>
      <w:r>
        <w:t xml:space="preserve"> now. When a deal gets marked down twice inside its own bookbuild, the bookrunners are telling you where real demand actually is.</w:t>
      </w:r>
    </w:p>
    <w:p>
      <w:pPr>
        <w:pStyle w:val="ListBullet"/>
      </w:pPr>
      <w:r>
        <w:rPr>
          <w:b/>
        </w:rPr>
        <w:t>Cornerstones — supportive, not validating.</w:t>
      </w:r>
      <w:r>
        <w:t xml:space="preserve"> Seven names, ~US$383m ≈ </w:t>
      </w:r>
      <w:r>
        <w:rPr>
          <w:b/>
        </w:rPr>
        <w:t>21% of the deal</w:t>
      </w:r>
      <w:r>
        <w:t xml:space="preserve">: Boyu US$150m, Tiger Global US$53m, General Atlantic US$50m, Tencent US$50m, plus Greenwoods, Taikang and UBS AM. Look at who they are: GA and Tiger are </w:t>
      </w:r>
      <w:r>
        <w:rPr>
          <w:b/>
        </w:rPr>
        <w:t>existing shareholders topping up</w:t>
      </w:r>
      <w:r>
        <w:t xml:space="preserve"> — the same names collecting the ratchet payments — and Boyu/Tencent read as China-establishment support for a politically important listing. That is insiders and friends steadying the deal, not new outside money fighting for allocation. And 21% coverage is low by 2026 HK standards (hot deals run 40–60%+), so the book leans on outside demand it hasn't demonstrated.</w:t>
      </w:r>
    </w:p>
    <w:p>
      <w:pPr>
        <w:pStyle w:val="ListBullet"/>
      </w:pPr>
      <w:r>
        <w:rPr>
          <w:b/>
        </w:rPr>
        <w:t>Greenshoe: standard 15%</w:t>
      </w:r>
      <w:r>
        <w:t xml:space="preserve"> (~42m extra B shares; full exercise at the top = ~HK$13.9bn / US$1.8bn — which reconciles the HK$13.1bn vs 13.9bn press confusion: base vs with-shoe). Given the tepid book, think of the shoe here as </w:t>
      </w:r>
      <w:r>
        <w:rPr>
          <w:b/>
        </w:rPr>
        <w:t>stabilisation ammunition</w:t>
      </w:r>
      <w:r>
        <w:t>: if the stock trades below issue, the stabilising agent buys back through it. It's downside cushioning, not an upside signal.</w:t>
      </w:r>
    </w:p>
    <w:p>
      <w:pPr>
        <w:pStyle w:val="Heading2"/>
      </w:pPr>
      <w:r>
        <w:t>The “upside-down IPO” — what that actually means</w:t>
      </w:r>
    </w:p>
    <w:p>
      <w:r>
        <w:t>Worth two minutes because it affects how you think about the cash and the register:</w:t>
      </w:r>
    </w:p>
    <w:p>
      <w:pPr>
        <w:pStyle w:val="ListNumber"/>
      </w:pPr>
      <w:r>
        <w:t xml:space="preserve">Background: when Boyu, Tiger, General Atlantic, Mubadala etc. invested in 2022–23, they paid US$66–100bn valuations. Their term sheets carried </w:t>
      </w:r>
      <w:r>
        <w:rPr>
          <w:b/>
        </w:rPr>
        <w:t>anti-dilution ratchets</w:t>
      </w:r>
      <w:r>
        <w:t xml:space="preserve"> — if the company ever lists below their entry, it must top them up until their effective cost equals the IPO price. The last round (D+) got the harshest version, a </w:t>
      </w:r>
      <w:r>
        <w:rPr>
          <w:b/>
        </w:rPr>
        <w:t>full ratchet</w:t>
      </w:r>
      <w:r>
        <w:t>: complete repricing, no sharing of the pain.</w:t>
      </w:r>
    </w:p>
    <w:p>
      <w:pPr>
        <w:pStyle w:val="ListNumber"/>
      </w:pPr>
      <w:r>
        <w:t xml:space="preserve">Listing at US$26.5bn — 60–75% below what they paid — triggers all of it: roughly </w:t>
      </w:r>
      <w:r>
        <w:rPr>
          <w:b/>
        </w:rPr>
        <w:t>US$2.2bn in cash</w:t>
      </w:r>
      <w:r>
        <w:t xml:space="preserve">, </w:t>
      </w:r>
      <w:r>
        <w:rPr>
          <w:b/>
        </w:rPr>
        <w:t>~19.6m free shares</w:t>
      </w:r>
      <w:r>
        <w:t xml:space="preserve">, plus </w:t>
      </w:r>
      <w:r>
        <w:rPr>
          <w:b/>
        </w:rPr>
        <w:t>~US$1.33bn</w:t>
      </w:r>
      <w:r>
        <w:t xml:space="preserve"> in separately negotiated payments. Call it </w:t>
      </w:r>
      <w:r>
        <w:rPr>
          <w:b/>
        </w:rPr>
        <w:t>US$3.5bn all-in, about double what the IPO raises</w:t>
      </w:r>
      <w:r>
        <w:t>. On day one, more money leaves the company than comes in.</w:t>
      </w:r>
    </w:p>
    <w:p>
      <w:pPr>
        <w:pStyle w:val="ListNumber"/>
      </w:pPr>
      <w:r>
        <w:t>Why you should care: (a) a quarter of the US$14.7bn net cash pile — the main pillar of the value case — walks out the door at pricing; (b) the free shares dilute you before you own a single one; (c) these holders are now made whole by contract, with a cost base reset to exactly your entry. When their lockups roll off, they have no reason to hold. That is a known seller overhang, at your price, on a timer.</w:t>
      </w:r>
    </w:p>
    <w:p>
      <w:pPr>
        <w:pStyle w:val="Heading2"/>
      </w:pPr>
      <w:r>
        <w:t>Fundamentals</w:t>
      </w:r>
    </w:p>
    <w:p>
      <w:pPr>
        <w:pStyle w:val="ListBullet"/>
      </w:pPr>
      <w:r>
        <w:t xml:space="preserve">2025: revenue US$41.8bn, up only 8%. Net profit US$2.1bn, </w:t>
      </w:r>
      <w:r>
        <w:rPr>
          <w:b/>
        </w:rPr>
        <w:t>down 39%</w:t>
      </w:r>
      <w:r>
        <w:t>.</w:t>
      </w:r>
    </w:p>
    <w:p>
      <w:pPr>
        <w:pStyle w:val="ListBullet"/>
      </w:pPr>
      <w:r>
        <w:t>Q1 2026 was worse: revenue +1%, and a small net loss. The cause is not mysterious — the US killed the de minimis exemption, US revenue fell 14%, and fulfilment cost jumped about 5 points of basket value.</w:t>
      </w:r>
    </w:p>
    <w:p>
      <w:pPr>
        <w:pStyle w:val="ListBullet"/>
      </w:pPr>
      <w:r>
        <w:t>Balance sheet is the bright spot: ~US$14.7bn net cash (before the ratchet payout above).</w:t>
      </w:r>
    </w:p>
    <w:p>
      <w:pPr>
        <w:pStyle w:val="Heading2"/>
      </w:pPr>
      <w:r>
        <w:t>The edge — real, but being taxed away</w:t>
      </w:r>
    </w:p>
    <w:p>
      <w:pPr>
        <w:pStyle w:val="ListBullet"/>
      </w:pPr>
      <w:r>
        <w:t xml:space="preserve">The genuine moat is the </w:t>
      </w:r>
      <w:r>
        <w:rPr>
          <w:b/>
        </w:rPr>
        <w:t>on-demand supply chain</w:t>
      </w:r>
      <w:r>
        <w:t>: ~7,500 contract factories, first runs of only 100–200 units, scale up only what sells. Inventory turns ~10x a year versus 2–3x at Zara/H&amp;M. Nobody else runs fashion with essentially zero inventory risk — that is how a US$8 top carries a 68% gross margin.</w:t>
      </w:r>
    </w:p>
    <w:p>
      <w:pPr>
        <w:pStyle w:val="ListBullet"/>
      </w:pPr>
      <w:r>
        <w:t xml:space="preserve">The problem: the moat only works </w:t>
      </w:r>
      <w:r>
        <w:rPr>
          <w:b/>
        </w:rPr>
        <w:t>because production sits in China</w:t>
      </w:r>
      <w:r>
        <w:t>. Tariffs force local warehouses and local sourcing (Brazil, Turkey, EU), which unwinds exactly the arbitrage that makes the model special — and Temu and Amazon Haul are copying the playbook with deeper pockets while it happens.</w:t>
      </w:r>
    </w:p>
    <w:p>
      <w:pPr>
        <w:pStyle w:val="Heading2"/>
      </w:pPr>
      <w:r>
        <w:t>Why growth is capped — the xueqiu argument, step by step</w:t>
      </w:r>
    </w:p>
    <w:p>
      <w:r>
        <w:t>The xueqiu piece on the prospectus is the best thing written on this deal. Its point is that SHEIN's own numbers prove the model works — and also prove it has a ceiling. The logic runs in four steps:</w:t>
      </w:r>
    </w:p>
    <w:p>
      <w:pPr>
        <w:pStyle w:val="ListNumber"/>
      </w:pPr>
      <w:r>
        <w:rPr>
          <w:b/>
        </w:rPr>
        <w:t>Advertising cannot change purchase frequency (~4 orders/user/year).</w:t>
      </w:r>
      <w:r>
        <w:t xml:space="preserve"> Clothes are seasonal, low-frequency purchases — not food delivery. People restock a wardrobe about four times a year, and no amount of TikTok retargeting turns that into twenty. Past a point, ads aimed at existing users are just noise; they don't create extra orders.</w:t>
      </w:r>
    </w:p>
    <w:p>
      <w:pPr>
        <w:pStyle w:val="ListNumber"/>
      </w:pPr>
      <w:r>
        <w:rPr>
          <w:b/>
        </w:rPr>
        <w:t>Advertising cannot lift the basket either (~US$39/order).</w:t>
      </w:r>
      <w:r>
        <w:t xml:space="preserve"> The entire brand promise is “extremely cheap” — US$5–10 tops. Users come precisely to bargain-hunt, so the basket is pinned around US$39. You cannot market a polyester-basics platform into a higher price point without breaking the reason people come.</w:t>
      </w:r>
    </w:p>
    <w:p>
      <w:pPr>
        <w:pStyle w:val="ListNumber"/>
      </w:pPr>
      <w:r>
        <w:rPr>
          <w:b/>
        </w:rPr>
        <w:t>With frequency and basket both fixed, growth can only come from new users — and the cheap ones are gone.</w:t>
      </w:r>
      <w:r>
        <w:t xml:space="preserve"> 273m active users across ~160 markets means the natural audience (young, price-sensitive, easy to convert) has already been acquired once. Whoever is left either doesn't want fast fashion, wants better quality, or is the wrong demographic. Converting them costs multiples of what the first 273m cost.</w:t>
      </w:r>
    </w:p>
    <w:p>
      <w:pPr>
        <w:pStyle w:val="ListNumber"/>
      </w:pPr>
      <w:r>
        <w:rPr>
          <w:b/>
        </w:rPr>
        <w:t>And the ad auction itself got more expensive.</w:t>
      </w:r>
      <w:r>
        <w:t xml:space="preserve"> Digital ads are a bidding market. Temu's global spending spree pushed Google/Meta CPMs up for everyone, so SHEIN had to spend </w:t>
      </w:r>
      <w:r>
        <w:rPr>
          <w:b/>
        </w:rPr>
        <w:t>+48.9%</w:t>
      </w:r>
      <w:r>
        <w:t xml:space="preserve"> just to keep its slots — and all that bought was </w:t>
      </w:r>
      <w:r>
        <w:rPr>
          <w:b/>
        </w:rPr>
        <w:t>+8%</w:t>
      </w:r>
      <w:r>
        <w:t xml:space="preserve"> revenue. Marketing went from 10.7% to 14.8% of revenue not as a phase, but as the new steady state.</w:t>
      </w:r>
    </w:p>
    <w:p>
      <w:r>
        <w:t xml:space="preserve">Put the four together: revenue is capped by category physics, the marketing ratio is structural, and fulfilment economics are deteriorating on top (45.6% of basket → 47.7% post-de-minimis, and the fix — local inventory — breaks the zero-inventory moat itself). The prospectus validates the economics (~4.1% operating margin at ~US$50bn GMV) and simultaneously shows the growth is bounded. The read-through the article draws, which we agree with: SHEIN is the proof of concept, </w:t>
      </w:r>
      <w:r>
        <w:rPr>
          <w:b/>
        </w:rPr>
        <w:t>TEMU is the beneficiary</w:t>
      </w:r>
      <w:r>
        <w:t xml:space="preserve"> — multi-category means real frequency (10+ orders/year possible), a platform take-rate instead of 1P inventory, and a local-fulfilment pivot already underway.</w:t>
      </w:r>
    </w:p>
    <w:p>
      <w:pPr>
        <w:pStyle w:val="Heading2"/>
      </w:pPr>
      <w:r>
        <w:t>Valuation — and where it should trade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3168"/>
          </w:tcPr>
          <w:p>
            <w:r/>
            <w:r>
              <w:rPr>
                <w:b/>
                <w:sz w:val="19"/>
              </w:rPr>
            </w:r>
          </w:p>
        </w:tc>
        <w:tc>
          <w:tcPr>
            <w:tcW w:type="dxa" w:w="1872"/>
          </w:tcPr>
          <w:p>
            <w:r/>
            <w:r>
              <w:rPr>
                <w:b/>
                <w:sz w:val="19"/>
              </w:rPr>
              <w:t>Trailing P/E</w:t>
            </w:r>
          </w:p>
        </w:tc>
        <w:tc>
          <w:tcPr>
            <w:tcW w:type="dxa" w:w="1296"/>
          </w:tcPr>
          <w:p>
            <w:r/>
            <w:r>
              <w:rPr>
                <w:b/>
                <w:sz w:val="19"/>
              </w:rPr>
              <w:t>P/S</w:t>
            </w:r>
          </w:p>
        </w:tc>
        <w:tc>
          <w:tcPr>
            <w:tcW w:type="dxa" w:w="2304"/>
          </w:tcPr>
          <w:p>
            <w:r/>
            <w:r>
              <w:rPr>
                <w:b/>
                <w:sz w:val="19"/>
              </w:rPr>
              <w:t>EV/Sales</w:t>
            </w:r>
          </w:p>
        </w:tc>
        <w:tc>
          <w:tcPr>
            <w:tcW w:type="dxa" w:w="1872"/>
          </w:tcPr>
          <w:p>
            <w:r/>
            <w:r>
              <w:rPr>
                <w:b/>
                <w:sz w:val="19"/>
              </w:rPr>
              <w:t>Rev growth</w:t>
            </w:r>
          </w:p>
        </w:tc>
      </w:tr>
      <w:tr>
        <w:tc>
          <w:tcPr>
            <w:tcW w:type="dxa" w:w="3168"/>
          </w:tcPr>
          <w:p>
            <w:r>
              <w:rPr>
                <w:sz w:val="19"/>
              </w:rPr>
            </w:r>
            <w:r>
              <w:rPr>
                <w:b/>
                <w:sz w:val="19"/>
              </w:rPr>
              <w:t>SHEIN @ ~US$26.5bn</w:t>
            </w:r>
          </w:p>
        </w:tc>
        <w:tc>
          <w:tcPr>
            <w:tcW w:type="dxa" w:w="1872"/>
          </w:tcPr>
          <w:p>
            <w:r>
              <w:rPr>
                <w:sz w:val="19"/>
              </w:rPr>
            </w:r>
            <w:r>
              <w:rPr>
                <w:b/>
                <w:sz w:val="19"/>
              </w:rPr>
              <w:t>12.9x</w:t>
            </w:r>
          </w:p>
        </w:tc>
        <w:tc>
          <w:tcPr>
            <w:tcW w:type="dxa" w:w="1296"/>
          </w:tcPr>
          <w:p>
            <w:r>
              <w:rPr>
                <w:sz w:val="19"/>
              </w:rPr>
            </w:r>
            <w:r>
              <w:rPr>
                <w:b/>
                <w:sz w:val="19"/>
              </w:rPr>
              <w:t>0.63x</w:t>
            </w:r>
          </w:p>
        </w:tc>
        <w:tc>
          <w:tcPr>
            <w:tcW w:type="dxa" w:w="2304"/>
          </w:tcPr>
          <w:p>
            <w:r>
              <w:rPr>
                <w:sz w:val="19"/>
              </w:rPr>
            </w:r>
            <w:r>
              <w:rPr>
                <w:sz w:val="19"/>
              </w:rPr>
              <w:t>~0.35x (ex-cash, post-ratchet)</w:t>
            </w:r>
          </w:p>
        </w:tc>
        <w:tc>
          <w:tcPr>
            <w:tcW w:type="dxa" w:w="1872"/>
          </w:tcPr>
          <w:p>
            <w:r>
              <w:rPr>
                <w:sz w:val="19"/>
              </w:rPr>
            </w:r>
            <w:r>
              <w:rPr>
                <w:sz w:val="19"/>
              </w:rPr>
              <w:t>+8% '25, +1% Q1'26</w:t>
            </w:r>
          </w:p>
        </w:tc>
      </w:tr>
      <w:tr>
        <w:tc>
          <w:tcPr>
            <w:tcW w:type="dxa" w:w="3168"/>
          </w:tcPr>
          <w:p>
            <w:r>
              <w:rPr>
                <w:sz w:val="19"/>
              </w:rPr>
            </w:r>
            <w:r>
              <w:rPr>
                <w:sz w:val="19"/>
              </w:rPr>
              <w:t>PDD (closest business)</w:t>
            </w:r>
          </w:p>
        </w:tc>
        <w:tc>
          <w:tcPr>
            <w:tcW w:type="dxa" w:w="1872"/>
          </w:tcPr>
          <w:p>
            <w:r>
              <w:rPr>
                <w:sz w:val="19"/>
              </w:rPr>
            </w:r>
            <w:r>
              <w:rPr>
                <w:sz w:val="19"/>
              </w:rPr>
              <w:t>9.5x</w:t>
            </w:r>
          </w:p>
        </w:tc>
        <w:tc>
          <w:tcPr>
            <w:tcW w:type="dxa" w:w="1296"/>
          </w:tcPr>
          <w:p>
            <w:r>
              <w:rPr>
                <w:sz w:val="19"/>
              </w:rPr>
            </w:r>
            <w:r>
              <w:rPr>
                <w:sz w:val="19"/>
              </w:rPr>
              <w:t>1.9x</w:t>
            </w:r>
          </w:p>
        </w:tc>
        <w:tc>
          <w:tcPr>
            <w:tcW w:type="dxa" w:w="2304"/>
          </w:tcPr>
          <w:p>
            <w:r>
              <w:rPr>
                <w:sz w:val="19"/>
              </w:rPr>
            </w:r>
            <w:r>
              <w:rPr>
                <w:sz w:val="19"/>
              </w:rPr>
              <w:t>0.9x</w:t>
            </w:r>
          </w:p>
        </w:tc>
        <w:tc>
          <w:tcPr>
            <w:tcW w:type="dxa" w:w="1872"/>
          </w:tcPr>
          <w:p>
            <w:r>
              <w:rPr>
                <w:sz w:val="19"/>
              </w:rPr>
            </w:r>
            <w:r>
              <w:rPr>
                <w:sz w:val="19"/>
              </w:rPr>
              <w:t>~10%</w:t>
            </w:r>
          </w:p>
        </w:tc>
      </w:tr>
      <w:tr>
        <w:tc>
          <w:tcPr>
            <w:tcW w:type="dxa" w:w="3168"/>
          </w:tcPr>
          <w:p>
            <w:r>
              <w:rPr>
                <w:sz w:val="19"/>
              </w:rPr>
            </w:r>
            <w:r>
              <w:rPr>
                <w:sz w:val="19"/>
              </w:rPr>
              <w:t>H&amp;M</w:t>
            </w:r>
          </w:p>
        </w:tc>
        <w:tc>
          <w:tcPr>
            <w:tcW w:type="dxa" w:w="1872"/>
          </w:tcPr>
          <w:p>
            <w:r>
              <w:rPr>
                <w:sz w:val="19"/>
              </w:rPr>
            </w:r>
            <w:r>
              <w:rPr>
                <w:sz w:val="19"/>
              </w:rPr>
              <w:t>21.7x</w:t>
            </w:r>
          </w:p>
        </w:tc>
        <w:tc>
          <w:tcPr>
            <w:tcW w:type="dxa" w:w="1296"/>
          </w:tcPr>
          <w:p>
            <w:r>
              <w:rPr>
                <w:sz w:val="19"/>
              </w:rPr>
            </w:r>
            <w:r>
              <w:rPr>
                <w:sz w:val="19"/>
              </w:rPr>
              <w:t>1.3x</w:t>
            </w:r>
          </w:p>
        </w:tc>
        <w:tc>
          <w:tcPr>
            <w:tcW w:type="dxa" w:w="2304"/>
          </w:tcPr>
          <w:p>
            <w:r>
              <w:rPr>
                <w:sz w:val="19"/>
              </w:rPr>
            </w:r>
            <w:r>
              <w:rPr>
                <w:sz w:val="19"/>
              </w:rPr>
              <w:t>—</w:t>
            </w:r>
          </w:p>
        </w:tc>
        <w:tc>
          <w:tcPr>
            <w:tcW w:type="dxa" w:w="1872"/>
          </w:tcPr>
          <w:p>
            <w:r>
              <w:rPr>
                <w:sz w:val="19"/>
              </w:rPr>
            </w:r>
            <w:r>
              <w:rPr>
                <w:sz w:val="19"/>
              </w:rPr>
              <w:t>low single digit</w:t>
            </w:r>
          </w:p>
        </w:tc>
      </w:tr>
      <w:tr>
        <w:tc>
          <w:tcPr>
            <w:tcW w:type="dxa" w:w="3168"/>
          </w:tcPr>
          <w:p>
            <w:r>
              <w:rPr>
                <w:sz w:val="19"/>
              </w:rPr>
            </w:r>
            <w:r>
              <w:rPr>
                <w:sz w:val="19"/>
              </w:rPr>
              <w:t>Zalando</w:t>
            </w:r>
          </w:p>
        </w:tc>
        <w:tc>
          <w:tcPr>
            <w:tcW w:type="dxa" w:w="1872"/>
          </w:tcPr>
          <w:p>
            <w:r>
              <w:rPr>
                <w:sz w:val="19"/>
              </w:rPr>
            </w:r>
            <w:r>
              <w:rPr>
                <w:sz w:val="19"/>
              </w:rPr>
              <w:t>61.6x (17x fwd)</w:t>
            </w:r>
          </w:p>
        </w:tc>
        <w:tc>
          <w:tcPr>
            <w:tcW w:type="dxa" w:w="1296"/>
          </w:tcPr>
          <w:p>
            <w:r>
              <w:rPr>
                <w:sz w:val="19"/>
              </w:rPr>
            </w:r>
            <w:r>
              <w:rPr>
                <w:sz w:val="19"/>
              </w:rPr>
              <w:t>~0.5x</w:t>
            </w:r>
          </w:p>
        </w:tc>
        <w:tc>
          <w:tcPr>
            <w:tcW w:type="dxa" w:w="2304"/>
          </w:tcPr>
          <w:p>
            <w:r>
              <w:rPr>
                <w:sz w:val="19"/>
              </w:rPr>
            </w:r>
            <w:r>
              <w:rPr>
                <w:sz w:val="19"/>
              </w:rPr>
              <w:t>~0.5x</w:t>
            </w:r>
          </w:p>
        </w:tc>
        <w:tc>
          <w:tcPr>
            <w:tcW w:type="dxa" w:w="1872"/>
          </w:tcPr>
          <w:p>
            <w:r>
              <w:rPr>
                <w:sz w:val="19"/>
              </w:rPr>
            </w:r>
            <w:r>
              <w:rPr>
                <w:sz w:val="19"/>
              </w:rPr>
              <w:t>modest</w:t>
            </w:r>
          </w:p>
        </w:tc>
      </w:tr>
      <w:tr>
        <w:tc>
          <w:tcPr>
            <w:tcW w:type="dxa" w:w="3168"/>
          </w:tcPr>
          <w:p>
            <w:r>
              <w:rPr>
                <w:sz w:val="19"/>
              </w:rPr>
            </w:r>
            <w:r>
              <w:rPr>
                <w:sz w:val="19"/>
              </w:rPr>
              <w:t>Inditex</w:t>
            </w:r>
          </w:p>
        </w:tc>
        <w:tc>
          <w:tcPr>
            <w:tcW w:type="dxa" w:w="1872"/>
          </w:tcPr>
          <w:p>
            <w:r>
              <w:rPr>
                <w:sz w:val="19"/>
              </w:rPr>
            </w:r>
            <w:r>
              <w:rPr>
                <w:sz w:val="19"/>
              </w:rPr>
              <w:t>28.9x</w:t>
            </w:r>
          </w:p>
        </w:tc>
        <w:tc>
          <w:tcPr>
            <w:tcW w:type="dxa" w:w="1296"/>
          </w:tcPr>
          <w:p>
            <w:r>
              <w:rPr>
                <w:sz w:val="19"/>
              </w:rPr>
            </w:r>
            <w:r>
              <w:rPr>
                <w:sz w:val="19"/>
              </w:rPr>
              <w:t>4.5x</w:t>
            </w:r>
          </w:p>
        </w:tc>
        <w:tc>
          <w:tcPr>
            <w:tcW w:type="dxa" w:w="2304"/>
          </w:tcPr>
          <w:p>
            <w:r>
              <w:rPr>
                <w:sz w:val="19"/>
              </w:rPr>
            </w:r>
            <w:r>
              <w:rPr>
                <w:sz w:val="19"/>
              </w:rPr>
              <w:t>4.4x</w:t>
            </w:r>
          </w:p>
        </w:tc>
        <w:tc>
          <w:tcPr>
            <w:tcW w:type="dxa" w:w="1872"/>
          </w:tcPr>
          <w:p>
            <w:r>
              <w:rPr>
                <w:sz w:val="19"/>
              </w:rPr>
            </w:r>
            <w:r>
              <w:rPr>
                <w:sz w:val="19"/>
              </w:rPr>
              <w:t>~7%</w:t>
            </w:r>
          </w:p>
        </w:tc>
      </w:tr>
      <w:tr>
        <w:tc>
          <w:tcPr>
            <w:tcW w:type="dxa" w:w="3168"/>
          </w:tcPr>
          <w:p>
            <w:r>
              <w:rPr>
                <w:sz w:val="19"/>
              </w:rPr>
            </w:r>
            <w:r>
              <w:rPr>
                <w:sz w:val="19"/>
              </w:rPr>
              <w:t>Fast Retailing</w:t>
            </w:r>
          </w:p>
        </w:tc>
        <w:tc>
          <w:tcPr>
            <w:tcW w:type="dxa" w:w="1872"/>
          </w:tcPr>
          <w:p>
            <w:r>
              <w:rPr>
                <w:sz w:val="19"/>
              </w:rPr>
            </w:r>
            <w:r>
              <w:rPr>
                <w:sz w:val="19"/>
              </w:rPr>
              <w:t>42.6x</w:t>
            </w:r>
          </w:p>
        </w:tc>
        <w:tc>
          <w:tcPr>
            <w:tcW w:type="dxa" w:w="1296"/>
          </w:tcPr>
          <w:p>
            <w:r>
              <w:rPr>
                <w:sz w:val="19"/>
              </w:rPr>
            </w:r>
            <w:r>
              <w:rPr>
                <w:sz w:val="19"/>
              </w:rPr>
              <w:t>5.8x</w:t>
            </w:r>
          </w:p>
        </w:tc>
        <w:tc>
          <w:tcPr>
            <w:tcW w:type="dxa" w:w="2304"/>
          </w:tcPr>
          <w:p>
            <w:r>
              <w:rPr>
                <w:sz w:val="19"/>
              </w:rPr>
            </w:r>
            <w:r>
              <w:rPr>
                <w:sz w:val="19"/>
              </w:rPr>
              <w:t>5.4x</w:t>
            </w:r>
          </w:p>
        </w:tc>
        <w:tc>
          <w:tcPr>
            <w:tcW w:type="dxa" w:w="1872"/>
          </w:tcPr>
          <w:p>
            <w:r>
              <w:rPr>
                <w:sz w:val="19"/>
              </w:rPr>
            </w:r>
            <w:r>
              <w:rPr>
                <w:sz w:val="19"/>
              </w:rPr>
              <w:t>~13%</w:t>
            </w:r>
          </w:p>
        </w:tc>
      </w:tr>
      <w:tr>
        <w:tc>
          <w:tcPr>
            <w:tcW w:type="dxa" w:w="3168"/>
          </w:tcPr>
          <w:p>
            <w:r>
              <w:rPr>
                <w:sz w:val="19"/>
              </w:rPr>
            </w:r>
            <w:r>
              <w:rPr>
                <w:sz w:val="19"/>
              </w:rPr>
              <w:t>Bloomberg Intelligence fair value</w:t>
            </w:r>
          </w:p>
        </w:tc>
        <w:tc>
          <w:tcPr>
            <w:tcW w:type="dxa" w:w="1872"/>
          </w:tcPr>
          <w:p>
            <w:r>
              <w:rPr>
                <w:sz w:val="19"/>
              </w:rPr>
            </w:r>
            <w:r>
              <w:rPr>
                <w:sz w:val="19"/>
              </w:rPr>
              <w:t>US$22–25bn — the deal prices above it</w:t>
            </w:r>
          </w:p>
        </w:tc>
        <w:tc>
          <w:tcPr>
            <w:tcW w:type="dxa" w:w="1296"/>
          </w:tcPr>
          <w:p>
            <w:r>
              <w:rPr>
                <w:sz w:val="19"/>
              </w:rPr>
            </w:r>
          </w:p>
        </w:tc>
        <w:tc>
          <w:tcPr>
            <w:tcW w:type="dxa" w:w="2304"/>
          </w:tcPr>
          <w:p>
            <w:r>
              <w:rPr>
                <w:sz w:val="19"/>
              </w:rPr>
            </w:r>
          </w:p>
        </w:tc>
        <w:tc>
          <w:tcPr>
            <w:tcW w:type="dxa" w:w="1872"/>
          </w:tcPr>
          <w:p>
            <w:r>
              <w:rPr>
                <w:sz w:val="19"/>
              </w:rPr>
            </w:r>
          </w:p>
        </w:tc>
      </w:tr>
    </w:tbl>
    <w:p/>
    <w:p>
      <w:r>
        <w:t xml:space="preserve">How to read this: the lazy take is “13x is half of H&amp;M, so it's cheap.” We'd read it the other way. The closest business in the table is </w:t>
      </w:r>
      <w:r>
        <w:rPr>
          <w:b/>
        </w:rPr>
        <w:t>PDD</w:t>
      </w:r>
      <w:r>
        <w:t xml:space="preserve"> — China-sourced, low-price, cross-border, same tariff exposure — and PDD is bigger, growing faster, more profitable, holding more cash, and trades at </w:t>
      </w:r>
      <w:r>
        <w:rPr>
          <w:b/>
        </w:rPr>
        <w:t>9.5x</w:t>
      </w:r>
      <w:r>
        <w:t xml:space="preserve">. Against that anchor, SHEIN at 12.9x is </w:t>
      </w:r>
      <w:r>
        <w:rPr>
          <w:b/>
        </w:rPr>
        <w:t>not cheap; it's a premium to its best comp</w:t>
      </w:r>
      <w:r>
        <w:t xml:space="preserve">. And think about what each profit dollar actually is: PDD's is a platform take-rate at ~20% net margin; SHEIN's is 1P retail at 4.9% — and it halved the moment one customs rule changed. Lower-quality earnings shouldn't cost more. It clearly should not get H&amp;M's 22x either: H&amp;M has no growth ceiling being freshly discovered, no WVR governance discount, no ratchet overhang, and pays a dividend. So the deserved band is between the two — call it </w:t>
      </w:r>
      <w:r>
        <w:rPr>
          <w:b/>
        </w:rPr>
        <w:t>10–14x on ~US$2bn of normalised earnings, i.e. US$20–28bn fair value</w:t>
      </w:r>
      <w:r>
        <w:t xml:space="preserve">. The deal at US$26.5bn prices at the </w:t>
      </w:r>
      <w:r>
        <w:rPr>
          <w:b/>
        </w:rPr>
        <w:t>top of the fair band</w:t>
      </w:r>
      <w:r>
        <w:t>, and above BI's US$22–25bn. There is no mispricing here to harvest — which is precisely why the book is cold.</w:t>
      </w:r>
    </w:p>
    <w:p>
      <w:pPr>
        <w:pStyle w:val="Heading2"/>
      </w:pPr>
      <w:r>
        <w:t>Sentiment and flow</w:t>
      </w:r>
    </w:p>
    <w:p>
      <w:pPr>
        <w:pStyle w:val="ListBullet"/>
      </w:pPr>
      <w:r>
        <w:t xml:space="preserve">Retail margin book only </w:t>
      </w:r>
      <w:r>
        <w:rPr>
          <w:b/>
        </w:rPr>
        <w:t>~3x covered</w:t>
      </w:r>
      <w:r>
        <w:t>. For scale: a mid-cap appliance deal the same week did 188x. Retail looked and passed.</w:t>
      </w:r>
    </w:p>
    <w:p>
      <w:pPr>
        <w:pStyle w:val="ListBullet"/>
      </w:pPr>
      <w:r>
        <w:t>Institutional book “covered” day one — but no multiple ever leaked, and the buyers named are existing shareholders and China-focused funds. The cornerstone list (Tencent, Boyu, Taikang; 21% of deal) reads as support, not appetite.</w:t>
      </w:r>
    </w:p>
    <w:p>
      <w:pPr>
        <w:pStyle w:val="ListBullet"/>
      </w:pPr>
      <w:r>
        <w:t>Street tone is uniformly lukewarm — uSMART's Dickie Wong: “not that positive… growth has slowed a lot”; Coresight models ~2% growth for 2026.</w:t>
      </w:r>
    </w:p>
    <w:p>
      <w:pPr>
        <w:pStyle w:val="ListBullet"/>
      </w:pPr>
      <w:r>
        <w:t xml:space="preserve">And the flow catch: SHEIN is a WVR stock, so no Connect fast-entry — </w:t>
      </w:r>
      <w:r>
        <w:rPr>
          <w:b/>
        </w:rPr>
        <w:t>southbound money is locked out until roughly March 2027</w:t>
      </w:r>
      <w:r>
        <w:t>. The one natural marginal buyer can't show up for six months.</w:t>
      </w:r>
    </w:p>
    <w:p>
      <w:pPr>
        <w:pStyle w:val="Heading2"/>
      </w:pPr>
      <w:r>
        <w:t>View</w:t>
      </w:r>
    </w:p>
    <w:p>
      <w:pPr>
        <w:pStyle w:val="ListBullet"/>
      </w:pPr>
      <w:r>
        <w:t>No pop — flat to ±5% on debut, then a heavy tape with no catalyst until H2 results (does the tariff hit annualise?) or the Connect window next March.</w:t>
      </w:r>
    </w:p>
    <w:p>
      <w:pPr>
        <w:pStyle w:val="ListBullet"/>
      </w:pPr>
      <w:r>
        <w:t xml:space="preserve">If you like the validated-economics story, </w:t>
      </w:r>
      <w:r>
        <w:rPr>
          <w:b/>
        </w:rPr>
        <w:t>buy PDD instead</w:t>
      </w:r>
      <w:r>
        <w:t xml:space="preserve"> — it owns the version of the model without the ceiling, at a cheaper multiple.</w:t>
      </w:r>
    </w:p>
    <w:p>
      <w:pPr>
        <w:pStyle w:val="Heading1"/>
      </w:pPr>
      <w:r>
        <w:t>2. Mech-Mind Robotics (9615 HK)</w:t>
      </w:r>
    </w:p>
    <w:p>
      <w:pPr>
        <w:pStyle w:val="Heading2"/>
      </w:pPr>
      <w:r>
        <w:t>The deal</w:t>
      </w:r>
    </w:p>
    <w:p>
      <w:pPr>
        <w:pStyle w:val="ListBullet"/>
      </w:pPr>
      <w:r>
        <w:t xml:space="preserve">3D vision plus AI software for industrial robots — it sells the </w:t>
      </w:r>
      <w:r>
        <w:rPr>
          <w:b/>
        </w:rPr>
        <w:t>eyes and brain</w:t>
      </w:r>
      <w:r>
        <w:t>, not the robot.</w:t>
      </w:r>
    </w:p>
    <w:p>
      <w:pPr>
        <w:pStyle w:val="ListBullet"/>
      </w:pPr>
      <w:r>
        <w:t>Raising ~HK$2.3bn at HK$95.30–101.70; market cap ~HK$12.7bn (~US$1.6bn). Will price at the top.</w:t>
      </w:r>
    </w:p>
    <w:p>
      <w:pPr>
        <w:pStyle w:val="ListBullet"/>
      </w:pPr>
      <w:r>
        <w:rPr>
          <w:b/>
        </w:rPr>
        <w:t>The cornerstone book is genuinely strong — arguably the best of any 2026 HK deal this size.</w:t>
      </w:r>
      <w:r>
        <w:t xml:space="preserve"> Nine names, US$186m ≈ </w:t>
      </w:r>
      <w:r>
        <w:rPr>
          <w:b/>
        </w:rPr>
        <w:t>64% of the base deal</w:t>
      </w:r>
      <w:r>
        <w:t xml:space="preserve">, and the quality matters more than the size: </w:t>
      </w:r>
      <w:r>
        <w:rPr>
          <w:b/>
        </w:rPr>
        <w:t>Baillie Gifford</w:t>
      </w:r>
      <w:r>
        <w:t xml:space="preserve"> (US$60m — a top global long-only growth house that rarely anchors sub-US$2bn HK deals), </w:t>
      </w:r>
      <w:r>
        <w:rPr>
          <w:b/>
        </w:rPr>
        <w:t>Jane Street</w:t>
      </w:r>
      <w:r>
        <w:t xml:space="preserve"> (a prop firm putting its own balance sheet in), </w:t>
      </w:r>
      <w:r>
        <w:rPr>
          <w:b/>
        </w:rPr>
        <w:t>E Fund</w:t>
      </w:r>
      <w:r>
        <w:t xml:space="preserve"> (China's largest mutual-fund house), </w:t>
      </w:r>
      <w:r>
        <w:rPr>
          <w:b/>
        </w:rPr>
        <w:t>Taikang</w:t>
      </w:r>
      <w:r>
        <w:t xml:space="preserve"> (insurance money), </w:t>
      </w:r>
      <w:r>
        <w:rPr>
          <w:b/>
        </w:rPr>
        <w:t>NGS Super</w:t>
      </w:r>
      <w:r>
        <w:t xml:space="preserve"> (an Australian pension), and </w:t>
      </w:r>
      <w:r>
        <w:rPr>
          <w:b/>
        </w:rPr>
        <w:t>BYD's Golden Link</w:t>
      </w:r>
      <w:r>
        <w:t xml:space="preserve"> (a customer paying to be in the book — worth more than any broker note). That is validation across every buyer type — global growth, prop, domestic institutional, pension, strategic — not one friendly anchor writing a big cheque.</w:t>
      </w:r>
    </w:p>
    <w:p>
      <w:pPr>
        <w:pStyle w:val="ListBullet"/>
      </w:pPr>
      <w:r>
        <w:t xml:space="preserve">The same strength is double-edged: 64% locked up for six months makes the float tiny now (the squeeze) and makes </w:t>
      </w:r>
      <w:r>
        <w:rPr>
          <w:b/>
        </w:rPr>
        <w:t>March 2027</w:t>
      </w:r>
      <w:r>
        <w:t xml:space="preserve"> the supply cliff when it all unlocks at once.</w:t>
      </w:r>
    </w:p>
    <w:p>
      <w:pPr>
        <w:pStyle w:val="ListBullet"/>
      </w:pPr>
      <w:r>
        <w:rPr>
          <w:b/>
        </w:rPr>
        <w:t>Greenshoe: 15%</w:t>
      </w:r>
      <w:r>
        <w:t xml:space="preserve"> (3.47m shares; full exercise takes the raise to ~HK$2.7bn). With a 518x book expect it exercised in full — but note it works differently here than at SHEIN: this deal's problem is too little stock, not too little support, so the shoe is a small float top-up rather than a defence mechanism.</w:t>
      </w:r>
    </w:p>
    <w:p>
      <w:pPr>
        <w:pStyle w:val="ListBullet"/>
      </w:pPr>
      <w:r>
        <w:t xml:space="preserve">Retail is already all over it: margin book </w:t>
      </w:r>
      <w:r>
        <w:rPr>
          <w:b/>
        </w:rPr>
        <w:t>518x covered</w:t>
      </w:r>
      <w:r>
        <w:t xml:space="preserve"> with a day still to run. After cornerstones, free float is roughly </w:t>
      </w:r>
      <w:r>
        <w:rPr>
          <w:b/>
        </w:rPr>
        <w:t>7% of market cap</w:t>
      </w:r>
      <w:r>
        <w:t>.</w:t>
      </w:r>
    </w:p>
    <w:p>
      <w:pPr>
        <w:pStyle w:val="Heading2"/>
      </w:pPr>
      <w:r>
        <w:t>Fundamentals</w:t>
      </w:r>
    </w:p>
    <w:p>
      <w:pPr>
        <w:pStyle w:val="ListBullet"/>
      </w:pPr>
      <w:r>
        <w:t xml:space="preserve">Revenue compounding ~45% a year and accelerating — </w:t>
      </w:r>
      <w:r>
        <w:rPr>
          <w:b/>
        </w:rPr>
        <w:t>Q1 2026 +73%</w:t>
      </w:r>
      <w:r>
        <w:t>.</w:t>
      </w:r>
    </w:p>
    <w:p>
      <w:pPr>
        <w:pStyle w:val="ListBullet"/>
      </w:pPr>
      <w:r>
        <w:t xml:space="preserve">Gross margin </w:t>
      </w:r>
      <w:r>
        <w:rPr>
          <w:b/>
        </w:rPr>
        <w:t>64.6%</w:t>
      </w:r>
      <w:r>
        <w:t xml:space="preserve"> in 2025, and the path there matters: 39.1% → 51.1% → 64.6%, holding at 64.8% in Q1'26 (all filed in the PHIP). For scale, Rokae runs ~22% blended — 34.8% on cobots, 21.6% on industrial arms, just 10.7% on its embodied arms. The gap isn't branding and it isn't 'AI' as a slogan. An arm's selling price is mostly its bill of materials — reducers, servos, castings — sold into a price war among dozens of makers. A vision system's price is mostly software, sold by the company holding 27% global share. Margin is simply what pricing power looks like once it hits the accounts.</w:t>
      </w:r>
    </w:p>
    <w:p>
      <w:pPr>
        <w:pStyle w:val="ListBullet"/>
      </w:pPr>
      <w:r>
        <w:t>Half of revenue is now overseas (Japan, US, Europe) at better margins than domestic — rare for a Chinese industrial name at this size.</w:t>
      </w:r>
    </w:p>
    <w:p>
      <w:pPr>
        <w:pStyle w:val="ListBullet"/>
      </w:pPr>
      <w:r>
        <w:t>Still loss-making, but the adjusted loss is collapsing: RMB 334m → 109m → 33m in Q1 alone. Two flags worth remembering: 80% of sales run through system integrators (it doesn't fully own its customers), and pre-deal cash was thin — this IPO was needed, not opportunistic.</w:t>
      </w:r>
    </w:p>
    <w:p>
      <w:pPr>
        <w:pStyle w:val="Heading2"/>
      </w:pPr>
      <w:r>
        <w:t>The edge — why it's not just another robotics deal</w:t>
      </w:r>
    </w:p>
    <w:p>
      <w:pPr>
        <w:pStyle w:val="ListBullet"/>
      </w:pPr>
      <w:r>
        <w:rPr>
          <w:b/>
        </w:rPr>
        <w:t>It's the category leader by a distance</w:t>
      </w:r>
      <w:r>
        <w:t>: over 27% global share by shipments in AI 3D-vision components — more than the next four competitors combined — and #1 in China, Japan and North America at the same time. In a young, fragmented market, that is a real claim.</w:t>
      </w:r>
    </w:p>
    <w:p>
      <w:pPr>
        <w:pStyle w:val="ListBullet"/>
      </w:pPr>
      <w:r>
        <w:rPr>
          <w:b/>
        </w:rPr>
        <w:t>The moat compounds</w:t>
      </w:r>
      <w:r>
        <w:t>: it builds the camera (Mech-Eye), the software (Mech-Vision) and the AI model (Mech-GPT) in-house, trained on data from 27,000+ deployed units at 1,600 customers. 86% of revenue already comes from repeat customers. A new entrant can copy the camera; it cannot shortcut the installed-base data.</w:t>
      </w:r>
    </w:p>
    <w:p>
      <w:pPr>
        <w:pStyle w:val="ListBullet"/>
      </w:pPr>
      <w:r>
        <w:rPr>
          <w:b/>
        </w:rPr>
        <w:t>And it's the only listed way to play the layer</w:t>
      </w:r>
      <w:r>
        <w:t>: UBTech, Dobot, Rokae sell robot bodies; Horizon sells auto chips. There is no other pure-play on robot perception on any exchange — the picks-and-shovels ticket on every humanoid program. Scarcity gets paid in this market.</w:t>
      </w:r>
    </w:p>
    <w:p>
      <w:pPr>
        <w:pStyle w:val="ListBullet"/>
      </w:pPr>
      <w:r>
        <w:t xml:space="preserve">Being fair about the limits: the moat is share, data and speed — </w:t>
      </w:r>
      <w:r>
        <w:rPr>
          <w:b/>
        </w:rPr>
        <w:t>not patents or locked-in contracts</w:t>
      </w:r>
      <w:r>
        <w:t>. Keyence or Cognex could push down into the niche, and the integrator channel means the customer relationship is one step removed. It deserves a premium; whether it deserves the biggest premium in the sector is the debate the price forces.</w:t>
      </w:r>
    </w:p>
    <w:p>
      <w:pPr>
        <w:pStyle w:val="Heading2"/>
      </w:pPr>
      <w:r>
        <w:t>The secular trend — yes, it's real</w:t>
      </w:r>
    </w:p>
    <w:p>
      <w:pPr>
        <w:pStyle w:val="ListBullet"/>
      </w:pPr>
      <w:r>
        <w:t xml:space="preserve">3D vision sits on only </w:t>
      </w:r>
      <w:r>
        <w:rPr>
          <w:b/>
        </w:rPr>
        <w:t>~7% of China's industrial robots</w:t>
      </w:r>
      <w:r>
        <w:t xml:space="preserve"> today, heading to 8%+ next year — this is early on a genuine adoption curve, not a mature market being re-rated.</w:t>
      </w:r>
    </w:p>
    <w:p>
      <w:pPr>
        <w:pStyle w:val="ListBullet"/>
      </w:pPr>
      <w:r>
        <w:t>Every humanoid program on earth (UBTech on BYD's lines, Unitree, Tesla Optimus) needs vision systems. Their ramp is a direct order book for exactly what Mech-Mind sells.</w:t>
      </w:r>
    </w:p>
    <w:p>
      <w:pPr>
        <w:pStyle w:val="ListBullet"/>
      </w:pPr>
      <w:r>
        <w:t xml:space="preserve">The risk is China supply-side, not demand: price wars have already started in humanoids, the NDRC has publicly warned about overcrowding, and Lenovo Capital is calling a shakeout across ~370 robotics startups. Mech-Mind's 65% margin says it has escaped commoditisation </w:t>
      </w:r>
      <w:r>
        <w:rPr>
          <w:b/>
        </w:rPr>
        <w:t>so far</w:t>
      </w:r>
      <w:r>
        <w:t xml:space="preserve"> — but the IPO price assumes that continues.</w:t>
      </w:r>
    </w:p>
    <w:p>
      <w:pPr>
        <w:pStyle w:val="Heading2"/>
      </w:pPr>
      <w:r>
        <w:t>Valuation — and where it should trade</w:t>
      </w:r>
    </w:p>
    <w:tbl>
      <w:tblPr>
        <w:tblStyle w:val="LightGrid-Accent1"/>
        <w:tblW w:type="auto" w:w="0"/>
        <w:tblLook w:firstColumn="1" w:firstRow="1" w:lastColumn="0" w:lastRow="0" w:noHBand="0" w:noVBand="1" w:val="04A0"/>
      </w:tblPr>
      <w:tblGrid>
        <w:gridCol w:w="2160"/>
        <w:gridCol w:w="2160"/>
        <w:gridCol w:w="2160"/>
        <w:gridCol w:w="2160"/>
      </w:tblGrid>
      <w:tr>
        <w:tc>
          <w:tcPr>
            <w:tcW w:type="dxa" w:w="3312"/>
          </w:tcPr>
          <w:p>
            <w:r/>
            <w:r>
              <w:rPr>
                <w:b/>
                <w:sz w:val="19"/>
              </w:rPr>
            </w:r>
          </w:p>
        </w:tc>
        <w:tc>
          <w:tcPr>
            <w:tcW w:type="dxa" w:w="2736"/>
          </w:tcPr>
          <w:p>
            <w:r/>
            <w:r>
              <w:rPr>
                <w:b/>
                <w:sz w:val="19"/>
              </w:rPr>
              <w:t>Trailing P/S</w:t>
            </w:r>
          </w:p>
        </w:tc>
        <w:tc>
          <w:tcPr>
            <w:tcW w:type="dxa" w:w="1872"/>
          </w:tcPr>
          <w:p>
            <w:r/>
            <w:r>
              <w:rPr>
                <w:b/>
                <w:sz w:val="19"/>
              </w:rPr>
              <w:t>Rev growth</w:t>
            </w:r>
          </w:p>
        </w:tc>
        <w:tc>
          <w:tcPr>
            <w:tcW w:type="dxa" w:w="3456"/>
          </w:tcPr>
          <w:p>
            <w:r/>
            <w:r>
              <w:rPr>
                <w:b/>
                <w:sz w:val="19"/>
              </w:rPr>
              <w:t>Note</w:t>
            </w:r>
          </w:p>
        </w:tc>
      </w:tr>
      <w:tr>
        <w:tc>
          <w:tcPr>
            <w:tcW w:type="dxa" w:w="3312"/>
          </w:tcPr>
          <w:p>
            <w:r>
              <w:rPr>
                <w:sz w:val="19"/>
              </w:rPr>
            </w:r>
            <w:r>
              <w:rPr>
                <w:b/>
                <w:sz w:val="19"/>
              </w:rPr>
              <w:t>Mech-Mind @ range</w:t>
            </w:r>
          </w:p>
        </w:tc>
        <w:tc>
          <w:tcPr>
            <w:tcW w:type="dxa" w:w="2736"/>
          </w:tcPr>
          <w:p>
            <w:r>
              <w:rPr>
                <w:sz w:val="19"/>
              </w:rPr>
            </w:r>
            <w:r>
              <w:rPr>
                <w:b/>
                <w:sz w:val="19"/>
              </w:rPr>
              <w:t>28–30x</w:t>
            </w:r>
            <w:r>
              <w:rPr>
                <w:sz w:val="19"/>
              </w:rPr>
              <w:t xml:space="preserve"> (~24x on Q1 run-rate)</w:t>
            </w:r>
          </w:p>
        </w:tc>
        <w:tc>
          <w:tcPr>
            <w:tcW w:type="dxa" w:w="1872"/>
          </w:tcPr>
          <w:p>
            <w:r>
              <w:rPr>
                <w:sz w:val="19"/>
              </w:rPr>
            </w:r>
            <w:r>
              <w:rPr>
                <w:sz w:val="19"/>
              </w:rPr>
              <w:t>+45% '25, +73% Q1</w:t>
            </w:r>
          </w:p>
        </w:tc>
        <w:tc>
          <w:tcPr>
            <w:tcW w:type="dxa" w:w="3456"/>
          </w:tcPr>
          <w:p>
            <w:r>
              <w:rPr>
                <w:sz w:val="19"/>
              </w:rPr>
            </w:r>
            <w:r>
              <w:rPr>
                <w:sz w:val="19"/>
              </w:rPr>
              <w:t>most expensive robotics name anywhere</w:t>
            </w:r>
          </w:p>
        </w:tc>
      </w:tr>
      <w:tr>
        <w:tc>
          <w:tcPr>
            <w:tcW w:type="dxa" w:w="3312"/>
          </w:tcPr>
          <w:p>
            <w:r>
              <w:rPr>
                <w:sz w:val="19"/>
              </w:rPr>
            </w:r>
            <w:r>
              <w:rPr>
                <w:b/>
                <w:sz w:val="19"/>
              </w:rPr>
              <w:t>Rokae 3752 (live benchmark)</w:t>
            </w:r>
          </w:p>
        </w:tc>
        <w:tc>
          <w:tcPr>
            <w:tcW w:type="dxa" w:w="2736"/>
          </w:tcPr>
          <w:p>
            <w:r>
              <w:rPr>
                <w:sz w:val="19"/>
              </w:rPr>
            </w:r>
            <w:r>
              <w:rPr>
                <w:b/>
                <w:sz w:val="19"/>
              </w:rPr>
              <w:t>~29x</w:t>
            </w:r>
            <w:r>
              <w:rPr>
                <w:sz w:val="19"/>
              </w:rPr>
              <w:t xml:space="preserve"> (~19x on H1-26 annualised)</w:t>
            </w:r>
          </w:p>
        </w:tc>
        <w:tc>
          <w:tcPr>
            <w:tcW w:type="dxa" w:w="1872"/>
          </w:tcPr>
          <w:p>
            <w:r>
              <w:rPr>
                <w:sz w:val="19"/>
              </w:rPr>
            </w:r>
            <w:r>
              <w:rPr>
                <w:sz w:val="19"/>
              </w:rPr>
              <w:t>+127% H1'26</w:t>
            </w:r>
          </w:p>
        </w:tc>
        <w:tc>
          <w:tcPr>
            <w:tcW w:type="dxa" w:w="3456"/>
          </w:tcPr>
          <w:p>
            <w:r>
              <w:rPr>
                <w:sz w:val="19"/>
              </w:rPr>
            </w:r>
            <w:r>
              <w:rPr>
                <w:sz w:val="19"/>
              </w:rPr>
              <w:t>IPO'd at 17x in July, +69% since, turned profitable</w:t>
            </w:r>
          </w:p>
        </w:tc>
      </w:tr>
      <w:tr>
        <w:tc>
          <w:tcPr>
            <w:tcW w:type="dxa" w:w="3312"/>
          </w:tcPr>
          <w:p>
            <w:r>
              <w:rPr>
                <w:sz w:val="19"/>
              </w:rPr>
            </w:r>
            <w:r>
              <w:rPr>
                <w:sz w:val="19"/>
              </w:rPr>
              <w:t>UBTech 9880</w:t>
            </w:r>
          </w:p>
        </w:tc>
        <w:tc>
          <w:tcPr>
            <w:tcW w:type="dxa" w:w="2736"/>
          </w:tcPr>
          <w:p>
            <w:r>
              <w:rPr>
                <w:sz w:val="19"/>
              </w:rPr>
            </w:r>
            <w:r>
              <w:rPr>
                <w:sz w:val="19"/>
              </w:rPr>
              <w:t>18.4x</w:t>
            </w:r>
          </w:p>
        </w:tc>
        <w:tc>
          <w:tcPr>
            <w:tcW w:type="dxa" w:w="1872"/>
          </w:tcPr>
          <w:p>
            <w:r>
              <w:rPr>
                <w:sz w:val="19"/>
              </w:rPr>
            </w:r>
            <w:r>
              <w:rPr>
                <w:sz w:val="19"/>
              </w:rPr>
              <w:t>+53%</w:t>
            </w:r>
          </w:p>
        </w:tc>
        <w:tc>
          <w:tcPr>
            <w:tcW w:type="dxa" w:w="3456"/>
          </w:tcPr>
          <w:p>
            <w:r>
              <w:rPr>
                <w:sz w:val="19"/>
              </w:rPr>
            </w:r>
            <w:r>
              <w:rPr>
                <w:sz w:val="19"/>
              </w:rPr>
              <w:t>below its 2023 issue price</w:t>
            </w:r>
          </w:p>
        </w:tc>
      </w:tr>
      <w:tr>
        <w:tc>
          <w:tcPr>
            <w:tcW w:type="dxa" w:w="3312"/>
          </w:tcPr>
          <w:p>
            <w:r>
              <w:rPr>
                <w:sz w:val="19"/>
              </w:rPr>
            </w:r>
            <w:r>
              <w:rPr>
                <w:sz w:val="19"/>
              </w:rPr>
              <w:t>Horizon Robotics 9660</w:t>
            </w:r>
          </w:p>
        </w:tc>
        <w:tc>
          <w:tcPr>
            <w:tcW w:type="dxa" w:w="2736"/>
          </w:tcPr>
          <w:p>
            <w:r>
              <w:rPr>
                <w:sz w:val="19"/>
              </w:rPr>
            </w:r>
            <w:r>
              <w:rPr>
                <w:sz w:val="19"/>
              </w:rPr>
              <w:t>16.5x</w:t>
            </w:r>
          </w:p>
        </w:tc>
        <w:tc>
          <w:tcPr>
            <w:tcW w:type="dxa" w:w="1872"/>
          </w:tcPr>
          <w:p>
            <w:r>
              <w:rPr>
                <w:sz w:val="19"/>
              </w:rPr>
            </w:r>
            <w:r>
              <w:rPr>
                <w:sz w:val="19"/>
              </w:rPr>
              <w:t>+58%</w:t>
            </w:r>
          </w:p>
        </w:tc>
        <w:tc>
          <w:tcPr>
            <w:tcW w:type="dxa" w:w="3456"/>
          </w:tcPr>
          <w:p>
            <w:r>
              <w:rPr>
                <w:sz w:val="19"/>
              </w:rPr>
            </w:r>
            <w:r>
              <w:rPr>
                <w:sz w:val="19"/>
              </w:rPr>
              <w:t>–36% off high</w:t>
            </w:r>
          </w:p>
        </w:tc>
      </w:tr>
      <w:tr>
        <w:tc>
          <w:tcPr>
            <w:tcW w:type="dxa" w:w="3312"/>
          </w:tcPr>
          <w:p>
            <w:r>
              <w:rPr>
                <w:sz w:val="19"/>
              </w:rPr>
            </w:r>
            <w:r>
              <w:rPr>
                <w:sz w:val="19"/>
              </w:rPr>
              <w:t>Keyence (profitable anchor)</w:t>
            </w:r>
          </w:p>
        </w:tc>
        <w:tc>
          <w:tcPr>
            <w:tcW w:type="dxa" w:w="2736"/>
          </w:tcPr>
          <w:p>
            <w:r>
              <w:rPr>
                <w:sz w:val="19"/>
              </w:rPr>
            </w:r>
            <w:r>
              <w:rPr>
                <w:sz w:val="19"/>
              </w:rPr>
              <w:t>15.8x</w:t>
            </w:r>
          </w:p>
        </w:tc>
        <w:tc>
          <w:tcPr>
            <w:tcW w:type="dxa" w:w="1872"/>
          </w:tcPr>
          <w:p>
            <w:r>
              <w:rPr>
                <w:sz w:val="19"/>
              </w:rPr>
            </w:r>
            <w:r>
              <w:rPr>
                <w:sz w:val="19"/>
              </w:rPr>
              <w:t>+17%</w:t>
            </w:r>
          </w:p>
        </w:tc>
        <w:tc>
          <w:tcPr>
            <w:tcW w:type="dxa" w:w="3456"/>
          </w:tcPr>
          <w:p>
            <w:r>
              <w:rPr>
                <w:sz w:val="19"/>
              </w:rPr>
            </w:r>
          </w:p>
        </w:tc>
      </w:tr>
      <w:tr>
        <w:tc>
          <w:tcPr>
            <w:tcW w:type="dxa" w:w="3312"/>
          </w:tcPr>
          <w:p>
            <w:r>
              <w:rPr>
                <w:sz w:val="19"/>
              </w:rPr>
            </w:r>
            <w:r>
              <w:rPr>
                <w:sz w:val="19"/>
              </w:rPr>
              <w:t>Dobot 2432</w:t>
            </w:r>
          </w:p>
        </w:tc>
        <w:tc>
          <w:tcPr>
            <w:tcW w:type="dxa" w:w="2736"/>
          </w:tcPr>
          <w:p>
            <w:r>
              <w:rPr>
                <w:sz w:val="19"/>
              </w:rPr>
            </w:r>
            <w:r>
              <w:rPr>
                <w:sz w:val="19"/>
              </w:rPr>
              <w:t>13.7x</w:t>
            </w:r>
          </w:p>
        </w:tc>
        <w:tc>
          <w:tcPr>
            <w:tcW w:type="dxa" w:w="1872"/>
          </w:tcPr>
          <w:p>
            <w:r>
              <w:rPr>
                <w:sz w:val="19"/>
              </w:rPr>
            </w:r>
            <w:r>
              <w:rPr>
                <w:sz w:val="19"/>
              </w:rPr>
              <w:t>+61%</w:t>
            </w:r>
          </w:p>
        </w:tc>
        <w:tc>
          <w:tcPr>
            <w:tcW w:type="dxa" w:w="3456"/>
          </w:tcPr>
          <w:p>
            <w:r>
              <w:rPr>
                <w:sz w:val="19"/>
              </w:rPr>
            </w:r>
            <w:r>
              <w:rPr>
                <w:sz w:val="19"/>
              </w:rPr>
              <w:t>–55% over 1 year</w:t>
            </w:r>
          </w:p>
        </w:tc>
      </w:tr>
      <w:tr>
        <w:tc>
          <w:tcPr>
            <w:tcW w:type="dxa" w:w="3312"/>
          </w:tcPr>
          <w:p>
            <w:r>
              <w:rPr>
                <w:sz w:val="19"/>
              </w:rPr>
            </w:r>
            <w:r>
              <w:rPr>
                <w:sz w:val="19"/>
              </w:rPr>
              <w:t>Cognex</w:t>
            </w:r>
          </w:p>
        </w:tc>
        <w:tc>
          <w:tcPr>
            <w:tcW w:type="dxa" w:w="2736"/>
          </w:tcPr>
          <w:p>
            <w:r>
              <w:rPr>
                <w:sz w:val="19"/>
              </w:rPr>
            </w:r>
            <w:r>
              <w:rPr>
                <w:sz w:val="19"/>
              </w:rPr>
              <w:t>9.5x</w:t>
            </w:r>
          </w:p>
        </w:tc>
        <w:tc>
          <w:tcPr>
            <w:tcW w:type="dxa" w:w="1872"/>
          </w:tcPr>
          <w:p>
            <w:r>
              <w:rPr>
                <w:sz w:val="19"/>
              </w:rPr>
            </w:r>
            <w:r>
              <w:rPr>
                <w:sz w:val="19"/>
              </w:rPr>
              <w:t>+17%</w:t>
            </w:r>
          </w:p>
        </w:tc>
        <w:tc>
          <w:tcPr>
            <w:tcW w:type="dxa" w:w="3456"/>
          </w:tcPr>
          <w:p>
            <w:r>
              <w:rPr>
                <w:sz w:val="19"/>
              </w:rPr>
            </w:r>
          </w:p>
        </w:tc>
      </w:tr>
      <w:tr>
        <w:tc>
          <w:tcPr>
            <w:tcW w:type="dxa" w:w="3312"/>
          </w:tcPr>
          <w:p>
            <w:r>
              <w:rPr>
                <w:sz w:val="19"/>
              </w:rPr>
            </w:r>
            <w:r>
              <w:rPr>
                <w:sz w:val="19"/>
              </w:rPr>
              <w:t>Geek+ 2590</w:t>
            </w:r>
          </w:p>
        </w:tc>
        <w:tc>
          <w:tcPr>
            <w:tcW w:type="dxa" w:w="2736"/>
          </w:tcPr>
          <w:p>
            <w:r>
              <w:rPr>
                <w:sz w:val="19"/>
              </w:rPr>
            </w:r>
            <w:r>
              <w:rPr>
                <w:sz w:val="19"/>
              </w:rPr>
              <w:t>3.8x</w:t>
            </w:r>
          </w:p>
        </w:tc>
        <w:tc>
          <w:tcPr>
            <w:tcW w:type="dxa" w:w="1872"/>
          </w:tcPr>
          <w:p>
            <w:r>
              <w:rPr>
                <w:sz w:val="19"/>
              </w:rPr>
            </w:r>
            <w:r>
              <w:rPr>
                <w:sz w:val="19"/>
              </w:rPr>
              <w:t>+32%</w:t>
            </w:r>
          </w:p>
        </w:tc>
        <w:tc>
          <w:tcPr>
            <w:tcW w:type="dxa" w:w="3456"/>
          </w:tcPr>
          <w:p>
            <w:r>
              <w:rPr>
                <w:sz w:val="19"/>
              </w:rPr>
            </w:r>
            <w:r>
              <w:rPr>
                <w:sz w:val="19"/>
              </w:rPr>
              <w:t>39% below issue</w:t>
            </w:r>
          </w:p>
        </w:tc>
      </w:tr>
      <w:tr>
        <w:tc>
          <w:tcPr>
            <w:tcW w:type="dxa" w:w="3312"/>
          </w:tcPr>
          <w:p>
            <w:r>
              <w:rPr>
                <w:sz w:val="19"/>
              </w:rPr>
            </w:r>
            <w:r>
              <w:rPr>
                <w:sz w:val="19"/>
              </w:rPr>
              <w:t>RoboSense 2498</w:t>
            </w:r>
          </w:p>
        </w:tc>
        <w:tc>
          <w:tcPr>
            <w:tcW w:type="dxa" w:w="2736"/>
          </w:tcPr>
          <w:p>
            <w:r>
              <w:rPr>
                <w:sz w:val="19"/>
              </w:rPr>
            </w:r>
            <w:r>
              <w:rPr>
                <w:sz w:val="19"/>
              </w:rPr>
              <w:t>3.5x</w:t>
            </w:r>
          </w:p>
        </w:tc>
        <w:tc>
          <w:tcPr>
            <w:tcW w:type="dxa" w:w="1872"/>
          </w:tcPr>
          <w:p>
            <w:r>
              <w:rPr>
                <w:sz w:val="19"/>
              </w:rPr>
            </w:r>
            <w:r>
              <w:rPr>
                <w:sz w:val="19"/>
              </w:rPr>
              <w:t>+28%</w:t>
            </w:r>
          </w:p>
        </w:tc>
        <w:tc>
          <w:tcPr>
            <w:tcW w:type="dxa" w:w="3456"/>
          </w:tcPr>
          <w:p>
            <w:r>
              <w:rPr>
                <w:sz w:val="19"/>
              </w:rPr>
            </w:r>
            <w:r>
              <w:rPr>
                <w:sz w:val="19"/>
              </w:rPr>
              <w:t>–52% over 1 year</w:t>
            </w:r>
          </w:p>
        </w:tc>
      </w:tr>
    </w:tbl>
    <w:p/>
    <w:p>
      <w:r>
        <w:t>Two ways to read the table, and it matters which one you trade:</w:t>
      </w:r>
    </w:p>
    <w:p>
      <w:pPr>
        <w:pStyle w:val="ListNumber"/>
      </w:pPr>
      <w:r>
        <w:rPr>
          <w:b/>
        </w:rPr>
        <w:t>Through-cycle read</w:t>
      </w:r>
      <w:r>
        <w:t xml:space="preserve">: the proven growth leaders in the cohort — Horizon, UBTech — trade 16–18x sales. Grant Mech-Mind a full quality premium for the 65% margin, the +73% acceleration and the #1 global slot — say 40–50% over those anchors — and you land at 23–26x, or a fair market cap of </w:t>
      </w:r>
      <w:r>
        <w:rPr>
          <w:b/>
        </w:rPr>
        <w:t>~HK$10–11bn</w:t>
      </w:r>
      <w:r>
        <w:t xml:space="preserve">. The range asks 12.7bn. So on fundamentals the deal is </w:t>
      </w:r>
      <w:r>
        <w:rPr>
          <w:b/>
        </w:rPr>
        <w:t>~15–25% rich</w:t>
      </w:r>
      <w:r>
        <w:t>, and rich against every profitable comp on the planet (Keyence, 16x, actually makes money).</w:t>
      </w:r>
    </w:p>
    <w:p>
      <w:pPr>
        <w:pStyle w:val="ListNumber"/>
      </w:pPr>
      <w:r>
        <w:rPr>
          <w:b/>
        </w:rPr>
        <w:t>Tactical read</w:t>
      </w:r>
      <w:r>
        <w:t xml:space="preserve">: the anchor the market will actually use on Monday is </w:t>
      </w:r>
      <w:r>
        <w:rPr>
          <w:b/>
        </w:rPr>
        <w:t>Rokae at ~29x</w:t>
      </w:r>
      <w:r>
        <w:t xml:space="preserve"> — listed seven weeks ago at 17x, ran +69% on a July profit alert, now trades at exactly Mech-Mind's asking multiple. Against that live benchmark, Mech-Mind at the same 29x with three times Rokae's gross margin (</w:t>
      </w:r>
      <w:r>
        <w:rPr>
          <w:b/>
        </w:rPr>
        <w:t>64.6% vs 21.9%</w:t>
      </w:r>
      <w:r>
        <w:t xml:space="preserve">, both prospectus-filed) screens relatively cheap. Run it in gross-profit terms and the point is stark: at the same P/S you're paying roughly </w:t>
      </w:r>
      <w:r>
        <w:rPr>
          <w:b/>
        </w:rPr>
        <w:t>45x gross profit for Mech-Mind versus ~130x for Rokae</w:t>
      </w:r>
      <w:r>
        <w:t xml:space="preserve"> — three times more per dollar of gross profit for the hardware name. That relative cheapness is what the momentum crowd will buy. (Rokae, to be clear, is a peer but a complement, not a competitor: it builds the arms, Mech-Mind builds the vision that guides them. Same wave, different layer — which is why the read-across works for pricing but not for market-share worries.)</w:t>
      </w:r>
    </w:p>
    <w:p>
      <w:r>
        <w:t xml:space="preserve">So: fundamentally rich, tactically at par with the hottest name on the tape. The syndicate knew exactly what it was doing. The warning label is </w:t>
      </w:r>
      <w:r>
        <w:rPr>
          <w:b/>
        </w:rPr>
        <w:t>Seer 6106</w:t>
      </w:r>
      <w:r>
        <w:t xml:space="preserve"> — near-identical June debut at HK$101.60, doubled in month one, now </w:t>
      </w:r>
      <w:r>
        <w:rPr>
          <w:b/>
        </w:rPr>
        <w:t>36% below issue</w:t>
      </w:r>
      <w:r>
        <w:t>. Same setup, no delivery. The difference between the Rokae path and the Seer path was a single earnings print.</w:t>
      </w:r>
    </w:p>
    <w:p>
      <w:pPr>
        <w:pStyle w:val="Heading2"/>
      </w:pPr>
      <w:r>
        <w:t>View</w:t>
      </w:r>
    </w:p>
    <w:p>
      <w:pPr>
        <w:pStyle w:val="ListBullet"/>
      </w:pPr>
      <w:r>
        <w:rPr>
          <w:b/>
        </w:rPr>
        <w:t>It pops.</w:t>
      </w:r>
      <w:r>
        <w:t xml:space="preserve"> 7% float, 518x book, sector momentum, and Everbright's strategist publicly calling it the better debut of the two. Grey market Monday evening confirms; </w:t>
      </w:r>
      <w:r>
        <w:rPr>
          <w:b/>
        </w:rPr>
        <w:t>+20–60% on day one is plausible</w:t>
      </w:r>
      <w:r>
        <w:t>.</w:t>
      </w:r>
    </w:p>
    <w:p>
      <w:pPr>
        <w:pStyle w:val="ListBullet"/>
      </w:pPr>
      <w:r>
        <w:rPr>
          <w:b/>
        </w:rPr>
        <w:t>Whether you keep it is decided by the first print.</w:t>
      </w:r>
      <w:r>
        <w:t xml:space="preserve"> Rokae held its gains because it showed profit acceleration three weeks after listing; Seer showed nothing and round-tripped. Mech-Mind has the best shot in the cohort at the Rokae path — but at 29x sales there is zero room for a miss.</w:t>
      </w:r>
    </w:p>
    <w:p>
      <w:pPr>
        <w:pStyle w:val="ListBullet"/>
      </w:pPr>
      <w:r>
        <w:t xml:space="preserve">Treat it as a debut trade unless you are consciously underwriting that first print. And diarise </w:t>
      </w:r>
      <w:r>
        <w:rPr>
          <w:b/>
        </w:rPr>
        <w:t>March 2027</w:t>
      </w:r>
      <w:r>
        <w:t>: cornerstones plus pre-IPO holders (~35% of the company, all sitting on big gains) unlock into a 7% float — with possible southbound eligibility arriving around the same time as the offset.</w:t>
      </w:r>
    </w:p>
    <w:p>
      <w:pPr>
        <w:pStyle w:val="Heading1"/>
      </w:pPr>
      <w:r>
        <w:t>3. Ingenic (3223 HK) — the print landed, close-out</w:t>
      </w:r>
    </w:p>
    <w:p>
      <w:r>
        <w:t>New H-listing from Monday, results out Saturday — so keeping this short and practical.</w:t>
      </w:r>
    </w:p>
    <w:p>
      <w:pPr>
        <w:pStyle w:val="Heading2"/>
      </w:pPr>
      <w:r>
        <w:t>What you need to know</w:t>
      </w:r>
    </w:p>
    <w:p>
      <w:pPr>
        <w:pStyle w:val="ListBullet"/>
      </w:pPr>
      <w:r>
        <w:t xml:space="preserve">Despite the CPU history, this is a </w:t>
      </w:r>
      <w:r>
        <w:rPr>
          <w:b/>
        </w:rPr>
        <w:t>memory company</w:t>
      </w:r>
      <w:r>
        <w:t>: 61% of revenue is auto/industrial SRAM (global #1 in auto SRAM), niche DRAM and NOR flash, with camera SoCs and some analog around it. Treat it as a leveraged play on legacy memory pricing.</w:t>
      </w:r>
    </w:p>
    <w:p>
      <w:pPr>
        <w:pStyle w:val="ListBullet"/>
      </w:pPr>
      <w:r>
        <w:t xml:space="preserve">And legacy memory is on fire. Samsung, Hynix and Micron walked away from DDR4 to build HBM, the stuff went into shortage, spot rose another 17% in July. Ingenic reprices quarterly with a lag and is sitting on roughly a year of old-cost inventory — so while prices rise, every quarter's margin beats the last. Q1 profit was +332%; H1 is guided </w:t>
      </w:r>
      <w:r>
        <w:rPr>
          <w:b/>
        </w:rPr>
        <w:t>+431–531% (RMB 1.08–1.28bn — versus 375m for all of last year)</w:t>
      </w:r>
      <w:r>
        <w:t>.</w:t>
      </w:r>
    </w:p>
    <w:p>
      <w:pPr>
        <w:pStyle w:val="Heading2"/>
      </w:pPr>
      <w:r>
        <w:t>Saturday's print — what the buyside is watching</w:t>
      </w:r>
    </w:p>
    <w:p>
      <w:pPr>
        <w:pStyle w:val="ListBullet"/>
      </w:pPr>
      <w:r>
        <w:t xml:space="preserve">Revenue (+77%) and the profit range are already public, so the print itself is about three things: </w:t>
      </w:r>
      <w:r>
        <w:rPr>
          <w:b/>
        </w:rPr>
        <w:t>Q2 gross margin</w:t>
      </w:r>
      <w:r>
        <w:t xml:space="preserve"> (Q1 was 43% blended, memory 39% — the street wants memory in the mid-40s), </w:t>
      </w:r>
      <w:r>
        <w:rPr>
          <w:b/>
        </w:rPr>
        <w:t>inventory</w:t>
      </w:r>
      <w:r>
        <w:t xml:space="preserve"> (drawing down into strength, or still building), and whether management repeats that </w:t>
      </w:r>
      <w:r>
        <w:rPr>
          <w:b/>
        </w:rPr>
        <w:t>Q3/Q4 hikes are still coming</w:t>
      </w:r>
      <w:r>
        <w:t>.</w:t>
      </w:r>
    </w:p>
    <w:p>
      <w:pPr>
        <w:pStyle w:val="ListBullet"/>
      </w:pPr>
      <w:r>
        <w:rPr>
          <w:b/>
        </w:rPr>
        <w:t>Buyside expectation is top of the guided range, ~RMB 1.25bn</w:t>
      </w:r>
      <w:r>
        <w:t xml:space="preserve"> — the range was set 13 Jul and spot kept climbing after that, so mid-range would actually read as a miss. Screen consensus is stale (still shows less for the full year than H1 alone could print) — ignore it, the whisper is the bar.</w:t>
      </w:r>
    </w:p>
    <w:p>
      <w:pPr>
        <w:pStyle w:val="ListBullet"/>
      </w:pPr>
      <w:r>
        <w:t>Positioning is cleaner than you'd guess: the stock is ~35% off its July high, margin longs got flushed, and the +77% revenue disclosure was *sold* on the day. The fast money already left. That's the GigaDevice setup — it fell seven straight days into its print, then went limit-up on the actual numbers.</w:t>
      </w:r>
    </w:p>
    <w:p>
      <w:pPr>
        <w:pStyle w:val="ListBullet"/>
      </w:pPr>
      <w:r>
        <w:rPr>
          <w:b/>
        </w:rPr>
        <w:t>Our number: H1 ~1.20–1.25bn, Q2 gross margin 46–48%. Slight positive lean into Monday.</w:t>
      </w:r>
      <w:r>
        <w:t xml:space="preserve"> The risk case is mid-range profit with memory margin stuck near 40 — then sell-the-fact wins the day.</w:t>
      </w:r>
    </w:p>
    <w:p>
      <w:pPr>
        <w:pStyle w:val="Heading2"/>
      </w:pPr>
      <w:r>
        <w:t>Update — results are in (1 Sep)</w:t>
      </w:r>
    </w:p>
    <w:p>
      <w:pPr>
        <w:pStyle w:val="ListBullet"/>
      </w:pPr>
      <w:r>
        <w:t xml:space="preserve">H1 profit printed </w:t>
      </w:r>
      <w:r>
        <w:rPr>
          <w:b/>
        </w:rPr>
        <w:t>RMB 1,198m, +490%</w:t>
      </w:r>
      <w:r>
        <w:t xml:space="preserve"> — mid-upper of the guided range, a touch under the top-of-range whisper (and a hair below our 1.20–1.25bn call). But the quality was there: revenue +76%, and </w:t>
      </w:r>
      <w:r>
        <w:rPr>
          <w:b/>
        </w:rPr>
        <w:t>operating cash flow positive at RMB 959m</w:t>
      </w:r>
      <w:r>
        <w:t xml:space="preserve"> — the margins are real and the cash confirms it. No sell-the-fact: Monday the A closed +3.1%, the H +2.6% at HK$101.50, still holding just above the HK$100 issue price.</w:t>
      </w:r>
    </w:p>
    <w:p>
      <w:pPr>
        <w:pStyle w:val="ListBullet"/>
      </w:pPr>
      <w:r>
        <w:t>Nothing changes in the view: it's the cycle trade at ~19x, and the next thing that matters is Q3 hike confirmation. Worth keeping on because of Longsys below — Ingenic is now the control case for what a *good* memory business looks like in this cycle.</w:t>
      </w:r>
    </w:p>
    <w:p>
      <w:pPr>
        <w:pStyle w:val="Heading2"/>
      </w:pPr>
      <w:r>
        <w:t>Valuation</w:t>
      </w:r>
    </w:p>
    <w:p>
      <w:pPr>
        <w:pStyle w:val="ListBullet"/>
      </w:pPr>
      <w:r>
        <w:t xml:space="preserve">At ~HK$101 the H costs about </w:t>
      </w:r>
      <w:r>
        <w:rPr>
          <w:b/>
        </w:rPr>
        <w:t>19x this year's annualised earnings</w:t>
      </w:r>
      <w:r>
        <w:t>. GigaDevice — same cycle, just printed H1 +1,092% — trades at 36x. Montage is over 100x. Global memory (Micron, Winbond) sits around 20x forward. So: not expensive against the China cohort, in line with global.</w:t>
      </w:r>
    </w:p>
    <w:p>
      <w:pPr>
        <w:pStyle w:val="ListBullet"/>
      </w:pPr>
      <w:r>
        <w:t xml:space="preserve">Just be clear what you own at 19x: </w:t>
      </w:r>
      <w:r>
        <w:rPr>
          <w:b/>
        </w:rPr>
        <w:t>a cycle position, not a value stock</w:t>
      </w:r>
      <w:r>
        <w:t>. The company itself says it can't see past mid-2027, Taiwan is already muttering about a Q4 margin-defence war, and the same year of cheap inventory driving the beats becomes the writedown when prices roll. Trade the print and the hikes; don't marry it.</w:t>
      </w:r>
    </w:p>
    <w:p>
      <w:pPr>
        <w:pStyle w:val="Heading1"/>
      </w:pPr>
      <w:r>
        <w:t>4. Medcaptain (2041 HK) — new deal, book open now</w:t>
      </w:r>
    </w:p>
    <w:p>
      <w:r>
        <w:t>Medtech deal launched Friday: closes Wed 2 Sep, grey market 4 Sep, lists Mon 7 Sep. Fixed price HK$15.42 (no range), ~HK$600m raise, ~HK$8.3bn market cap, Morgan Stanley and Huatai running it. Entry ticket is small, HK$1,558 a lot.</w:t>
      </w:r>
    </w:p>
    <w:p>
      <w:pPr>
        <w:pStyle w:val="Heading2"/>
      </w:pPr>
      <w:r>
        <w:t>What you need to know</w:t>
      </w:r>
    </w:p>
    <w:p>
      <w:pPr>
        <w:pStyle w:val="ListBullet"/>
      </w:pPr>
      <w:r>
        <w:t>The pitch is 'mini-Mindray': the chairman is Mindray's ex-CFO/COO, five of seven senior managers are ex-Mindray, and Hillhouse owns 21% pre-IPO. It's China #1 in infusion workstations (every year since 2018), ~90% of top-tier hospitals as customers, nearly half of revenue overseas, 54% gross margin.</w:t>
      </w:r>
    </w:p>
    <w:p>
      <w:pPr>
        <w:pStyle w:val="ListBullet"/>
      </w:pPr>
      <w:r>
        <w:t xml:space="preserve">But the shape of the business is an M&amp;A roll-up, and it shows. Half of revenue is GI endoscopy consumables that came with one acquisition — and the goodwill on the balance sheet equals </w:t>
      </w:r>
      <w:r>
        <w:rPr>
          <w:b/>
        </w:rPr>
        <w:t>half of net assets</w:t>
      </w:r>
      <w:r>
        <w:t>, mostly booked against that same unit. The UK anaesthesia business (Penlon) is shrinking. 83% of sales go through distributors.</w:t>
      </w:r>
    </w:p>
    <w:p>
      <w:pPr>
        <w:pStyle w:val="ListBullet"/>
      </w:pPr>
      <w:r>
        <w:t xml:space="preserve">Earnings are barely there: first-ever profit in 2025 (RMB 51m on RMB 1.62bn revenue — a 3% margin; RMB 129m on the adjusted basis), and </w:t>
      </w:r>
      <w:r>
        <w:rPr>
          <w:b/>
        </w:rPr>
        <w:t>Q1 2026 already slipped back to a small loss</w:t>
      </w:r>
      <w:r>
        <w:t>. Revenue growth is mid-teens, not the 39% CAGR in the marketing material — that figure is adjusted EBITDA, read the footnote.</w:t>
      </w:r>
    </w:p>
    <w:p>
      <w:pPr>
        <w:pStyle w:val="ListBullet"/>
      </w:pPr>
      <w:r>
        <w:t xml:space="preserve">And the deal structure is bare: </w:t>
      </w:r>
      <w:r>
        <w:rPr>
          <w:b/>
        </w:rPr>
        <w:t>no cornerstones, no greenshoe, no stabilising agent</w:t>
      </w:r>
      <w:r>
        <w:t xml:space="preserve"> — on a fixed price. Day one the book looked tepid (~7x margin cover). Then the weekend happened: </w:t>
      </w:r>
      <w:r>
        <w:rPr>
          <w:b/>
        </w:rPr>
        <w:t>~53x by Sunday midday and climbing</w:t>
      </w:r>
      <w:r>
        <w:t>. With free float at just 7.2% of the company and the public tranche capped at 15% even on a monster book, the debut mechanics now look like the micro-float medtech squeezes (Tianxing +116% day 1, Truehealth +217%) rather than the cold deal Friday suggested.</w:t>
      </w:r>
    </w:p>
    <w:p>
      <w:pPr>
        <w:pStyle w:val="ListBullet"/>
      </w:pPr>
      <w:r>
        <w:t xml:space="preserve">Three things from the deeper dig that sharpen the picture. First, </w:t>
      </w:r>
      <w:r>
        <w:rPr>
          <w:b/>
        </w:rPr>
        <w:t>VBP isn't a hypothetical here</w:t>
      </w:r>
      <w:r>
        <w:t xml:space="preserve"> — the GI segment's hemostatic clips already went through the Beijing-Tianjin-Hebei alliance tender in April 2024 (its unit won, at prices ~25% lower), and segment growth promptly halved from +23% (2024) to +13% (2025). Second, </w:t>
      </w:r>
      <w:r>
        <w:rPr>
          <w:b/>
        </w:rPr>
        <w:t>Penlon is genuinely struggling</w:t>
      </w:r>
      <w:r>
        <w:t>: revenue −16% last year, Q1 gross margin 18.4% against the group's 54%. Third, the goodwill story is worse up close: they paid RMB 1.7bn for the GI business — ~22% above a valuation the CSRC had blocked a year earlier — and the goodwill sitting on it equals ~18x that unit's annual profit.</w:t>
      </w:r>
    </w:p>
    <w:p>
      <w:pPr>
        <w:pStyle w:val="ListBullet"/>
      </w:pPr>
      <w:r>
        <w:t xml:space="preserve">On the plus side: 2025 was the first year of </w:t>
      </w:r>
      <w:r>
        <w:rPr>
          <w:b/>
        </w:rPr>
        <w:t>positive operating cash flow (+RMB 204m)</w:t>
      </w:r>
      <w:r>
        <w:t>, Q1's adjusted net margin was 7.9% (the IFRS loss is share-based comp plus listing costs), and the H1 interim — due shortly after the Sep 7 listing — is the first catalyst either way.</w:t>
      </w:r>
    </w:p>
    <w:p>
      <w:pPr>
        <w:pStyle w:val="Heading2"/>
      </w:pPr>
      <w:r>
        <w:t>Valuation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880"/>
          </w:tcPr>
          <w:p>
            <w:r/>
            <w:r>
              <w:rPr>
                <w:b/>
                <w:sz w:val="19"/>
              </w:rPr>
            </w:r>
          </w:p>
        </w:tc>
        <w:tc>
          <w:tcPr>
            <w:tcW w:type="dxa" w:w="2160"/>
          </w:tcPr>
          <w:p>
            <w:r/>
            <w:r>
              <w:rPr>
                <w:b/>
                <w:sz w:val="19"/>
              </w:rPr>
              <w:t>Trail P/E</w:t>
            </w:r>
          </w:p>
        </w:tc>
        <w:tc>
          <w:tcPr>
            <w:tcW w:type="dxa" w:w="1440"/>
          </w:tcPr>
          <w:p>
            <w:r/>
            <w:r>
              <w:rPr>
                <w:b/>
                <w:sz w:val="19"/>
              </w:rPr>
              <w:t>P/S</w:t>
            </w:r>
          </w:p>
        </w:tc>
        <w:tc>
          <w:tcPr>
            <w:tcW w:type="dxa" w:w="1296"/>
          </w:tcPr>
          <w:p>
            <w:r/>
            <w:r>
              <w:rPr>
                <w:b/>
                <w:sz w:val="19"/>
              </w:rPr>
              <w:t>Rev growth</w:t>
            </w:r>
          </w:p>
        </w:tc>
        <w:tc>
          <w:tcPr>
            <w:tcW w:type="dxa" w:w="1296"/>
          </w:tcPr>
          <w:p>
            <w:r/>
            <w:r>
              <w:rPr>
                <w:b/>
                <w:sz w:val="19"/>
              </w:rPr>
              <w:t>vs IPO</w:t>
            </w:r>
          </w:p>
        </w:tc>
        <w:tc>
          <w:tcPr>
            <w:tcW w:type="dxa" w:w="2448"/>
          </w:tcPr>
          <w:p>
            <w:r/>
            <w:r>
              <w:rPr>
                <w:b/>
                <w:sz w:val="19"/>
              </w:rPr>
              <w:t>Note</w:t>
            </w:r>
          </w:p>
        </w:tc>
      </w:tr>
      <w:tr>
        <w:tc>
          <w:tcPr>
            <w:tcW w:type="dxa" w:w="2880"/>
          </w:tcPr>
          <w:p>
            <w:r>
              <w:rPr>
                <w:sz w:val="19"/>
              </w:rPr>
            </w:r>
            <w:r>
              <w:rPr>
                <w:b/>
                <w:sz w:val="19"/>
              </w:rPr>
              <w:t>Medcaptain @ HK$15.42</w:t>
            </w:r>
          </w:p>
        </w:tc>
        <w:tc>
          <w:tcPr>
            <w:tcW w:type="dxa" w:w="2160"/>
          </w:tcPr>
          <w:p>
            <w:r>
              <w:rPr>
                <w:sz w:val="19"/>
              </w:rPr>
            </w:r>
            <w:r>
              <w:rPr>
                <w:b/>
                <w:sz w:val="19"/>
              </w:rPr>
              <w:t>~150x IFRS / ~59x adj.</w:t>
            </w:r>
          </w:p>
        </w:tc>
        <w:tc>
          <w:tcPr>
            <w:tcW w:type="dxa" w:w="1440"/>
          </w:tcPr>
          <w:p>
            <w:r>
              <w:rPr>
                <w:sz w:val="19"/>
              </w:rPr>
            </w:r>
            <w:r>
              <w:rPr>
                <w:b/>
                <w:sz w:val="19"/>
              </w:rPr>
              <w:t>4.7x</w:t>
            </w:r>
          </w:p>
        </w:tc>
        <w:tc>
          <w:tcPr>
            <w:tcW w:type="dxa" w:w="1296"/>
          </w:tcPr>
          <w:p>
            <w:r>
              <w:rPr>
                <w:sz w:val="19"/>
              </w:rPr>
            </w:r>
            <w:r>
              <w:rPr>
                <w:sz w:val="19"/>
              </w:rPr>
              <w:t>+16%</w:t>
            </w:r>
          </w:p>
        </w:tc>
        <w:tc>
          <w:tcPr>
            <w:tcW w:type="dxa" w:w="1296"/>
          </w:tcPr>
          <w:p>
            <w:r>
              <w:rPr>
                <w:sz w:val="19"/>
              </w:rPr>
            </w:r>
            <w:r>
              <w:rPr>
                <w:sz w:val="19"/>
              </w:rPr>
              <w:t>—</w:t>
            </w:r>
          </w:p>
        </w:tc>
        <w:tc>
          <w:tcPr>
            <w:tcW w:type="dxa" w:w="2448"/>
          </w:tcPr>
          <w:p>
            <w:r>
              <w:rPr>
                <w:sz w:val="19"/>
              </w:rPr>
            </w:r>
            <w:r>
              <w:rPr>
                <w:sz w:val="19"/>
              </w:rPr>
              <w:t>3% net margin (8% adj.)</w:t>
            </w:r>
          </w:p>
        </w:tc>
      </w:tr>
      <w:tr>
        <w:tc>
          <w:tcPr>
            <w:tcW w:type="dxa" w:w="2880"/>
          </w:tcPr>
          <w:p>
            <w:r>
              <w:rPr>
                <w:sz w:val="19"/>
              </w:rPr>
            </w:r>
            <w:r>
              <w:rPr>
                <w:b/>
                <w:sz w:val="19"/>
              </w:rPr>
              <w:t>Micro-Tech 南微 (direct comp)</w:t>
            </w:r>
          </w:p>
        </w:tc>
        <w:tc>
          <w:tcPr>
            <w:tcW w:type="dxa" w:w="2160"/>
          </w:tcPr>
          <w:p>
            <w:r>
              <w:rPr>
                <w:sz w:val="19"/>
              </w:rPr>
            </w:r>
            <w:r>
              <w:rPr>
                <w:sz w:val="19"/>
              </w:rPr>
              <w:t>28.5x</w:t>
            </w:r>
          </w:p>
        </w:tc>
        <w:tc>
          <w:tcPr>
            <w:tcW w:type="dxa" w:w="1440"/>
          </w:tcPr>
          <w:p>
            <w:r>
              <w:rPr>
                <w:sz w:val="19"/>
              </w:rPr>
            </w:r>
            <w:r>
              <w:rPr>
                <w:sz w:val="19"/>
              </w:rPr>
              <w:t>4.3x</w:t>
            </w:r>
          </w:p>
        </w:tc>
        <w:tc>
          <w:tcPr>
            <w:tcW w:type="dxa" w:w="1296"/>
          </w:tcPr>
          <w:p>
            <w:r>
              <w:rPr>
                <w:sz w:val="19"/>
              </w:rPr>
            </w:r>
            <w:r>
              <w:rPr>
                <w:sz w:val="19"/>
              </w:rPr>
              <w:t>+12%</w:t>
            </w:r>
          </w:p>
        </w:tc>
        <w:tc>
          <w:tcPr>
            <w:tcW w:type="dxa" w:w="1296"/>
          </w:tcPr>
          <w:p>
            <w:r>
              <w:rPr>
                <w:sz w:val="19"/>
              </w:rPr>
            </w:r>
            <w:r>
              <w:rPr>
                <w:sz w:val="19"/>
              </w:rPr>
              <w:t>—</w:t>
            </w:r>
          </w:p>
        </w:tc>
        <w:tc>
          <w:tcPr>
            <w:tcW w:type="dxa" w:w="2448"/>
          </w:tcPr>
          <w:p>
            <w:r>
              <w:rPr>
                <w:sz w:val="19"/>
              </w:rPr>
            </w:r>
            <w:r>
              <w:rPr>
                <w:sz w:val="19"/>
              </w:rPr>
              <w:t>15% margin, same VBP</w:t>
            </w:r>
          </w:p>
        </w:tc>
      </w:tr>
      <w:tr>
        <w:tc>
          <w:tcPr>
            <w:tcW w:type="dxa" w:w="2880"/>
          </w:tcPr>
          <w:p>
            <w:r>
              <w:rPr>
                <w:sz w:val="19"/>
              </w:rPr>
            </w:r>
            <w:r>
              <w:rPr>
                <w:sz w:val="19"/>
              </w:rPr>
              <w:t>Mindray 300760</w:t>
            </w:r>
          </w:p>
        </w:tc>
        <w:tc>
          <w:tcPr>
            <w:tcW w:type="dxa" w:w="2160"/>
          </w:tcPr>
          <w:p>
            <w:r>
              <w:rPr>
                <w:sz w:val="19"/>
              </w:rPr>
            </w:r>
            <w:r>
              <w:rPr>
                <w:sz w:val="19"/>
              </w:rPr>
              <w:t>25.5x</w:t>
            </w:r>
          </w:p>
        </w:tc>
        <w:tc>
          <w:tcPr>
            <w:tcW w:type="dxa" w:w="1440"/>
          </w:tcPr>
          <w:p>
            <w:r>
              <w:rPr>
                <w:sz w:val="19"/>
              </w:rPr>
            </w:r>
            <w:r>
              <w:rPr>
                <w:sz w:val="19"/>
              </w:rPr>
              <w:t>5.8x</w:t>
            </w:r>
          </w:p>
        </w:tc>
        <w:tc>
          <w:tcPr>
            <w:tcW w:type="dxa" w:w="1296"/>
          </w:tcPr>
          <w:p>
            <w:r>
              <w:rPr>
                <w:sz w:val="19"/>
              </w:rPr>
            </w:r>
            <w:r>
              <w:rPr>
                <w:sz w:val="19"/>
              </w:rPr>
              <w:t>+4%</w:t>
            </w:r>
          </w:p>
        </w:tc>
        <w:tc>
          <w:tcPr>
            <w:tcW w:type="dxa" w:w="1296"/>
          </w:tcPr>
          <w:p>
            <w:r>
              <w:rPr>
                <w:sz w:val="19"/>
              </w:rPr>
            </w:r>
            <w:r>
              <w:rPr>
                <w:sz w:val="19"/>
              </w:rPr>
              <w:t>—</w:t>
            </w:r>
          </w:p>
        </w:tc>
        <w:tc>
          <w:tcPr>
            <w:tcW w:type="dxa" w:w="2448"/>
          </w:tcPr>
          <w:p>
            <w:r>
              <w:rPr>
                <w:sz w:val="19"/>
              </w:rPr>
            </w:r>
            <w:r>
              <w:rPr>
                <w:sz w:val="19"/>
              </w:rPr>
              <w:t>the quality anchor</w:t>
            </w:r>
          </w:p>
        </w:tc>
      </w:tr>
      <w:tr>
        <w:tc>
          <w:tcPr>
            <w:tcW w:type="dxa" w:w="2880"/>
          </w:tcPr>
          <w:p>
            <w:r>
              <w:rPr>
                <w:sz w:val="19"/>
              </w:rPr>
            </w:r>
            <w:r>
              <w:rPr>
                <w:sz w:val="19"/>
              </w:rPr>
              <w:t>AK Medical 1789</w:t>
            </w:r>
          </w:p>
        </w:tc>
        <w:tc>
          <w:tcPr>
            <w:tcW w:type="dxa" w:w="2160"/>
          </w:tcPr>
          <w:p>
            <w:r>
              <w:rPr>
                <w:sz w:val="19"/>
              </w:rPr>
            </w:r>
            <w:r>
              <w:rPr>
                <w:sz w:val="19"/>
              </w:rPr>
              <w:t>13.2x</w:t>
            </w:r>
          </w:p>
        </w:tc>
        <w:tc>
          <w:tcPr>
            <w:tcW w:type="dxa" w:w="1440"/>
          </w:tcPr>
          <w:p>
            <w:r>
              <w:rPr>
                <w:sz w:val="19"/>
              </w:rPr>
            </w:r>
            <w:r>
              <w:rPr>
                <w:sz w:val="19"/>
              </w:rPr>
              <w:t>3.1x</w:t>
            </w:r>
          </w:p>
        </w:tc>
        <w:tc>
          <w:tcPr>
            <w:tcW w:type="dxa" w:w="1296"/>
          </w:tcPr>
          <w:p>
            <w:r>
              <w:rPr>
                <w:sz w:val="19"/>
              </w:rPr>
            </w:r>
            <w:r>
              <w:rPr>
                <w:sz w:val="19"/>
              </w:rPr>
              <w:t>+12%</w:t>
            </w:r>
          </w:p>
        </w:tc>
        <w:tc>
          <w:tcPr>
            <w:tcW w:type="dxa" w:w="1296"/>
          </w:tcPr>
          <w:p>
            <w:r>
              <w:rPr>
                <w:sz w:val="19"/>
              </w:rPr>
            </w:r>
            <w:r>
              <w:rPr>
                <w:sz w:val="19"/>
              </w:rPr>
              <w:t>—</w:t>
            </w:r>
          </w:p>
        </w:tc>
        <w:tc>
          <w:tcPr>
            <w:tcW w:type="dxa" w:w="2448"/>
          </w:tcPr>
          <w:p>
            <w:r>
              <w:rPr>
                <w:sz w:val="19"/>
              </w:rPr>
            </w:r>
          </w:p>
        </w:tc>
      </w:tr>
      <w:tr>
        <w:tc>
          <w:tcPr>
            <w:tcW w:type="dxa" w:w="2880"/>
          </w:tcPr>
          <w:p>
            <w:r>
              <w:rPr>
                <w:sz w:val="19"/>
              </w:rPr>
            </w:r>
            <w:r>
              <w:rPr>
                <w:sz w:val="19"/>
              </w:rPr>
              <w:t>Weigao 1066</w:t>
            </w:r>
          </w:p>
        </w:tc>
        <w:tc>
          <w:tcPr>
            <w:tcW w:type="dxa" w:w="2160"/>
          </w:tcPr>
          <w:p>
            <w:r>
              <w:rPr>
                <w:sz w:val="19"/>
              </w:rPr>
            </w:r>
            <w:r>
              <w:rPr>
                <w:sz w:val="19"/>
              </w:rPr>
              <w:t>9.5x</w:t>
            </w:r>
          </w:p>
        </w:tc>
        <w:tc>
          <w:tcPr>
            <w:tcW w:type="dxa" w:w="1440"/>
          </w:tcPr>
          <w:p>
            <w:r>
              <w:rPr>
                <w:sz w:val="19"/>
              </w:rPr>
            </w:r>
            <w:r>
              <w:rPr>
                <w:sz w:val="19"/>
              </w:rPr>
              <w:t>~1.0x</w:t>
            </w:r>
          </w:p>
        </w:tc>
        <w:tc>
          <w:tcPr>
            <w:tcW w:type="dxa" w:w="1296"/>
          </w:tcPr>
          <w:p>
            <w:r>
              <w:rPr>
                <w:sz w:val="19"/>
              </w:rPr>
            </w:r>
            <w:r>
              <w:rPr>
                <w:sz w:val="19"/>
              </w:rPr>
              <w:t>+4%</w:t>
            </w:r>
          </w:p>
        </w:tc>
        <w:tc>
          <w:tcPr>
            <w:tcW w:type="dxa" w:w="1296"/>
          </w:tcPr>
          <w:p>
            <w:r>
              <w:rPr>
                <w:sz w:val="19"/>
              </w:rPr>
            </w:r>
            <w:r>
              <w:rPr>
                <w:sz w:val="19"/>
              </w:rPr>
              <w:t>—</w:t>
            </w:r>
          </w:p>
        </w:tc>
        <w:tc>
          <w:tcPr>
            <w:tcW w:type="dxa" w:w="2448"/>
          </w:tcPr>
          <w:p>
            <w:r>
              <w:rPr>
                <w:sz w:val="19"/>
              </w:rPr>
            </w:r>
            <w:r>
              <w:rPr>
                <w:sz w:val="19"/>
              </w:rPr>
              <w:t>distributor model, like-for-like channel</w:t>
            </w:r>
          </w:p>
        </w:tc>
      </w:tr>
      <w:tr>
        <w:tc>
          <w:tcPr>
            <w:tcW w:type="dxa" w:w="2880"/>
          </w:tcPr>
          <w:p>
            <w:r>
              <w:rPr>
                <w:sz w:val="19"/>
              </w:rPr>
            </w:r>
            <w:r>
              <w:rPr>
                <w:sz w:val="19"/>
              </w:rPr>
              <w:t>Boston Scientific</w:t>
            </w:r>
          </w:p>
        </w:tc>
        <w:tc>
          <w:tcPr>
            <w:tcW w:type="dxa" w:w="2160"/>
          </w:tcPr>
          <w:p>
            <w:r>
              <w:rPr>
                <w:sz w:val="19"/>
              </w:rPr>
            </w:r>
            <w:r>
              <w:rPr>
                <w:sz w:val="19"/>
              </w:rPr>
              <w:t>19x</w:t>
            </w:r>
          </w:p>
        </w:tc>
        <w:tc>
          <w:tcPr>
            <w:tcW w:type="dxa" w:w="1440"/>
          </w:tcPr>
          <w:p>
            <w:r>
              <w:rPr>
                <w:sz w:val="19"/>
              </w:rPr>
            </w:r>
            <w:r>
              <w:rPr>
                <w:sz w:val="19"/>
              </w:rPr>
              <w:t>3.2x</w:t>
            </w:r>
          </w:p>
        </w:tc>
        <w:tc>
          <w:tcPr>
            <w:tcW w:type="dxa" w:w="1296"/>
          </w:tcPr>
          <w:p>
            <w:r>
              <w:rPr>
                <w:sz w:val="19"/>
              </w:rPr>
            </w:r>
            <w:r>
              <w:rPr>
                <w:sz w:val="19"/>
              </w:rPr>
              <w:t>+13%</w:t>
            </w:r>
          </w:p>
        </w:tc>
        <w:tc>
          <w:tcPr>
            <w:tcW w:type="dxa" w:w="1296"/>
          </w:tcPr>
          <w:p>
            <w:r>
              <w:rPr>
                <w:sz w:val="19"/>
              </w:rPr>
            </w:r>
            <w:r>
              <w:rPr>
                <w:sz w:val="19"/>
              </w:rPr>
              <w:t>—</w:t>
            </w:r>
          </w:p>
        </w:tc>
        <w:tc>
          <w:tcPr>
            <w:tcW w:type="dxa" w:w="2448"/>
          </w:tcPr>
          <w:p>
            <w:r>
              <w:rPr>
                <w:sz w:val="19"/>
              </w:rPr>
            </w:r>
            <w:r>
              <w:rPr>
                <w:sz w:val="19"/>
              </w:rPr>
              <w:t>global GI anchor</w:t>
            </w:r>
          </w:p>
        </w:tc>
      </w:tr>
      <w:tr>
        <w:tc>
          <w:tcPr>
            <w:tcW w:type="dxa" w:w="2880"/>
          </w:tcPr>
          <w:p>
            <w:r>
              <w:rPr>
                <w:sz w:val="19"/>
              </w:rPr>
            </w:r>
            <w:r>
              <w:rPr>
                <w:sz w:val="19"/>
              </w:rPr>
              <w:t>— the recently listed HK shelf —</w:t>
            </w:r>
          </w:p>
        </w:tc>
        <w:tc>
          <w:tcPr>
            <w:tcW w:type="dxa" w:w="2160"/>
          </w:tcPr>
          <w:p>
            <w:r>
              <w:rPr>
                <w:sz w:val="19"/>
              </w:rPr>
            </w:r>
          </w:p>
        </w:tc>
        <w:tc>
          <w:tcPr>
            <w:tcW w:type="dxa" w:w="1440"/>
          </w:tcPr>
          <w:p>
            <w:r>
              <w:rPr>
                <w:sz w:val="19"/>
              </w:rPr>
            </w:r>
          </w:p>
        </w:tc>
        <w:tc>
          <w:tcPr>
            <w:tcW w:type="dxa" w:w="1296"/>
          </w:tcPr>
          <w:p>
            <w:r>
              <w:rPr>
                <w:sz w:val="19"/>
              </w:rPr>
            </w:r>
          </w:p>
        </w:tc>
        <w:tc>
          <w:tcPr>
            <w:tcW w:type="dxa" w:w="1296"/>
          </w:tcPr>
          <w:p>
            <w:r>
              <w:rPr>
                <w:sz w:val="19"/>
              </w:rPr>
            </w:r>
          </w:p>
        </w:tc>
        <w:tc>
          <w:tcPr>
            <w:tcW w:type="dxa" w:w="2448"/>
          </w:tcPr>
          <w:p>
            <w:r>
              <w:rPr>
                <w:sz w:val="19"/>
              </w:rPr>
            </w:r>
          </w:p>
        </w:tc>
      </w:tr>
      <w:tr>
        <w:tc>
          <w:tcPr>
            <w:tcW w:type="dxa" w:w="2880"/>
          </w:tcPr>
          <w:p>
            <w:r>
              <w:rPr>
                <w:sz w:val="19"/>
              </w:rPr>
            </w:r>
            <w:r>
              <w:rPr>
                <w:sz w:val="19"/>
              </w:rPr>
              <w:t>Star Sports Med 1609</w:t>
            </w:r>
          </w:p>
        </w:tc>
        <w:tc>
          <w:tcPr>
            <w:tcW w:type="dxa" w:w="2160"/>
          </w:tcPr>
          <w:p>
            <w:r>
              <w:rPr>
                <w:sz w:val="19"/>
              </w:rPr>
            </w:r>
            <w:r>
              <w:rPr>
                <w:sz w:val="19"/>
              </w:rPr>
              <w:t>70.9x</w:t>
            </w:r>
          </w:p>
        </w:tc>
        <w:tc>
          <w:tcPr>
            <w:tcW w:type="dxa" w:w="1440"/>
          </w:tcPr>
          <w:p>
            <w:r>
              <w:rPr>
                <w:sz w:val="19"/>
              </w:rPr>
            </w:r>
            <w:r>
              <w:rPr>
                <w:sz w:val="19"/>
              </w:rPr>
              <w:t>20.9x</w:t>
            </w:r>
          </w:p>
        </w:tc>
        <w:tc>
          <w:tcPr>
            <w:tcW w:type="dxa" w:w="1296"/>
          </w:tcPr>
          <w:p>
            <w:r>
              <w:rPr>
                <w:sz w:val="19"/>
              </w:rPr>
            </w:r>
            <w:r>
              <w:rPr>
                <w:sz w:val="19"/>
              </w:rPr>
              <w:t>+22%</w:t>
            </w:r>
          </w:p>
        </w:tc>
        <w:tc>
          <w:tcPr>
            <w:tcW w:type="dxa" w:w="1296"/>
          </w:tcPr>
          <w:p>
            <w:r>
              <w:rPr>
                <w:sz w:val="19"/>
              </w:rPr>
            </w:r>
            <w:r>
              <w:rPr>
                <w:b/>
                <w:sz w:val="19"/>
              </w:rPr>
              <w:t>+67%</w:t>
            </w:r>
          </w:p>
        </w:tc>
        <w:tc>
          <w:tcPr>
            <w:tcW w:type="dxa" w:w="2448"/>
          </w:tcPr>
          <w:p>
            <w:r>
              <w:rPr>
                <w:sz w:val="19"/>
              </w:rPr>
            </w:r>
            <w:r>
              <w:rPr>
                <w:sz w:val="19"/>
              </w:rPr>
              <w:t>profitable niche #1, tiny float</w:t>
            </w:r>
          </w:p>
        </w:tc>
      </w:tr>
      <w:tr>
        <w:tc>
          <w:tcPr>
            <w:tcW w:type="dxa" w:w="2880"/>
          </w:tcPr>
          <w:p>
            <w:r>
              <w:rPr>
                <w:sz w:val="19"/>
              </w:rPr>
            </w:r>
            <w:r>
              <w:rPr>
                <w:sz w:val="19"/>
              </w:rPr>
              <w:t>Cofoe 可孚 1187 (A+H)</w:t>
            </w:r>
          </w:p>
        </w:tc>
        <w:tc>
          <w:tcPr>
            <w:tcW w:type="dxa" w:w="2160"/>
          </w:tcPr>
          <w:p>
            <w:r>
              <w:rPr>
                <w:sz w:val="19"/>
              </w:rPr>
            </w:r>
            <w:r>
              <w:rPr>
                <w:sz w:val="19"/>
              </w:rPr>
              <w:t>19.0x</w:t>
            </w:r>
          </w:p>
        </w:tc>
        <w:tc>
          <w:tcPr>
            <w:tcW w:type="dxa" w:w="1440"/>
          </w:tcPr>
          <w:p>
            <w:r>
              <w:rPr>
                <w:sz w:val="19"/>
              </w:rPr>
            </w:r>
            <w:r>
              <w:rPr>
                <w:sz w:val="19"/>
              </w:rPr>
              <w:t>2.0x</w:t>
            </w:r>
          </w:p>
        </w:tc>
        <w:tc>
          <w:tcPr>
            <w:tcW w:type="dxa" w:w="1296"/>
          </w:tcPr>
          <w:p>
            <w:r>
              <w:rPr>
                <w:sz w:val="19"/>
              </w:rPr>
            </w:r>
            <w:r>
              <w:rPr>
                <w:sz w:val="19"/>
              </w:rPr>
              <w:t>+39%</w:t>
            </w:r>
          </w:p>
        </w:tc>
        <w:tc>
          <w:tcPr>
            <w:tcW w:type="dxa" w:w="1296"/>
          </w:tcPr>
          <w:p>
            <w:r>
              <w:rPr>
                <w:sz w:val="19"/>
              </w:rPr>
            </w:r>
            <w:r>
              <w:rPr>
                <w:b/>
                <w:sz w:val="19"/>
              </w:rPr>
              <w:t>−17%</w:t>
            </w:r>
          </w:p>
        </w:tc>
        <w:tc>
          <w:tcPr>
            <w:tcW w:type="dxa" w:w="2448"/>
          </w:tcPr>
          <w:p>
            <w:r>
              <w:rPr>
                <w:sz w:val="19"/>
              </w:rPr>
            </w:r>
            <w:r>
              <w:rPr>
                <w:sz w:val="19"/>
              </w:rPr>
              <w:t>profitable, growing — and below offer</w:t>
            </w:r>
          </w:p>
        </w:tc>
      </w:tr>
      <w:tr>
        <w:tc>
          <w:tcPr>
            <w:tcW w:type="dxa" w:w="2880"/>
          </w:tcPr>
          <w:p>
            <w:r>
              <w:rPr>
                <w:sz w:val="19"/>
              </w:rPr>
            </w:r>
            <w:r>
              <w:rPr>
                <w:sz w:val="19"/>
              </w:rPr>
              <w:t>Edge Medical 2675</w:t>
            </w:r>
          </w:p>
        </w:tc>
        <w:tc>
          <w:tcPr>
            <w:tcW w:type="dxa" w:w="2160"/>
          </w:tcPr>
          <w:p>
            <w:r>
              <w:rPr>
                <w:sz w:val="19"/>
              </w:rPr>
            </w:r>
            <w:r>
              <w:rPr>
                <w:sz w:val="19"/>
              </w:rPr>
              <w:t>n/m</w:t>
            </w:r>
          </w:p>
        </w:tc>
        <w:tc>
          <w:tcPr>
            <w:tcW w:type="dxa" w:w="1440"/>
          </w:tcPr>
          <w:p>
            <w:r>
              <w:rPr>
                <w:sz w:val="19"/>
              </w:rPr>
            </w:r>
            <w:r>
              <w:rPr>
                <w:sz w:val="19"/>
              </w:rPr>
              <w:t>21.2x</w:t>
            </w:r>
          </w:p>
        </w:tc>
        <w:tc>
          <w:tcPr>
            <w:tcW w:type="dxa" w:w="1296"/>
          </w:tcPr>
          <w:p>
            <w:r>
              <w:rPr>
                <w:sz w:val="19"/>
              </w:rPr>
            </w:r>
            <w:r>
              <w:rPr>
                <w:sz w:val="19"/>
              </w:rPr>
              <w:t>+114%</w:t>
            </w:r>
          </w:p>
        </w:tc>
        <w:tc>
          <w:tcPr>
            <w:tcW w:type="dxa" w:w="1296"/>
          </w:tcPr>
          <w:p>
            <w:r>
              <w:rPr>
                <w:sz w:val="19"/>
              </w:rPr>
            </w:r>
            <w:r>
              <w:rPr>
                <w:sz w:val="19"/>
              </w:rPr>
              <w:t>−21%</w:t>
            </w:r>
          </w:p>
        </w:tc>
        <w:tc>
          <w:tcPr>
            <w:tcW w:type="dxa" w:w="2448"/>
          </w:tcPr>
          <w:p>
            <w:r>
              <w:rPr>
                <w:sz w:val="19"/>
              </w:rPr>
            </w:r>
            <w:r>
              <w:rPr>
                <w:sz w:val="19"/>
              </w:rPr>
              <w:t>surgical robots</w:t>
            </w:r>
          </w:p>
        </w:tc>
      </w:tr>
      <w:tr>
        <w:tc>
          <w:tcPr>
            <w:tcW w:type="dxa" w:w="2880"/>
          </w:tcPr>
          <w:p>
            <w:r>
              <w:rPr>
                <w:sz w:val="19"/>
              </w:rPr>
            </w:r>
            <w:r>
              <w:rPr>
                <w:sz w:val="19"/>
              </w:rPr>
              <w:t>Lepu ScienTech 2291</w:t>
            </w:r>
          </w:p>
        </w:tc>
        <w:tc>
          <w:tcPr>
            <w:tcW w:type="dxa" w:w="2160"/>
          </w:tcPr>
          <w:p>
            <w:r>
              <w:rPr>
                <w:sz w:val="19"/>
              </w:rPr>
            </w:r>
            <w:r>
              <w:rPr>
                <w:sz w:val="19"/>
              </w:rPr>
              <w:t>21.7x</w:t>
            </w:r>
          </w:p>
        </w:tc>
        <w:tc>
          <w:tcPr>
            <w:tcW w:type="dxa" w:w="1440"/>
          </w:tcPr>
          <w:p>
            <w:r>
              <w:rPr>
                <w:sz w:val="19"/>
              </w:rPr>
            </w:r>
            <w:r>
              <w:rPr>
                <w:sz w:val="19"/>
              </w:rPr>
              <w:t>8.7x</w:t>
            </w:r>
          </w:p>
        </w:tc>
        <w:tc>
          <w:tcPr>
            <w:tcW w:type="dxa" w:w="1296"/>
          </w:tcPr>
          <w:p>
            <w:r>
              <w:rPr>
                <w:sz w:val="19"/>
              </w:rPr>
            </w:r>
            <w:r>
              <w:rPr>
                <w:sz w:val="19"/>
              </w:rPr>
              <w:t>−6%</w:t>
            </w:r>
          </w:p>
        </w:tc>
        <w:tc>
          <w:tcPr>
            <w:tcW w:type="dxa" w:w="1296"/>
          </w:tcPr>
          <w:p>
            <w:r>
              <w:rPr>
                <w:sz w:val="19"/>
              </w:rPr>
            </w:r>
            <w:r>
              <w:rPr>
                <w:sz w:val="19"/>
              </w:rPr>
              <w:t>—</w:t>
            </w:r>
          </w:p>
        </w:tc>
        <w:tc>
          <w:tcPr>
            <w:tcW w:type="dxa" w:w="2448"/>
          </w:tcPr>
          <w:p>
            <w:r>
              <w:rPr>
                <w:sz w:val="19"/>
              </w:rPr>
            </w:r>
          </w:p>
        </w:tc>
      </w:tr>
      <w:tr>
        <w:tc>
          <w:tcPr>
            <w:tcW w:type="dxa" w:w="2880"/>
          </w:tcPr>
          <w:p>
            <w:r>
              <w:rPr>
                <w:sz w:val="19"/>
              </w:rPr>
            </w:r>
            <w:r>
              <w:rPr>
                <w:sz w:val="19"/>
              </w:rPr>
              <w:t>AngelAlign 6699</w:t>
            </w:r>
          </w:p>
        </w:tc>
        <w:tc>
          <w:tcPr>
            <w:tcW w:type="dxa" w:w="2160"/>
          </w:tcPr>
          <w:p>
            <w:r>
              <w:rPr>
                <w:sz w:val="19"/>
              </w:rPr>
            </w:r>
            <w:r>
              <w:rPr>
                <w:sz w:val="19"/>
              </w:rPr>
              <w:t>58.8x</w:t>
            </w:r>
          </w:p>
        </w:tc>
        <w:tc>
          <w:tcPr>
            <w:tcW w:type="dxa" w:w="1440"/>
          </w:tcPr>
          <w:p>
            <w:r>
              <w:rPr>
                <w:sz w:val="19"/>
              </w:rPr>
            </w:r>
            <w:r>
              <w:rPr>
                <w:sz w:val="19"/>
              </w:rPr>
              <w:t>5.5x</w:t>
            </w:r>
          </w:p>
        </w:tc>
        <w:tc>
          <w:tcPr>
            <w:tcW w:type="dxa" w:w="1296"/>
          </w:tcPr>
          <w:p>
            <w:r>
              <w:rPr>
                <w:sz w:val="19"/>
              </w:rPr>
            </w:r>
            <w:r>
              <w:rPr>
                <w:sz w:val="19"/>
              </w:rPr>
              <w:t>+43%</w:t>
            </w:r>
          </w:p>
        </w:tc>
        <w:tc>
          <w:tcPr>
            <w:tcW w:type="dxa" w:w="1296"/>
          </w:tcPr>
          <w:p>
            <w:r>
              <w:rPr>
                <w:sz w:val="19"/>
              </w:rPr>
            </w:r>
            <w:r>
              <w:rPr>
                <w:sz w:val="19"/>
              </w:rPr>
              <w:t>—</w:t>
            </w:r>
          </w:p>
        </w:tc>
        <w:tc>
          <w:tcPr>
            <w:tcW w:type="dxa" w:w="2448"/>
          </w:tcPr>
          <w:p>
            <w:r>
              <w:rPr>
                <w:sz w:val="19"/>
              </w:rPr>
            </w:r>
          </w:p>
        </w:tc>
      </w:tr>
      <w:tr>
        <w:tc>
          <w:tcPr>
            <w:tcW w:type="dxa" w:w="2880"/>
          </w:tcPr>
          <w:p>
            <w:r>
              <w:rPr>
                <w:sz w:val="19"/>
              </w:rPr>
            </w:r>
            <w:r>
              <w:rPr>
                <w:sz w:val="19"/>
              </w:rPr>
              <w:t>True Health 2697 / Diagens 2526</w:t>
            </w:r>
          </w:p>
        </w:tc>
        <w:tc>
          <w:tcPr>
            <w:tcW w:type="dxa" w:w="2160"/>
          </w:tcPr>
          <w:p>
            <w:r>
              <w:rPr>
                <w:sz w:val="19"/>
              </w:rPr>
            </w:r>
            <w:r>
              <w:rPr>
                <w:sz w:val="19"/>
              </w:rPr>
              <w:t>n/m</w:t>
            </w:r>
          </w:p>
        </w:tc>
        <w:tc>
          <w:tcPr>
            <w:tcW w:type="dxa" w:w="1440"/>
          </w:tcPr>
          <w:p>
            <w:r>
              <w:rPr>
                <w:sz w:val="19"/>
              </w:rPr>
            </w:r>
            <w:r>
              <w:rPr>
                <w:sz w:val="19"/>
              </w:rPr>
              <w:t>~1,280x / 252x</w:t>
            </w:r>
          </w:p>
        </w:tc>
        <w:tc>
          <w:tcPr>
            <w:tcW w:type="dxa" w:w="1296"/>
          </w:tcPr>
          <w:p>
            <w:r>
              <w:rPr>
                <w:sz w:val="19"/>
              </w:rPr>
            </w:r>
            <w:r>
              <w:rPr>
                <w:sz w:val="19"/>
              </w:rPr>
              <w:t>n/m</w:t>
            </w:r>
          </w:p>
        </w:tc>
        <w:tc>
          <w:tcPr>
            <w:tcW w:type="dxa" w:w="1296"/>
          </w:tcPr>
          <w:p>
            <w:r>
              <w:rPr>
                <w:sz w:val="19"/>
              </w:rPr>
            </w:r>
            <w:r>
              <w:rPr>
                <w:sz w:val="19"/>
              </w:rPr>
              <w:t>+404% / +425%</w:t>
            </w:r>
          </w:p>
        </w:tc>
        <w:tc>
          <w:tcPr>
            <w:tcW w:type="dxa" w:w="2448"/>
          </w:tcPr>
          <w:p>
            <w:r>
              <w:rPr>
                <w:sz w:val="19"/>
              </w:rPr>
            </w:r>
            <w:r>
              <w:rPr>
                <w:sz w:val="19"/>
              </w:rPr>
              <w:t>micro-float squeezes — not valuations</w:t>
            </w:r>
          </w:p>
        </w:tc>
      </w:tr>
    </w:tbl>
    <w:p/>
    <w:p>
      <w:r>
        <w:t xml:space="preserve">Here's how we read the full shelf. It splits cleanly in two. The float freaks — True Health, Diagens, and honestly Star Sports Med too — trade on scarcity, and their multiples tell you nothing about what a business is worth. The real-money tier — Micro-Tech at 28.5x, Cofoe at 19x, ScienTech at 22x, AK at 13x — is where profitable device companies actually clear. Medcaptain at 59x adjusted sits far above every profitable name on the list, and the only tier that 'supports' its price is the float-freak one. Which is the point: </w:t>
      </w:r>
      <w:r>
        <w:rPr>
          <w:b/>
        </w:rPr>
        <w:t>this deal is priced as a float trade, not as a company.</w:t>
      </w:r>
      <w:r>
        <w:t xml:space="preserve"> Cofoe is the cautionary row — profitable, +39% growth, A+H, and still 17% below its May offer. Sum-of-parts on real-money multiples still lands around </w:t>
      </w:r>
      <w:r>
        <w:rPr>
          <w:b/>
        </w:rPr>
        <w:t>RMB 4.8–5.1bn against the 7.6bn ask</w:t>
      </w:r>
      <w:r>
        <w:t>. And Kangji — profitable HK MI-consumables — went private last December at a mid-teens multiple. That's the floor when the music stops.</w:t>
      </w:r>
    </w:p>
    <w:p>
      <w:pPr>
        <w:pStyle w:val="ListBullet"/>
      </w:pPr>
      <w:r>
        <w:t>The deal tells you the same thing the comps do: priced below the 2023 private round, no anchor wanted their name on it, nobody hired to defend it in the aftermarket. When a Morgan Stanley deal ships bare, the syndicate is telling you what the institutional bid looked like.</w:t>
      </w:r>
    </w:p>
    <w:p>
      <w:pPr>
        <w:pStyle w:val="ListBullet"/>
      </w:pPr>
      <w:r>
        <w:rPr>
          <w:b/>
        </w:rPr>
        <w:t>Verdict unchanged as an investment: pass — it needs growth, margin AND multiple to all come through to justify the price.</w:t>
      </w:r>
      <w:r>
        <w:t xml:space="preserve"> But separate the trade: the weekend book turned this into a pure float game, and the 4 Sep grey market will likely print hot. If you play it, you are playing scarcity, not value — sell into the open, and remember that below issue there is no stabiliser, no shoe, no net. By design.</w:t>
      </w:r>
    </w:p>
    <w:p>
      <w:pPr>
        <w:pStyle w:val="Heading1"/>
      </w:pPr>
      <w:r>
        <w:t>5. Longsys (9976 HK) — open now; your inventory concern is the whole story</w:t>
      </w:r>
    </w:p>
    <w:p>
      <w:r>
        <w:t xml:space="preserve">The memory module maker (Lexar brand) launched Monday morning: closes Wed 3 Sep noon, lists Mon 8 Sep. Max price HK$240.60 (final can strike lower), raising ~HK$6.3bn — up to US$1.06bn with the upsize and shoe — at an implied ~HK$110bn market cap, a </w:t>
      </w:r>
      <w:r>
        <w:rPr>
          <w:b/>
        </w:rPr>
        <w:t>44–45% discount to its A-share</w:t>
      </w:r>
      <w:r>
        <w:t xml:space="preserve">. CITIC/CLSA and Citi running it, CLSA stabilising until 3 Oct. Cornerstones US$151m ≈ 19% of the deal — and the roster is customers and channel: Transsion, Lenovo, Lens Tech, Colorful, Phison-affiliated HXY… plus, notably, </w:t>
      </w:r>
      <w:r>
        <w:rPr>
          <w:b/>
        </w:rPr>
        <w:t>Ingenic's own HK vehicle</w:t>
      </w:r>
      <w:r>
        <w:t>. Entry ticket is chunky at HK$12,151 a lot.</w:t>
      </w:r>
    </w:p>
    <w:p>
      <w:pPr>
        <w:pStyle w:val="Heading2"/>
      </w:pPr>
      <w:r>
        <w:t>The business — and why your concern is exactly right</w:t>
      </w:r>
    </w:p>
    <w:p>
      <w:pPr>
        <w:pStyle w:val="ListBullet"/>
      </w:pPr>
      <w:r>
        <w:t xml:space="preserve">What it is: the #2 independent memory module house globally. It buys NAND and DRAM wafers from Samsung, Hynix and Micron — </w:t>
      </w:r>
      <w:r>
        <w:rPr>
          <w:b/>
        </w:rPr>
        <w:t>wafers are 88% of its cost of goods</w:t>
      </w:r>
      <w:r>
        <w:t xml:space="preserve"> — and packages them into eMMC/UFS, SSDs and Lexar cards. Real scale (H1 revenue RMB 24.1bn, +136%), real brands (Lexar, Zilia in Brazil), and a genuinely fast-growing enterprise line (+209%).</w:t>
      </w:r>
    </w:p>
    <w:p>
      <w:pPr>
        <w:pStyle w:val="ListBullet"/>
      </w:pPr>
      <w:r>
        <w:t xml:space="preserve">But look at the margin through one full cycle and you see the model naked: gross margin </w:t>
      </w:r>
      <w:r>
        <w:rPr>
          <w:b/>
        </w:rPr>
        <w:t>10.4% (2022) → 4.7% (2023 trough) → 18% (2025) → 59% (H1 2026)</w:t>
      </w:r>
      <w:r>
        <w:t>. In the downcycle, embedded ASPs fell 68% and sub-segments went gross-negative — that is what zero pricing power looks like. In the upcycle, the margin explodes — not because it can raise prices, but because it is sitting on inventory bought cheap.</w:t>
      </w:r>
    </w:p>
    <w:p>
      <w:pPr>
        <w:pStyle w:val="ListBullet"/>
      </w:pPr>
      <w:r>
        <w:t xml:space="preserve">The filings confirm your 5-buys-to-50 deduction line by line. Operating cash flow: </w:t>
      </w:r>
      <w:r>
        <w:rPr>
          <w:b/>
        </w:rPr>
        <w:t>−2.8bn, −1.2bn, −1.2bn (2023–25) — then −3.15bn in H1 2026 alone. The boom made the burn worse.</w:t>
      </w:r>
      <w:r>
        <w:t xml:space="preserve"> Inventory went 11.7bn → </w:t>
      </w:r>
      <w:r>
        <w:rPr>
          <w:b/>
        </w:rPr>
        <w:t>25.8bn in six months — 60% of total assets</w:t>
      </w:r>
      <w:r>
        <w:t xml:space="preserve"> — with ~70% of it bought at trough prices and prepayments to wafer suppliers up 440%. The P&amp;L books the windfall while the cash goes straight back out to buy the same wafers at the new price. Debt 16.7bn against 3.1bn cash, quick ratio 0.39. Bear analysts (eastmoney/10jqka, and a Zhongyuan Securities periodicity warning) put the cheap-inventory runway at ~Q4 2026, normal gross margin at 15–25%, and normal earnings at RMB 6–10bn — versus the 21bn run-rate being marketed.</w:t>
      </w:r>
    </w:p>
    <w:p>
      <w:pPr>
        <w:pStyle w:val="ListBullet"/>
      </w:pPr>
      <w:r>
        <w:t>And watch what insiders do, not what the deal says: ~</w:t>
      </w:r>
      <w:r>
        <w:rPr>
          <w:b/>
        </w:rPr>
        <w:t>RMB 4bn of insider selling</w:t>
      </w:r>
      <w:r>
        <w:t xml:space="preserve"> on the way up, an A-share placement done at RMB 560 in early August that is already ~32% underwater, and now ~RMB 10bn being raised across two markets in one month. The people who know the inventory position best are sellers and raisers at these levels.</w:t>
      </w:r>
    </w:p>
    <w:p>
      <w:pPr>
        <w:pStyle w:val="Heading2"/>
      </w:pPr>
      <w:r>
        <w:t>Does it have a moat at all? Some — just not where the money is being made</w:t>
      </w:r>
    </w:p>
    <w:p>
      <w:pPr>
        <w:pStyle w:val="ListBullet"/>
      </w:pPr>
      <w:r>
        <w:t xml:space="preserve">Fair is fair, there are real assets here. It ships </w:t>
      </w:r>
      <w:r>
        <w:rPr>
          <w:b/>
        </w:rPr>
        <w:t>over 280 million self-developed controller chips</w:t>
      </w:r>
      <w:r>
        <w:t xml:space="preserve">, which is the piece of a module that is actually IP rather than assembly, and R&amp;D was up 91%. </w:t>
      </w:r>
      <w:r>
        <w:rPr>
          <w:b/>
        </w:rPr>
        <w:t>Lexar</w:t>
      </w:r>
      <w:r>
        <w:t xml:space="preserve"> — bought from Micron in 2017 — is a genuine global consumer brand doing RMB 4.0bn in the half, +85%. </w:t>
      </w:r>
      <w:r>
        <w:rPr>
          <w:b/>
        </w:rPr>
        <w:t>Zilia</w:t>
      </w:r>
      <w:r>
        <w:t xml:space="preserve"> gives it local manufacturing inside Brazil's tariff wall, +185% and worth another RMB 4.0bn. Enterprise SSDs are up 209% off a small base, which is the one line with actual AI pull. Five of its own plants, and unusually low customer concentration — biggest customer just 7.6%. This is not a garage operation.</w:t>
      </w:r>
    </w:p>
    <w:p>
      <w:pPr>
        <w:pStyle w:val="ListBullet"/>
      </w:pPr>
      <w:r>
        <w:t xml:space="preserve">But apply the test that matters: </w:t>
      </w:r>
      <w:r>
        <w:rPr>
          <w:b/>
        </w:rPr>
        <w:t>does any of it let you set price?</w:t>
      </w:r>
      <w:r>
        <w:t xml:space="preserve"> The controller is the strongest claim — except a controller is maybe a tenth of module cost while </w:t>
      </w:r>
      <w:r>
        <w:rPr>
          <w:b/>
        </w:rPr>
        <w:t>wafers are 88%</w:t>
      </w:r>
      <w:r>
        <w:t xml:space="preserve">, and its top five suppliers are 52% of purchases. Lexar and Zilia are brands in categories where shoppers pick on price per gigabyte. Enterprise is real but small, and everyone from Samsung to SanDisk is chasing the same AI sockets with their own silicon. The 2023 tape settled the argument: when wafer prices fell, Longsys's gross margin went to </w:t>
      </w:r>
      <w:r>
        <w:rPr>
          <w:b/>
        </w:rPr>
        <w:t>4.7%</w:t>
      </w:r>
      <w:r>
        <w:t xml:space="preserve"> and embedded ASPs dropped 68%. A moat that vanishes the moment your input price moves is a brand, not a moat.</w:t>
      </w:r>
    </w:p>
    <w:p>
      <w:pPr>
        <w:pStyle w:val="ListBullet"/>
      </w:pPr>
      <w:r>
        <w:t xml:space="preserve">Put simply — Longsys owns the </w:t>
      </w:r>
      <w:r>
        <w:rPr>
          <w:b/>
        </w:rPr>
        <w:t>packaging, the channel and the brand</w:t>
      </w:r>
      <w:r>
        <w:t xml:space="preserve">. It does not own the </w:t>
      </w:r>
      <w:r>
        <w:rPr>
          <w:b/>
        </w:rPr>
        <w:t>wafer</w:t>
      </w:r>
      <w:r>
        <w:t>, and in memory the wafer is where the pricing power lives. That's the whole difference between it and the names in the next table.</w:t>
      </w:r>
    </w:p>
    <w:p>
      <w:pPr>
        <w:pStyle w:val="Heading2"/>
      </w:pPr>
      <w:r>
        <w:t>Longsys vs Ingenic — same cycle, different machines</w:t>
      </w:r>
    </w:p>
    <w:tbl>
      <w:tblPr>
        <w:tblStyle w:val="LightGrid-Accent1"/>
        <w:tblW w:type="auto" w:w="0"/>
        <w:tblLook w:firstColumn="1" w:firstRow="1" w:lastColumn="0" w:lastRow="0" w:noHBand="0" w:noVBand="1" w:val="04A0"/>
      </w:tblPr>
      <w:tblGrid>
        <w:gridCol w:w="2880"/>
        <w:gridCol w:w="2880"/>
        <w:gridCol w:w="2880"/>
      </w:tblGrid>
      <w:tr>
        <w:tc>
          <w:tcPr>
            <w:tcW w:type="dxa" w:w="2016"/>
          </w:tcPr>
          <w:p>
            <w:r/>
            <w:r>
              <w:rPr>
                <w:b/>
                <w:sz w:val="19"/>
              </w:rPr>
            </w:r>
          </w:p>
        </w:tc>
        <w:tc>
          <w:tcPr>
            <w:tcW w:type="dxa" w:w="4032"/>
          </w:tcPr>
          <w:p>
            <w:r/>
            <w:r>
              <w:rPr>
                <w:b/>
                <w:sz w:val="19"/>
              </w:rPr>
              <w:t>Longsys (9976)</w:t>
            </w:r>
          </w:p>
        </w:tc>
        <w:tc>
          <w:tcPr>
            <w:tcW w:type="dxa" w:w="4032"/>
          </w:tcPr>
          <w:p>
            <w:r/>
            <w:r>
              <w:rPr>
                <w:b/>
                <w:sz w:val="19"/>
              </w:rPr>
              <w:t>Ingenic (3223)</w:t>
            </w:r>
          </w:p>
        </w:tc>
      </w:tr>
      <w:tr>
        <w:tc>
          <w:tcPr>
            <w:tcW w:type="dxa" w:w="2016"/>
          </w:tcPr>
          <w:p>
            <w:r>
              <w:rPr>
                <w:sz w:val="19"/>
              </w:rPr>
            </w:r>
            <w:r>
              <w:rPr>
                <w:sz w:val="19"/>
              </w:rPr>
              <w:t>What it is</w:t>
            </w:r>
          </w:p>
        </w:tc>
        <w:tc>
          <w:tcPr>
            <w:tcW w:type="dxa" w:w="4032"/>
          </w:tcPr>
          <w:p>
            <w:r>
              <w:rPr>
                <w:sz w:val="19"/>
              </w:rPr>
            </w:r>
            <w:r>
              <w:rPr>
                <w:sz w:val="19"/>
              </w:rPr>
              <w:t>Assembler: buys wafers (88% of COGS) from the oligopoly, sells modules</w:t>
            </w:r>
          </w:p>
        </w:tc>
        <w:tc>
          <w:tcPr>
            <w:tcW w:type="dxa" w:w="4032"/>
          </w:tcPr>
          <w:p>
            <w:r>
              <w:rPr>
                <w:sz w:val="19"/>
              </w:rPr>
            </w:r>
            <w:r>
              <w:rPr>
                <w:sz w:val="19"/>
              </w:rPr>
              <w:t>Designer: owns the chip, auto-qualified sockets, 60% share in its niche</w:t>
            </w:r>
          </w:p>
        </w:tc>
      </w:tr>
      <w:tr>
        <w:tc>
          <w:tcPr>
            <w:tcW w:type="dxa" w:w="2016"/>
          </w:tcPr>
          <w:p>
            <w:r>
              <w:rPr>
                <w:sz w:val="19"/>
              </w:rPr>
            </w:r>
            <w:r>
              <w:rPr>
                <w:sz w:val="19"/>
              </w:rPr>
              <w:t>Downcycle proof (2023)</w:t>
            </w:r>
          </w:p>
        </w:tc>
        <w:tc>
          <w:tcPr>
            <w:tcW w:type="dxa" w:w="4032"/>
          </w:tcPr>
          <w:p>
            <w:r>
              <w:rPr>
                <w:sz w:val="19"/>
              </w:rPr>
            </w:r>
            <w:r>
              <w:rPr>
                <w:sz w:val="19"/>
              </w:rPr>
              <w:t>GM 4.7%, embedded ASP −68%, sub-segments negative</w:t>
            </w:r>
          </w:p>
        </w:tc>
        <w:tc>
          <w:tcPr>
            <w:tcW w:type="dxa" w:w="4032"/>
          </w:tcPr>
          <w:p>
            <w:r>
              <w:rPr>
                <w:sz w:val="19"/>
              </w:rPr>
            </w:r>
            <w:r>
              <w:rPr>
                <w:sz w:val="19"/>
              </w:rPr>
              <w:t>GM held ~32–39% through the same trough</w:t>
            </w:r>
          </w:p>
        </w:tc>
      </w:tr>
      <w:tr>
        <w:tc>
          <w:tcPr>
            <w:tcW w:type="dxa" w:w="2016"/>
          </w:tcPr>
          <w:p>
            <w:r>
              <w:rPr>
                <w:sz w:val="19"/>
              </w:rPr>
            </w:r>
            <w:r>
              <w:rPr>
                <w:sz w:val="19"/>
              </w:rPr>
              <w:t>Upcycle GM (H1'26)</w:t>
            </w:r>
          </w:p>
        </w:tc>
        <w:tc>
          <w:tcPr>
            <w:tcW w:type="dxa" w:w="4032"/>
          </w:tcPr>
          <w:p>
            <w:r>
              <w:rPr>
                <w:sz w:val="19"/>
              </w:rPr>
            </w:r>
            <w:r>
              <w:rPr>
                <w:sz w:val="19"/>
              </w:rPr>
              <w:t>59% — mostly old-cost inventory clearing</w:t>
            </w:r>
          </w:p>
        </w:tc>
        <w:tc>
          <w:tcPr>
            <w:tcW w:type="dxa" w:w="4032"/>
          </w:tcPr>
          <w:p>
            <w:r>
              <w:rPr>
                <w:sz w:val="19"/>
              </w:rPr>
            </w:r>
            <w:r>
              <w:rPr>
                <w:sz w:val="19"/>
              </w:rPr>
              <w:t>43–47% — quarterly price hikes it sets itself</w:t>
            </w:r>
          </w:p>
        </w:tc>
      </w:tr>
      <w:tr>
        <w:tc>
          <w:tcPr>
            <w:tcW w:type="dxa" w:w="2016"/>
          </w:tcPr>
          <w:p>
            <w:r>
              <w:rPr>
                <w:sz w:val="19"/>
              </w:rPr>
            </w:r>
            <w:r>
              <w:rPr>
                <w:sz w:val="19"/>
              </w:rPr>
              <w:t>Op. cash flow H1'26</w:t>
            </w:r>
          </w:p>
        </w:tc>
        <w:tc>
          <w:tcPr>
            <w:tcW w:type="dxa" w:w="4032"/>
          </w:tcPr>
          <w:p>
            <w:r>
              <w:rPr>
                <w:sz w:val="19"/>
              </w:rPr>
            </w:r>
            <w:r>
              <w:rPr>
                <w:b/>
                <w:sz w:val="19"/>
              </w:rPr>
              <w:t>−3.15bn</w:t>
            </w:r>
          </w:p>
        </w:tc>
        <w:tc>
          <w:tcPr>
            <w:tcW w:type="dxa" w:w="4032"/>
          </w:tcPr>
          <w:p>
            <w:r>
              <w:rPr>
                <w:sz w:val="19"/>
              </w:rPr>
            </w:r>
            <w:r>
              <w:rPr>
                <w:b/>
                <w:sz w:val="19"/>
              </w:rPr>
              <w:t>+959m</w:t>
            </w:r>
          </w:p>
        </w:tc>
      </w:tr>
      <w:tr>
        <w:tc>
          <w:tcPr>
            <w:tcW w:type="dxa" w:w="2016"/>
          </w:tcPr>
          <w:p>
            <w:r>
              <w:rPr>
                <w:sz w:val="19"/>
              </w:rPr>
            </w:r>
            <w:r>
              <w:rPr>
                <w:sz w:val="19"/>
              </w:rPr>
              <w:t>Inventory</w:t>
            </w:r>
          </w:p>
        </w:tc>
        <w:tc>
          <w:tcPr>
            <w:tcW w:type="dxa" w:w="4032"/>
          </w:tcPr>
          <w:p>
            <w:r>
              <w:rPr>
                <w:sz w:val="19"/>
              </w:rPr>
            </w:r>
            <w:r>
              <w:rPr>
                <w:sz w:val="19"/>
              </w:rPr>
              <w:t>25.8bn = 60% of assets</w:t>
            </w:r>
          </w:p>
        </w:tc>
        <w:tc>
          <w:tcPr>
            <w:tcW w:type="dxa" w:w="4032"/>
          </w:tcPr>
          <w:p>
            <w:r>
              <w:rPr>
                <w:sz w:val="19"/>
              </w:rPr>
            </w:r>
            <w:r>
              <w:rPr>
                <w:sz w:val="19"/>
              </w:rPr>
              <w:t>~1 year, but sold into a 60%-share niche</w:t>
            </w:r>
          </w:p>
        </w:tc>
      </w:tr>
      <w:tr>
        <w:tc>
          <w:tcPr>
            <w:tcW w:type="dxa" w:w="2016"/>
          </w:tcPr>
          <w:p>
            <w:r>
              <w:rPr>
                <w:sz w:val="19"/>
              </w:rPr>
            </w:r>
            <w:r>
              <w:rPr>
                <w:sz w:val="19"/>
              </w:rPr>
              <w:t>H-share valuation</w:t>
            </w:r>
          </w:p>
        </w:tc>
        <w:tc>
          <w:tcPr>
            <w:tcW w:type="dxa" w:w="4032"/>
          </w:tcPr>
          <w:p>
            <w:r>
              <w:rPr>
                <w:sz w:val="19"/>
              </w:rPr>
            </w:r>
            <w:r>
              <w:rPr>
                <w:sz w:val="19"/>
              </w:rPr>
              <w:t>~8x trailing / ~5x 2026E annualised</w:t>
            </w:r>
          </w:p>
        </w:tc>
        <w:tc>
          <w:tcPr>
            <w:tcW w:type="dxa" w:w="4032"/>
          </w:tcPr>
          <w:p>
            <w:r>
              <w:rPr>
                <w:sz w:val="19"/>
              </w:rPr>
            </w:r>
            <w:r>
              <w:rPr>
                <w:sz w:val="19"/>
              </w:rPr>
              <w:t>~19x 2026E annualised</w:t>
            </w:r>
          </w:p>
        </w:tc>
      </w:tr>
      <w:tr>
        <w:tc>
          <w:tcPr>
            <w:tcW w:type="dxa" w:w="2016"/>
          </w:tcPr>
          <w:p>
            <w:r>
              <w:rPr>
                <w:sz w:val="19"/>
              </w:rPr>
            </w:r>
            <w:r>
              <w:rPr>
                <w:sz w:val="19"/>
              </w:rPr>
              <w:t>A/H discount at pricing</w:t>
            </w:r>
          </w:p>
        </w:tc>
        <w:tc>
          <w:tcPr>
            <w:tcW w:type="dxa" w:w="4032"/>
          </w:tcPr>
          <w:p>
            <w:r>
              <w:rPr>
                <w:sz w:val="19"/>
              </w:rPr>
            </w:r>
            <w:r>
              <w:rPr>
                <w:sz w:val="19"/>
              </w:rPr>
              <w:t>44–45%</w:t>
            </w:r>
          </w:p>
        </w:tc>
        <w:tc>
          <w:tcPr>
            <w:tcW w:type="dxa" w:w="4032"/>
          </w:tcPr>
          <w:p>
            <w:r>
              <w:rPr>
                <w:sz w:val="19"/>
              </w:rPr>
            </w:r>
            <w:r>
              <w:rPr>
                <w:sz w:val="19"/>
              </w:rPr>
              <w:t>38%</w:t>
            </w:r>
          </w:p>
        </w:tc>
      </w:tr>
    </w:tbl>
    <w:p/>
    <w:p>
      <w:r>
        <w:t>The 8x-versus-19x gap is not an anomaly to arbitrage — it's the market telling you which earnings it believes. Longsys's 2026 profit is an inventory gain wearing a P/E; put the bears' normalised RMB 6–10bn under the same market cap and you're at 10–17x for a 15–25%-margin assembler that never converts profit to cash. That's not cheap, that's fairly priced for what it is. Ingenic's 19x sits on earnings backed by positive cash flow and a niche it prices. Same cycle, but one owns a pricing lever and the other owns a warehouse.</w:t>
      </w:r>
    </w:p>
    <w:p>
      <w:r>
        <w:t>On the A/H angle you raised — yes, it helps, but only for the debut. A live anchor 44% higher makes it hard to lose much on day one (Ingenic, with identical physics, closed its debut flat and sits +1.5% a week later, discount 38%→34%). It is support for the *listing*, not a convergence trade — these discounts sit for years. And note this deal is HK$6.3bn of real supply with a HK$12k entry ticket: expect an Ingenic-style muted open, not a squeeze.</w:t>
      </w:r>
    </w:p>
    <w:p>
      <w:pPr>
        <w:pStyle w:val="Heading2"/>
      </w:pPr>
      <w:r>
        <w:t>Against the AI-memory complex — the table that settles it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3168"/>
          </w:tcPr>
          <w:p>
            <w:r/>
            <w:r>
              <w:rPr>
                <w:b/>
                <w:sz w:val="19"/>
              </w:rPr>
            </w:r>
          </w:p>
        </w:tc>
        <w:tc>
          <w:tcPr>
            <w:tcW w:type="dxa" w:w="1728"/>
          </w:tcPr>
          <w:p>
            <w:r/>
            <w:r>
              <w:rPr>
                <w:b/>
                <w:sz w:val="19"/>
              </w:rPr>
              <w:t>Trail P/E</w:t>
            </w:r>
          </w:p>
        </w:tc>
        <w:tc>
          <w:tcPr>
            <w:tcW w:type="dxa" w:w="2304"/>
          </w:tcPr>
          <w:p>
            <w:r/>
            <w:r>
              <w:rPr>
                <w:b/>
                <w:sz w:val="19"/>
              </w:rPr>
              <w:t>Fwd P/E</w:t>
            </w:r>
          </w:p>
        </w:tc>
        <w:tc>
          <w:tcPr>
            <w:tcW w:type="dxa" w:w="1440"/>
          </w:tcPr>
          <w:p>
            <w:r/>
            <w:r>
              <w:rPr>
                <w:b/>
                <w:sz w:val="19"/>
              </w:rPr>
              <w:t>P/S</w:t>
            </w:r>
          </w:p>
        </w:tc>
        <w:tc>
          <w:tcPr>
            <w:tcW w:type="dxa" w:w="2736"/>
          </w:tcPr>
          <w:p>
            <w:r/>
            <w:r>
              <w:rPr>
                <w:b/>
                <w:sz w:val="19"/>
              </w:rPr>
              <w:t>Owns the wafer?</w:t>
            </w:r>
          </w:p>
        </w:tc>
      </w:tr>
      <w:tr>
        <w:tc>
          <w:tcPr>
            <w:tcW w:type="dxa" w:w="3168"/>
          </w:tcPr>
          <w:p>
            <w:r>
              <w:rPr>
                <w:sz w:val="19"/>
              </w:rPr>
            </w:r>
            <w:r>
              <w:rPr>
                <w:b/>
                <w:sz w:val="19"/>
              </w:rPr>
              <w:t>Longsys H @ max</w:t>
            </w:r>
          </w:p>
        </w:tc>
        <w:tc>
          <w:tcPr>
            <w:tcW w:type="dxa" w:w="1728"/>
          </w:tcPr>
          <w:p>
            <w:r>
              <w:rPr>
                <w:sz w:val="19"/>
              </w:rPr>
            </w:r>
            <w:r>
              <w:rPr>
                <w:b/>
                <w:sz w:val="19"/>
              </w:rPr>
              <w:t>~8x</w:t>
            </w:r>
          </w:p>
        </w:tc>
        <w:tc>
          <w:tcPr>
            <w:tcW w:type="dxa" w:w="2304"/>
          </w:tcPr>
          <w:p>
            <w:r>
              <w:rPr>
                <w:sz w:val="19"/>
              </w:rPr>
            </w:r>
            <w:r>
              <w:rPr>
                <w:sz w:val="19"/>
              </w:rPr>
              <w:t>~5x (2026E annualised)</w:t>
            </w:r>
          </w:p>
        </w:tc>
        <w:tc>
          <w:tcPr>
            <w:tcW w:type="dxa" w:w="1440"/>
          </w:tcPr>
          <w:p>
            <w:r>
              <w:rPr>
                <w:sz w:val="19"/>
              </w:rPr>
            </w:r>
            <w:r>
              <w:rPr>
                <w:b/>
                <w:sz w:val="19"/>
              </w:rPr>
              <w:t>~2x</w:t>
            </w:r>
          </w:p>
        </w:tc>
        <w:tc>
          <w:tcPr>
            <w:tcW w:type="dxa" w:w="2736"/>
          </w:tcPr>
          <w:p>
            <w:r>
              <w:rPr>
                <w:sz w:val="19"/>
              </w:rPr>
            </w:r>
            <w:r>
              <w:rPr>
                <w:b/>
                <w:sz w:val="19"/>
              </w:rPr>
              <w:t>No</w:t>
            </w:r>
            <w:r>
              <w:rPr>
                <w:sz w:val="19"/>
              </w:rPr>
              <w:t xml:space="preserve"> — buys it, 88% of COGS</w:t>
            </w:r>
          </w:p>
        </w:tc>
      </w:tr>
      <w:tr>
        <w:tc>
          <w:tcPr>
            <w:tcW w:type="dxa" w:w="3168"/>
          </w:tcPr>
          <w:p>
            <w:r>
              <w:rPr>
                <w:sz w:val="19"/>
              </w:rPr>
            </w:r>
            <w:r>
              <w:rPr>
                <w:sz w:val="19"/>
              </w:rPr>
              <w:t>Deminli 001309 (purest module comp)</w:t>
            </w:r>
          </w:p>
        </w:tc>
        <w:tc>
          <w:tcPr>
            <w:tcW w:type="dxa" w:w="1728"/>
          </w:tcPr>
          <w:p>
            <w:r>
              <w:rPr>
                <w:sz w:val="19"/>
              </w:rPr>
            </w:r>
            <w:r>
              <w:rPr>
                <w:sz w:val="19"/>
              </w:rPr>
              <w:t>14.5x</w:t>
            </w:r>
          </w:p>
        </w:tc>
        <w:tc>
          <w:tcPr>
            <w:tcW w:type="dxa" w:w="2304"/>
          </w:tcPr>
          <w:p>
            <w:r>
              <w:rPr>
                <w:sz w:val="19"/>
              </w:rPr>
            </w:r>
            <w:r>
              <w:rPr>
                <w:sz w:val="19"/>
              </w:rPr>
              <w:t>—</w:t>
            </w:r>
          </w:p>
        </w:tc>
        <w:tc>
          <w:tcPr>
            <w:tcW w:type="dxa" w:w="1440"/>
          </w:tcPr>
          <w:p>
            <w:r>
              <w:rPr>
                <w:sz w:val="19"/>
              </w:rPr>
            </w:r>
            <w:r>
              <w:rPr>
                <w:sz w:val="19"/>
              </w:rPr>
              <w:t>~2x</w:t>
            </w:r>
          </w:p>
        </w:tc>
        <w:tc>
          <w:tcPr>
            <w:tcW w:type="dxa" w:w="2736"/>
          </w:tcPr>
          <w:p>
            <w:r>
              <w:rPr>
                <w:sz w:val="19"/>
              </w:rPr>
            </w:r>
            <w:r>
              <w:rPr>
                <w:sz w:val="19"/>
              </w:rPr>
              <w:t>No</w:t>
            </w:r>
          </w:p>
        </w:tc>
      </w:tr>
      <w:tr>
        <w:tc>
          <w:tcPr>
            <w:tcW w:type="dxa" w:w="3168"/>
          </w:tcPr>
          <w:p>
            <w:r>
              <w:rPr>
                <w:sz w:val="19"/>
              </w:rPr>
            </w:r>
            <w:r>
              <w:rPr>
                <w:sz w:val="19"/>
              </w:rPr>
              <w:t>Micron</w:t>
            </w:r>
          </w:p>
        </w:tc>
        <w:tc>
          <w:tcPr>
            <w:tcW w:type="dxa" w:w="1728"/>
          </w:tcPr>
          <w:p>
            <w:r>
              <w:rPr>
                <w:sz w:val="19"/>
              </w:rPr>
            </w:r>
            <w:r>
              <w:rPr>
                <w:sz w:val="19"/>
              </w:rPr>
              <w:t>21.6x</w:t>
            </w:r>
          </w:p>
        </w:tc>
        <w:tc>
          <w:tcPr>
            <w:tcW w:type="dxa" w:w="2304"/>
          </w:tcPr>
          <w:p>
            <w:r>
              <w:rPr>
                <w:sz w:val="19"/>
              </w:rPr>
            </w:r>
            <w:r>
              <w:rPr>
                <w:b/>
                <w:sz w:val="19"/>
              </w:rPr>
              <w:t>6.65x</w:t>
            </w:r>
          </w:p>
        </w:tc>
        <w:tc>
          <w:tcPr>
            <w:tcW w:type="dxa" w:w="1440"/>
          </w:tcPr>
          <w:p>
            <w:r>
              <w:rPr>
                <w:sz w:val="19"/>
              </w:rPr>
            </w:r>
            <w:r>
              <w:rPr>
                <w:b/>
                <w:sz w:val="19"/>
              </w:rPr>
              <w:t>11.8x</w:t>
            </w:r>
          </w:p>
        </w:tc>
        <w:tc>
          <w:tcPr>
            <w:tcW w:type="dxa" w:w="2736"/>
          </w:tcPr>
          <w:p>
            <w:r>
              <w:rPr>
                <w:sz w:val="19"/>
              </w:rPr>
            </w:r>
            <w:r>
              <w:rPr>
                <w:sz w:val="19"/>
              </w:rPr>
              <w:t>Yes — fabs + HBM</w:t>
            </w:r>
          </w:p>
        </w:tc>
      </w:tr>
      <w:tr>
        <w:tc>
          <w:tcPr>
            <w:tcW w:type="dxa" w:w="3168"/>
          </w:tcPr>
          <w:p>
            <w:r>
              <w:rPr>
                <w:sz w:val="19"/>
              </w:rPr>
            </w:r>
            <w:r>
              <w:rPr>
                <w:sz w:val="19"/>
              </w:rPr>
              <w:t>SanDisk</w:t>
            </w:r>
          </w:p>
        </w:tc>
        <w:tc>
          <w:tcPr>
            <w:tcW w:type="dxa" w:w="1728"/>
          </w:tcPr>
          <w:p>
            <w:r>
              <w:rPr>
                <w:sz w:val="19"/>
              </w:rPr>
            </w:r>
            <w:r>
              <w:rPr>
                <w:sz w:val="19"/>
              </w:rPr>
              <w:t>21.2x</w:t>
            </w:r>
          </w:p>
        </w:tc>
        <w:tc>
          <w:tcPr>
            <w:tcW w:type="dxa" w:w="2304"/>
          </w:tcPr>
          <w:p>
            <w:r>
              <w:rPr>
                <w:sz w:val="19"/>
              </w:rPr>
            </w:r>
            <w:r>
              <w:rPr>
                <w:b/>
                <w:sz w:val="19"/>
              </w:rPr>
              <w:t>7.30x</w:t>
            </w:r>
          </w:p>
        </w:tc>
        <w:tc>
          <w:tcPr>
            <w:tcW w:type="dxa" w:w="1440"/>
          </w:tcPr>
          <w:p>
            <w:r>
              <w:rPr>
                <w:sz w:val="19"/>
              </w:rPr>
            </w:r>
            <w:r>
              <w:rPr>
                <w:b/>
                <w:sz w:val="19"/>
              </w:rPr>
              <w:t>11.0x</w:t>
            </w:r>
          </w:p>
        </w:tc>
        <w:tc>
          <w:tcPr>
            <w:tcW w:type="dxa" w:w="2736"/>
          </w:tcPr>
          <w:p>
            <w:r>
              <w:rPr>
                <w:sz w:val="19"/>
              </w:rPr>
            </w:r>
            <w:r>
              <w:rPr>
                <w:sz w:val="19"/>
              </w:rPr>
              <w:t>Yes — Kioxia JV fabs</w:t>
            </w:r>
          </w:p>
        </w:tc>
      </w:tr>
      <w:tr>
        <w:tc>
          <w:tcPr>
            <w:tcW w:type="dxa" w:w="3168"/>
          </w:tcPr>
          <w:p>
            <w:r>
              <w:rPr>
                <w:sz w:val="19"/>
              </w:rPr>
            </w:r>
            <w:r>
              <w:rPr>
                <w:sz w:val="19"/>
              </w:rPr>
              <w:t>Silicon Motion (controller designer)</w:t>
            </w:r>
          </w:p>
        </w:tc>
        <w:tc>
          <w:tcPr>
            <w:tcW w:type="dxa" w:w="1728"/>
          </w:tcPr>
          <w:p>
            <w:r>
              <w:rPr>
                <w:sz w:val="19"/>
              </w:rPr>
            </w:r>
            <w:r>
              <w:rPr>
                <w:sz w:val="19"/>
              </w:rPr>
              <w:t>28.4x</w:t>
            </w:r>
          </w:p>
        </w:tc>
        <w:tc>
          <w:tcPr>
            <w:tcW w:type="dxa" w:w="2304"/>
          </w:tcPr>
          <w:p>
            <w:r>
              <w:rPr>
                <w:sz w:val="19"/>
              </w:rPr>
            </w:r>
            <w:r>
              <w:rPr>
                <w:sz w:val="19"/>
              </w:rPr>
              <w:t>17.2x</w:t>
            </w:r>
          </w:p>
        </w:tc>
        <w:tc>
          <w:tcPr>
            <w:tcW w:type="dxa" w:w="1440"/>
          </w:tcPr>
          <w:p>
            <w:r>
              <w:rPr>
                <w:sz w:val="19"/>
              </w:rPr>
            </w:r>
            <w:r>
              <w:rPr>
                <w:sz w:val="19"/>
              </w:rPr>
              <w:t>6.0x</w:t>
            </w:r>
          </w:p>
        </w:tc>
        <w:tc>
          <w:tcPr>
            <w:tcW w:type="dxa" w:w="2736"/>
          </w:tcPr>
          <w:p>
            <w:r>
              <w:rPr>
                <w:sz w:val="19"/>
              </w:rPr>
            </w:r>
            <w:r>
              <w:rPr>
                <w:sz w:val="19"/>
              </w:rPr>
              <w:t>No, but owns the IP</w:t>
            </w:r>
          </w:p>
        </w:tc>
      </w:tr>
      <w:tr>
        <w:tc>
          <w:tcPr>
            <w:tcW w:type="dxa" w:w="3168"/>
          </w:tcPr>
          <w:p>
            <w:r>
              <w:rPr>
                <w:sz w:val="19"/>
              </w:rPr>
            </w:r>
            <w:r>
              <w:rPr>
                <w:sz w:val="19"/>
              </w:rPr>
              <w:t>GigaDevice (niche designer)</w:t>
            </w:r>
          </w:p>
        </w:tc>
        <w:tc>
          <w:tcPr>
            <w:tcW w:type="dxa" w:w="1728"/>
          </w:tcPr>
          <w:p>
            <w:r>
              <w:rPr>
                <w:sz w:val="19"/>
              </w:rPr>
            </w:r>
            <w:r>
              <w:rPr>
                <w:sz w:val="19"/>
              </w:rPr>
              <w:t>36x</w:t>
            </w:r>
          </w:p>
        </w:tc>
        <w:tc>
          <w:tcPr>
            <w:tcW w:type="dxa" w:w="2304"/>
          </w:tcPr>
          <w:p>
            <w:r>
              <w:rPr>
                <w:sz w:val="19"/>
              </w:rPr>
            </w:r>
            <w:r>
              <w:rPr>
                <w:sz w:val="19"/>
              </w:rPr>
              <w:t>—</w:t>
            </w:r>
          </w:p>
        </w:tc>
        <w:tc>
          <w:tcPr>
            <w:tcW w:type="dxa" w:w="1440"/>
          </w:tcPr>
          <w:p>
            <w:r>
              <w:rPr>
                <w:sz w:val="19"/>
              </w:rPr>
            </w:r>
            <w:r>
              <w:rPr>
                <w:sz w:val="19"/>
              </w:rPr>
              <w:t>—</w:t>
            </w:r>
          </w:p>
        </w:tc>
        <w:tc>
          <w:tcPr>
            <w:tcW w:type="dxa" w:w="2736"/>
          </w:tcPr>
          <w:p>
            <w:r>
              <w:rPr>
                <w:sz w:val="19"/>
              </w:rPr>
            </w:r>
            <w:r>
              <w:rPr>
                <w:sz w:val="19"/>
              </w:rPr>
              <w:t>No, but owns the design</w:t>
            </w:r>
          </w:p>
        </w:tc>
      </w:tr>
      <w:tr>
        <w:tc>
          <w:tcPr>
            <w:tcW w:type="dxa" w:w="3168"/>
          </w:tcPr>
          <w:p>
            <w:r>
              <w:rPr>
                <w:sz w:val="19"/>
              </w:rPr>
            </w:r>
            <w:r>
              <w:rPr>
                <w:sz w:val="19"/>
              </w:rPr>
              <w:t>Montage (interconnect designer)</w:t>
            </w:r>
          </w:p>
        </w:tc>
        <w:tc>
          <w:tcPr>
            <w:tcW w:type="dxa" w:w="1728"/>
          </w:tcPr>
          <w:p>
            <w:r>
              <w:rPr>
                <w:sz w:val="19"/>
              </w:rPr>
            </w:r>
            <w:r>
              <w:rPr>
                <w:sz w:val="19"/>
              </w:rPr>
              <w:t>106x</w:t>
            </w:r>
          </w:p>
        </w:tc>
        <w:tc>
          <w:tcPr>
            <w:tcW w:type="dxa" w:w="2304"/>
          </w:tcPr>
          <w:p>
            <w:r>
              <w:rPr>
                <w:sz w:val="19"/>
              </w:rPr>
            </w:r>
            <w:r>
              <w:rPr>
                <w:sz w:val="19"/>
              </w:rPr>
              <w:t>—</w:t>
            </w:r>
          </w:p>
        </w:tc>
        <w:tc>
          <w:tcPr>
            <w:tcW w:type="dxa" w:w="1440"/>
          </w:tcPr>
          <w:p>
            <w:r>
              <w:rPr>
                <w:sz w:val="19"/>
              </w:rPr>
            </w:r>
            <w:r>
              <w:rPr>
                <w:sz w:val="19"/>
              </w:rPr>
              <w:t>—</w:t>
            </w:r>
          </w:p>
        </w:tc>
        <w:tc>
          <w:tcPr>
            <w:tcW w:type="dxa" w:w="2736"/>
          </w:tcPr>
          <w:p>
            <w:r>
              <w:rPr>
                <w:sz w:val="19"/>
              </w:rPr>
            </w:r>
            <w:r>
              <w:rPr>
                <w:sz w:val="19"/>
              </w:rPr>
              <w:t>No, but owns the design</w:t>
            </w:r>
          </w:p>
        </w:tc>
      </w:tr>
      <w:tr>
        <w:tc>
          <w:tcPr>
            <w:tcW w:type="dxa" w:w="3168"/>
          </w:tcPr>
          <w:p>
            <w:r>
              <w:rPr>
                <w:sz w:val="19"/>
              </w:rPr>
            </w:r>
            <w:r>
              <w:rPr>
                <w:sz w:val="19"/>
              </w:rPr>
              <w:t>Ingenic 3223 (our preferred)</w:t>
            </w:r>
          </w:p>
        </w:tc>
        <w:tc>
          <w:tcPr>
            <w:tcW w:type="dxa" w:w="1728"/>
          </w:tcPr>
          <w:p>
            <w:r>
              <w:rPr>
                <w:sz w:val="19"/>
              </w:rPr>
            </w:r>
            <w:r>
              <w:rPr>
                <w:sz w:val="19"/>
              </w:rPr>
              <w:t>~33x at H px</w:t>
            </w:r>
          </w:p>
        </w:tc>
        <w:tc>
          <w:tcPr>
            <w:tcW w:type="dxa" w:w="2304"/>
          </w:tcPr>
          <w:p>
            <w:r>
              <w:rPr>
                <w:sz w:val="19"/>
              </w:rPr>
            </w:r>
            <w:r>
              <w:rPr>
                <w:sz w:val="19"/>
              </w:rPr>
              <w:t>~19x</w:t>
            </w:r>
          </w:p>
        </w:tc>
        <w:tc>
          <w:tcPr>
            <w:tcW w:type="dxa" w:w="1440"/>
          </w:tcPr>
          <w:p>
            <w:r>
              <w:rPr>
                <w:sz w:val="19"/>
              </w:rPr>
            </w:r>
            <w:r>
              <w:rPr>
                <w:sz w:val="19"/>
              </w:rPr>
              <w:t>—</w:t>
            </w:r>
          </w:p>
        </w:tc>
        <w:tc>
          <w:tcPr>
            <w:tcW w:type="dxa" w:w="2736"/>
          </w:tcPr>
          <w:p>
            <w:r>
              <w:rPr>
                <w:sz w:val="19"/>
              </w:rPr>
            </w:r>
            <w:r>
              <w:rPr>
                <w:sz w:val="19"/>
              </w:rPr>
              <w:t>No, but owns the design + the socket</w:t>
            </w:r>
          </w:p>
        </w:tc>
      </w:tr>
    </w:tbl>
    <w:p/>
    <w:p>
      <w:r>
        <w:t xml:space="preserve">Two things jump out, and they point the same way. First, the fab owners trade at </w:t>
      </w:r>
      <w:r>
        <w:rPr>
          <w:b/>
        </w:rPr>
        <w:t>11–12x sales</w:t>
      </w:r>
      <w:r>
        <w:t xml:space="preserve"> while the assemblers trade at </w:t>
      </w:r>
      <w:r>
        <w:rPr>
          <w:b/>
        </w:rPr>
        <w:t>~2x</w:t>
      </w:r>
      <w:r>
        <w:t xml:space="preserve">. That five-fold gap isn't a mispricing waiting to be arbitraged — it is precisely the market pricing who controls the scarce thing. Second, and this is the part that kills the cheap-optics case: Micron trades at </w:t>
      </w:r>
      <w:r>
        <w:rPr>
          <w:b/>
        </w:rPr>
        <w:t>6.65x forward earnings</w:t>
      </w:r>
      <w:r>
        <w:t xml:space="preserve"> and SanDisk at </w:t>
      </w:r>
      <w:r>
        <w:rPr>
          <w:b/>
        </w:rPr>
        <w:t>7.3x</w:t>
      </w:r>
      <w:r>
        <w:t xml:space="preserve"> — barely above Longsys's ~5x. So the street is offering you the companies that </w:t>
      </w:r>
      <w:r>
        <w:rPr>
          <w:b/>
        </w:rPr>
        <w:t>own the shortage</w:t>
      </w:r>
      <w:r>
        <w:t>, in the same cycle, at almost the same forward multiple. Why would you take the assembler?</w:t>
      </w:r>
    </w:p>
    <w:p>
      <w:r>
        <w:t>The forward multiples also tell you what the street actually believes: trailing 21x collapsing to forward 7x means the analysts think memory earnings still explode from here. That is the bull case for the whole complex — and if you buy it, buy it through Micron or SanDisk, who capture it directly, rather than through a company whose version of the same upside is an inventory pile it has to keep re-buying at higher prices.</w:t>
      </w:r>
    </w:p>
    <w:p>
      <w:r>
        <w:t>One more sanity check — the 2026 A+H hardware shelf, since Longsys joins it next week. Same H-share, same season, very different receptions: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592"/>
          </w:tcPr>
          <w:p>
            <w:r/>
            <w:r>
              <w:rPr>
                <w:b/>
                <w:sz w:val="19"/>
              </w:rPr>
            </w:r>
          </w:p>
        </w:tc>
        <w:tc>
          <w:tcPr>
            <w:tcW w:type="dxa" w:w="2304"/>
          </w:tcPr>
          <w:p>
            <w:r/>
            <w:r>
              <w:rPr>
                <w:b/>
                <w:sz w:val="19"/>
              </w:rPr>
              <w:t>Trail P/E</w:t>
            </w:r>
          </w:p>
        </w:tc>
        <w:tc>
          <w:tcPr>
            <w:tcW w:type="dxa" w:w="1152"/>
          </w:tcPr>
          <w:p>
            <w:r/>
            <w:r>
              <w:rPr>
                <w:b/>
                <w:sz w:val="19"/>
              </w:rPr>
              <w:t>P/S</w:t>
            </w:r>
          </w:p>
        </w:tc>
        <w:tc>
          <w:tcPr>
            <w:tcW w:type="dxa" w:w="1584"/>
          </w:tcPr>
          <w:p>
            <w:r/>
            <w:r>
              <w:rPr>
                <w:b/>
                <w:sz w:val="19"/>
              </w:rPr>
              <w:t>H1-26 growth</w:t>
            </w:r>
          </w:p>
        </w:tc>
        <w:tc>
          <w:tcPr>
            <w:tcW w:type="dxa" w:w="2448"/>
          </w:tcPr>
          <w:p>
            <w:r/>
            <w:r>
              <w:rPr>
                <w:b/>
                <w:sz w:val="19"/>
              </w:rPr>
              <w:t>vs HK offer</w:t>
            </w:r>
          </w:p>
        </w:tc>
      </w:tr>
      <w:tr>
        <w:tc>
          <w:tcPr>
            <w:tcW w:type="dxa" w:w="2592"/>
          </w:tcPr>
          <w:p>
            <w:r>
              <w:rPr>
                <w:sz w:val="19"/>
              </w:rPr>
            </w:r>
            <w:r>
              <w:rPr>
                <w:b/>
                <w:sz w:val="19"/>
              </w:rPr>
              <w:t>Longsys H @ max</w:t>
            </w:r>
          </w:p>
        </w:tc>
        <w:tc>
          <w:tcPr>
            <w:tcW w:type="dxa" w:w="2304"/>
          </w:tcPr>
          <w:p>
            <w:r>
              <w:rPr>
                <w:sz w:val="19"/>
              </w:rPr>
            </w:r>
            <w:r>
              <w:rPr>
                <w:b/>
                <w:sz w:val="19"/>
              </w:rPr>
              <w:t>~8x</w:t>
            </w:r>
            <w:r>
              <w:rPr>
                <w:sz w:val="19"/>
              </w:rPr>
              <w:t xml:space="preserve"> (windfall E)</w:t>
            </w:r>
          </w:p>
        </w:tc>
        <w:tc>
          <w:tcPr>
            <w:tcW w:type="dxa" w:w="1152"/>
          </w:tcPr>
          <w:p>
            <w:r>
              <w:rPr>
                <w:sz w:val="19"/>
              </w:rPr>
            </w:r>
            <w:r>
              <w:rPr>
                <w:sz w:val="19"/>
              </w:rPr>
              <w:t>~2x</w:t>
            </w:r>
          </w:p>
        </w:tc>
        <w:tc>
          <w:tcPr>
            <w:tcW w:type="dxa" w:w="1584"/>
          </w:tcPr>
          <w:p>
            <w:r>
              <w:rPr>
                <w:sz w:val="19"/>
              </w:rPr>
            </w:r>
            <w:r>
              <w:rPr>
                <w:sz w:val="19"/>
              </w:rPr>
              <w:t>+136%</w:t>
            </w:r>
          </w:p>
        </w:tc>
        <w:tc>
          <w:tcPr>
            <w:tcW w:type="dxa" w:w="2448"/>
          </w:tcPr>
          <w:p>
            <w:r>
              <w:rPr>
                <w:sz w:val="19"/>
              </w:rPr>
            </w:r>
            <w:r>
              <w:rPr>
                <w:sz w:val="19"/>
              </w:rPr>
              <w:t>—</w:t>
            </w:r>
          </w:p>
        </w:tc>
      </w:tr>
      <w:tr>
        <w:tc>
          <w:tcPr>
            <w:tcW w:type="dxa" w:w="2592"/>
          </w:tcPr>
          <w:p>
            <w:r>
              <w:rPr>
                <w:sz w:val="19"/>
              </w:rPr>
            </w:r>
            <w:r>
              <w:rPr>
                <w:sz w:val="19"/>
              </w:rPr>
              <w:t>Innolight 中际旭创 3308</w:t>
            </w:r>
          </w:p>
        </w:tc>
        <w:tc>
          <w:tcPr>
            <w:tcW w:type="dxa" w:w="2304"/>
          </w:tcPr>
          <w:p>
            <w:r>
              <w:rPr>
                <w:sz w:val="19"/>
              </w:rPr>
            </w:r>
            <w:r>
              <w:rPr>
                <w:sz w:val="19"/>
              </w:rPr>
              <w:t>49.3x</w:t>
            </w:r>
          </w:p>
        </w:tc>
        <w:tc>
          <w:tcPr>
            <w:tcW w:type="dxa" w:w="1152"/>
          </w:tcPr>
          <w:p>
            <w:r>
              <w:rPr>
                <w:sz w:val="19"/>
              </w:rPr>
            </w:r>
            <w:r>
              <w:rPr>
                <w:sz w:val="19"/>
              </w:rPr>
              <w:t>15.4x</w:t>
            </w:r>
          </w:p>
        </w:tc>
        <w:tc>
          <w:tcPr>
            <w:tcW w:type="dxa" w:w="1584"/>
          </w:tcPr>
          <w:p>
            <w:r>
              <w:rPr>
                <w:sz w:val="19"/>
              </w:rPr>
            </w:r>
            <w:r>
              <w:rPr>
                <w:sz w:val="19"/>
              </w:rPr>
              <w:t>+183%</w:t>
            </w:r>
          </w:p>
        </w:tc>
        <w:tc>
          <w:tcPr>
            <w:tcW w:type="dxa" w:w="2448"/>
          </w:tcPr>
          <w:p>
            <w:r>
              <w:rPr>
                <w:sz w:val="19"/>
              </w:rPr>
            </w:r>
            <w:r>
              <w:rPr>
                <w:sz w:val="19"/>
              </w:rPr>
              <w:t>+5.6% (H trades ABOVE A)</w:t>
            </w:r>
          </w:p>
        </w:tc>
      </w:tr>
      <w:tr>
        <w:tc>
          <w:tcPr>
            <w:tcW w:type="dxa" w:w="2592"/>
          </w:tcPr>
          <w:p>
            <w:r>
              <w:rPr>
                <w:sz w:val="19"/>
              </w:rPr>
            </w:r>
            <w:r>
              <w:rPr>
                <w:sz w:val="19"/>
              </w:rPr>
              <w:t>CCTC 三环 6951</w:t>
            </w:r>
          </w:p>
        </w:tc>
        <w:tc>
          <w:tcPr>
            <w:tcW w:type="dxa" w:w="2304"/>
          </w:tcPr>
          <w:p>
            <w:r>
              <w:rPr>
                <w:sz w:val="19"/>
              </w:rPr>
            </w:r>
            <w:r>
              <w:rPr>
                <w:sz w:val="19"/>
              </w:rPr>
              <w:t>65.4x</w:t>
            </w:r>
          </w:p>
        </w:tc>
        <w:tc>
          <w:tcPr>
            <w:tcW w:type="dxa" w:w="1152"/>
          </w:tcPr>
          <w:p>
            <w:r>
              <w:rPr>
                <w:sz w:val="19"/>
              </w:rPr>
            </w:r>
            <w:r>
              <w:rPr>
                <w:sz w:val="19"/>
              </w:rPr>
              <w:t>19.2x</w:t>
            </w:r>
          </w:p>
        </w:tc>
        <w:tc>
          <w:tcPr>
            <w:tcW w:type="dxa" w:w="1584"/>
          </w:tcPr>
          <w:p>
            <w:r>
              <w:rPr>
                <w:sz w:val="19"/>
              </w:rPr>
            </w:r>
            <w:r>
              <w:rPr>
                <w:sz w:val="19"/>
              </w:rPr>
              <w:t>+55%</w:t>
            </w:r>
          </w:p>
        </w:tc>
        <w:tc>
          <w:tcPr>
            <w:tcW w:type="dxa" w:w="2448"/>
          </w:tcPr>
          <w:p>
            <w:r>
              <w:rPr>
                <w:sz w:val="19"/>
              </w:rPr>
            </w:r>
            <w:r>
              <w:rPr>
                <w:sz w:val="19"/>
              </w:rPr>
              <w:t>+9.7%</w:t>
            </w:r>
          </w:p>
        </w:tc>
      </w:tr>
      <w:tr>
        <w:tc>
          <w:tcPr>
            <w:tcW w:type="dxa" w:w="2592"/>
          </w:tcPr>
          <w:p>
            <w:r>
              <w:rPr>
                <w:sz w:val="19"/>
              </w:rPr>
            </w:r>
            <w:r>
              <w:rPr>
                <w:sz w:val="19"/>
              </w:rPr>
              <w:t>Anker 安克 0668</w:t>
            </w:r>
          </w:p>
        </w:tc>
        <w:tc>
          <w:tcPr>
            <w:tcW w:type="dxa" w:w="2304"/>
          </w:tcPr>
          <w:p>
            <w:r>
              <w:rPr>
                <w:sz w:val="19"/>
              </w:rPr>
            </w:r>
            <w:r>
              <w:rPr>
                <w:sz w:val="19"/>
              </w:rPr>
              <w:t>~22x</w:t>
            </w:r>
          </w:p>
        </w:tc>
        <w:tc>
          <w:tcPr>
            <w:tcW w:type="dxa" w:w="1152"/>
          </w:tcPr>
          <w:p>
            <w:r>
              <w:rPr>
                <w:sz w:val="19"/>
              </w:rPr>
            </w:r>
            <w:r>
              <w:rPr>
                <w:sz w:val="19"/>
              </w:rPr>
              <w:t>2.0x</w:t>
            </w:r>
          </w:p>
        </w:tc>
        <w:tc>
          <w:tcPr>
            <w:tcW w:type="dxa" w:w="1584"/>
          </w:tcPr>
          <w:p>
            <w:r>
              <w:rPr>
                <w:sz w:val="19"/>
              </w:rPr>
            </w:r>
            <w:r>
              <w:rPr>
                <w:sz w:val="19"/>
              </w:rPr>
              <w:t>+29%</w:t>
            </w:r>
          </w:p>
        </w:tc>
        <w:tc>
          <w:tcPr>
            <w:tcW w:type="dxa" w:w="2448"/>
          </w:tcPr>
          <w:p>
            <w:r>
              <w:rPr>
                <w:sz w:val="19"/>
              </w:rPr>
            </w:r>
            <w:r>
              <w:rPr>
                <w:b/>
                <w:sz w:val="19"/>
              </w:rPr>
              <w:t>+27%</w:t>
            </w:r>
          </w:p>
        </w:tc>
      </w:tr>
      <w:tr>
        <w:tc>
          <w:tcPr>
            <w:tcW w:type="dxa" w:w="2592"/>
          </w:tcPr>
          <w:p>
            <w:r>
              <w:rPr>
                <w:sz w:val="19"/>
              </w:rPr>
            </w:r>
            <w:r>
              <w:rPr>
                <w:sz w:val="19"/>
              </w:rPr>
              <w:t>Luxshare 立讯 2475</w:t>
            </w:r>
          </w:p>
        </w:tc>
        <w:tc>
          <w:tcPr>
            <w:tcW w:type="dxa" w:w="2304"/>
          </w:tcPr>
          <w:p>
            <w:r>
              <w:rPr>
                <w:sz w:val="19"/>
              </w:rPr>
            </w:r>
            <w:r>
              <w:rPr>
                <w:sz w:val="19"/>
              </w:rPr>
              <w:t>26.5x</w:t>
            </w:r>
          </w:p>
        </w:tc>
        <w:tc>
          <w:tcPr>
            <w:tcW w:type="dxa" w:w="1152"/>
          </w:tcPr>
          <w:p>
            <w:r>
              <w:rPr>
                <w:sz w:val="19"/>
              </w:rPr>
            </w:r>
            <w:r>
              <w:rPr>
                <w:sz w:val="19"/>
              </w:rPr>
              <w:t>1.2x</w:t>
            </w:r>
          </w:p>
        </w:tc>
        <w:tc>
          <w:tcPr>
            <w:tcW w:type="dxa" w:w="1584"/>
          </w:tcPr>
          <w:p>
            <w:r>
              <w:rPr>
                <w:sz w:val="19"/>
              </w:rPr>
            </w:r>
            <w:r>
              <w:rPr>
                <w:sz w:val="19"/>
              </w:rPr>
              <w:t>+40%</w:t>
            </w:r>
          </w:p>
        </w:tc>
        <w:tc>
          <w:tcPr>
            <w:tcW w:type="dxa" w:w="2448"/>
          </w:tcPr>
          <w:p>
            <w:r>
              <w:rPr>
                <w:sz w:val="19"/>
              </w:rPr>
            </w:r>
            <w:r>
              <w:rPr>
                <w:sz w:val="19"/>
              </w:rPr>
              <w:t>+0.3%</w:t>
            </w:r>
          </w:p>
        </w:tc>
      </w:tr>
      <w:tr>
        <w:tc>
          <w:tcPr>
            <w:tcW w:type="dxa" w:w="2592"/>
          </w:tcPr>
          <w:p>
            <w:r>
              <w:rPr>
                <w:sz w:val="19"/>
              </w:rPr>
            </w:r>
            <w:r>
              <w:rPr>
                <w:sz w:val="19"/>
              </w:rPr>
              <w:t>Creality 创想三维 3388</w:t>
            </w:r>
          </w:p>
        </w:tc>
        <w:tc>
          <w:tcPr>
            <w:tcW w:type="dxa" w:w="2304"/>
          </w:tcPr>
          <w:p>
            <w:r>
              <w:rPr>
                <w:sz w:val="19"/>
              </w:rPr>
            </w:r>
            <w:r>
              <w:rPr>
                <w:sz w:val="19"/>
              </w:rPr>
              <w:t>n/m</w:t>
            </w:r>
          </w:p>
        </w:tc>
        <w:tc>
          <w:tcPr>
            <w:tcW w:type="dxa" w:w="1152"/>
          </w:tcPr>
          <w:p>
            <w:r>
              <w:rPr>
                <w:sz w:val="19"/>
              </w:rPr>
            </w:r>
            <w:r>
              <w:rPr>
                <w:sz w:val="19"/>
              </w:rPr>
              <w:t>2.8x</w:t>
            </w:r>
          </w:p>
        </w:tc>
        <w:tc>
          <w:tcPr>
            <w:tcW w:type="dxa" w:w="1584"/>
          </w:tcPr>
          <w:p>
            <w:r>
              <w:rPr>
                <w:sz w:val="19"/>
              </w:rPr>
            </w:r>
            <w:r>
              <w:rPr>
                <w:sz w:val="19"/>
              </w:rPr>
              <w:t>+76%</w:t>
            </w:r>
          </w:p>
        </w:tc>
        <w:tc>
          <w:tcPr>
            <w:tcW w:type="dxa" w:w="2448"/>
          </w:tcPr>
          <w:p>
            <w:r>
              <w:rPr>
                <w:sz w:val="19"/>
              </w:rPr>
            </w:r>
            <w:r>
              <w:rPr>
                <w:sz w:val="19"/>
              </w:rPr>
              <w:t>+29%</w:t>
            </w:r>
          </w:p>
        </w:tc>
      </w:tr>
      <w:tr>
        <w:tc>
          <w:tcPr>
            <w:tcW w:type="dxa" w:w="2592"/>
          </w:tcPr>
          <w:p>
            <w:r>
              <w:rPr>
                <w:sz w:val="19"/>
              </w:rPr>
            </w:r>
            <w:r>
              <w:rPr>
                <w:sz w:val="19"/>
              </w:rPr>
              <w:t>Dtech 鼎泰 1377</w:t>
            </w:r>
          </w:p>
        </w:tc>
        <w:tc>
          <w:tcPr>
            <w:tcW w:type="dxa" w:w="2304"/>
          </w:tcPr>
          <w:p>
            <w:r>
              <w:rPr>
                <w:sz w:val="19"/>
              </w:rPr>
            </w:r>
            <w:r>
              <w:rPr>
                <w:sz w:val="19"/>
              </w:rPr>
              <w:t>very high (AI-PCB mania)</w:t>
            </w:r>
          </w:p>
        </w:tc>
        <w:tc>
          <w:tcPr>
            <w:tcW w:type="dxa" w:w="1152"/>
          </w:tcPr>
          <w:p>
            <w:r>
              <w:rPr>
                <w:sz w:val="19"/>
              </w:rPr>
            </w:r>
            <w:r>
              <w:rPr>
                <w:sz w:val="19"/>
              </w:rPr>
              <w:t>—</w:t>
            </w:r>
          </w:p>
        </w:tc>
        <w:tc>
          <w:tcPr>
            <w:tcW w:type="dxa" w:w="1584"/>
          </w:tcPr>
          <w:p>
            <w:r>
              <w:rPr>
                <w:sz w:val="19"/>
              </w:rPr>
            </w:r>
            <w:r>
              <w:rPr>
                <w:sz w:val="19"/>
              </w:rPr>
              <w:t>+115%</w:t>
            </w:r>
          </w:p>
        </w:tc>
        <w:tc>
          <w:tcPr>
            <w:tcW w:type="dxa" w:w="2448"/>
          </w:tcPr>
          <w:p>
            <w:r>
              <w:rPr>
                <w:sz w:val="19"/>
              </w:rPr>
            </w:r>
            <w:r>
              <w:rPr>
                <w:sz w:val="19"/>
              </w:rPr>
              <w:t>−12%</w:t>
            </w:r>
          </w:p>
        </w:tc>
      </w:tr>
      <w:tr>
        <w:tc>
          <w:tcPr>
            <w:tcW w:type="dxa" w:w="2592"/>
          </w:tcPr>
          <w:p>
            <w:r>
              <w:rPr>
                <w:sz w:val="19"/>
              </w:rPr>
            </w:r>
            <w:r>
              <w:rPr>
                <w:b/>
                <w:sz w:val="19"/>
              </w:rPr>
              <w:t>Lingyi 领益 1688</w:t>
            </w:r>
          </w:p>
        </w:tc>
        <w:tc>
          <w:tcPr>
            <w:tcW w:type="dxa" w:w="2304"/>
          </w:tcPr>
          <w:p>
            <w:r>
              <w:rPr>
                <w:sz w:val="19"/>
              </w:rPr>
            </w:r>
            <w:r>
              <w:rPr>
                <w:sz w:val="19"/>
              </w:rPr>
              <w:t>~21x (H basis)</w:t>
            </w:r>
          </w:p>
        </w:tc>
        <w:tc>
          <w:tcPr>
            <w:tcW w:type="dxa" w:w="1152"/>
          </w:tcPr>
          <w:p>
            <w:r>
              <w:rPr>
                <w:sz w:val="19"/>
              </w:rPr>
            </w:r>
            <w:r>
              <w:rPr>
                <w:sz w:val="19"/>
              </w:rPr>
              <w:t>0.8x</w:t>
            </w:r>
          </w:p>
        </w:tc>
        <w:tc>
          <w:tcPr>
            <w:tcW w:type="dxa" w:w="1584"/>
          </w:tcPr>
          <w:p>
            <w:r>
              <w:rPr>
                <w:sz w:val="19"/>
              </w:rPr>
            </w:r>
            <w:r>
              <w:rPr>
                <w:sz w:val="19"/>
              </w:rPr>
              <w:t>+7%</w:t>
            </w:r>
          </w:p>
        </w:tc>
        <w:tc>
          <w:tcPr>
            <w:tcW w:type="dxa" w:w="2448"/>
          </w:tcPr>
          <w:p>
            <w:r>
              <w:rPr>
                <w:sz w:val="19"/>
              </w:rPr>
            </w:r>
            <w:r>
              <w:rPr>
                <w:b/>
                <w:sz w:val="19"/>
              </w:rPr>
              <w:t>−38%</w:t>
            </w:r>
          </w:p>
        </w:tc>
      </w:tr>
    </w:tbl>
    <w:p/>
    <w:p>
      <w:r>
        <w:t>The pattern on that shelf is brutal and simple: HK pays up for franchise and AI linkage (Anker +27%, Innolight's H trading above its A) and it punishes pass-through processing — Lingyi, the closest thing to Longsys's business model on the list, sits 38% below its own June offer at 0.8x sales. Longsys screens as the cheapest name on the shelf at ~8x — but it's the only one whose trailing earnings are an inventory gain. Put the normalised RMB 6–10bn under it and it lands at 10–17x: middle of the shelf, for the shelf's most cyclical model. There's no free cheapness here.</w:t>
      </w:r>
    </w:p>
    <w:p>
      <w:pPr>
        <w:pStyle w:val="ListBullet"/>
      </w:pPr>
      <w:r>
        <w:rPr>
          <w:b/>
        </w:rPr>
        <w:t>Verdict: this is the trade your own deduction warns about — buying the top of an inventory-gain cycle from insiders who are selling it to you.</w:t>
      </w:r>
      <w:r>
        <w:t xml:space="preserve"> The anchor and stabiliser make the debut low-risk but also low-fun; the real exposure is the Q4 gross-margin print. Skip, or flip small and be out before the cheap inventory runs dry. If you want this cycle in the book: own Ingenic for the China leg, or Micron/SanDisk for the pure version at a forward multiple barely different from what Longsys is asking. Rent Longsys at most — or skip it entirely.</w:t>
      </w:r>
    </w:p>
    <w:p>
      <w:pPr>
        <w:pStyle w:val="Heading1"/>
      </w:pPr>
      <w:r>
        <w:t>6. Excelland Robotics (3231 HK) — the one you asked about, and the weakest deal in this note</w:t>
      </w:r>
    </w:p>
    <w:p>
      <w:r>
        <w:t xml:space="preserve">First, the name: the deal marketed around 'Excellent Robotics' is </w:t>
      </w:r>
      <w:r>
        <w:rPr>
          <w:b/>
        </w:rPr>
        <w:t>Excelland Robotics 优地机器人</w:t>
      </w:r>
      <w:r>
        <w:t xml:space="preserve"> — the UTStarcom spin-out making hotel delivery robots (Yomie), cleaning and vending robots, plus a project-based AI-vision side business. 18C listing, range HK$14.45–19.55, market cap HK$6.0–8.1bn, book closes Thu 4 Sep, lists Tue 9 Sep. Entry HK$3,949 a lot.</w:t>
      </w:r>
    </w:p>
    <w:p>
      <w:pPr>
        <w:pStyle w:val="Heading2"/>
      </w:pPr>
      <w:r>
        <w:t>What the prospectus actually shows</w:t>
      </w:r>
    </w:p>
    <w:p>
      <w:pPr>
        <w:pStyle w:val="ListBullet"/>
      </w:pPr>
      <w:r>
        <w:t xml:space="preserve">Revenue RMB 318m last year, +19%. </w:t>
      </w:r>
      <w:r>
        <w:rPr>
          <w:b/>
        </w:rPr>
        <w:t>Gross margin 13.9%</w:t>
      </w:r>
      <w:r>
        <w:t xml:space="preserve"> — against YunJi's ~35% and OneRobotics' ~50%. Its flagship hotel robot's ASP has fallen 45% since 2023 (RMB 20.1k → 11.1k) — the prospectus itself calls it pricing pressure. Net loss RMB 111m, and the Q1 loss is widening again.</w:t>
      </w:r>
    </w:p>
    <w:p>
      <w:pPr>
        <w:pStyle w:val="ListBullet"/>
      </w:pPr>
      <w:r>
        <w:t xml:space="preserve">The concentration is the scary part: top-5 customers are </w:t>
      </w:r>
      <w:r>
        <w:rPr>
          <w:b/>
        </w:rPr>
        <w:t>76–83% of revenue</w:t>
      </w:r>
      <w:r>
        <w:t>, and the largest — an AI-vision integrator founded only in 2021 — alone is ~32%. Essentially the whole 'AI vision' line (38% of revenue) is one young customer. There's also a related-party flag worth knowing: RMB 104m — 65% of one year's R&amp;D — went to buy an algorithm from an entity associated with a person who sits inside the company's own ESOP platform and whose associates were also customers.</w:t>
      </w:r>
    </w:p>
    <w:p>
      <w:pPr>
        <w:pStyle w:val="ListBullet"/>
      </w:pPr>
      <w:r>
        <w:t xml:space="preserve">And the balance sheet says this IPO is a rescue, not a choice: </w:t>
      </w:r>
      <w:r>
        <w:rPr>
          <w:b/>
        </w:rPr>
        <w:t>RMB 21.8m of cash at end-2025</w:t>
      </w:r>
      <w:r>
        <w:t xml:space="preserve">, gearing 234%, and pre-IPO redemption rights that </w:t>
      </w:r>
      <w:r>
        <w:rPr>
          <w:b/>
        </w:rPr>
        <w:t>automatically resurrect if the listing fails</w:t>
      </w:r>
      <w:r>
        <w:t>. They must list.</w:t>
      </w:r>
    </w:p>
    <w:p>
      <w:pPr>
        <w:pStyle w:val="ListBullet"/>
      </w:pPr>
      <w:r>
        <w:t xml:space="preserve">The deal mechanics agree: cornerstones are a token </w:t>
      </w:r>
      <w:r>
        <w:rPr>
          <w:b/>
        </w:rPr>
        <w:t>US$3m</w:t>
      </w:r>
      <w:r>
        <w:t xml:space="preserve"> — and both (SenseTime, 58 Group) are existing shareholders topping up, needing waivers to count at all. No greenshoe. Boutique sole sponsor. Listing costs eat 10% of the raise. Margin book ~</w:t>
      </w:r>
      <w:r>
        <w:rPr>
          <w:b/>
        </w:rPr>
        <w:t>8x</w:t>
      </w:r>
      <w:r>
        <w:t xml:space="preserve"> into day 2 — the same week retail threw 5,126x at LeDong and 110x at Medcaptain. Retail has a menu of robot deals and is visibly choosing other dishes.</w:t>
      </w:r>
    </w:p>
    <w:p>
      <w:pPr>
        <w:pStyle w:val="Heading2"/>
      </w:pPr>
      <w:r>
        <w:t>The peers — what their charts teach, and the forecast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736"/>
          </w:tcPr>
          <w:p>
            <w:r/>
            <w:r>
              <w:rPr>
                <w:b/>
                <w:sz w:val="19"/>
              </w:rPr>
            </w:r>
          </w:p>
        </w:tc>
        <w:tc>
          <w:tcPr>
            <w:tcW w:type="dxa" w:w="1872"/>
          </w:tcPr>
          <w:p>
            <w:r/>
            <w:r>
              <w:rPr>
                <w:b/>
                <w:sz w:val="19"/>
              </w:rPr>
              <w:t>P/S</w:t>
            </w:r>
          </w:p>
        </w:tc>
        <w:tc>
          <w:tcPr>
            <w:tcW w:type="dxa" w:w="864"/>
          </w:tcPr>
          <w:p>
            <w:r/>
            <w:r>
              <w:rPr>
                <w:b/>
                <w:sz w:val="19"/>
              </w:rPr>
              <w:t>P/E</w:t>
            </w:r>
          </w:p>
        </w:tc>
        <w:tc>
          <w:tcPr>
            <w:tcW w:type="dxa" w:w="1584"/>
          </w:tcPr>
          <w:p>
            <w:r/>
            <w:r>
              <w:rPr>
                <w:b/>
                <w:sz w:val="19"/>
              </w:rPr>
              <w:t>Growth</w:t>
            </w:r>
          </w:p>
        </w:tc>
        <w:tc>
          <w:tcPr>
            <w:tcW w:type="dxa" w:w="1728"/>
          </w:tcPr>
          <w:p>
            <w:r/>
            <w:r>
              <w:rPr>
                <w:b/>
                <w:sz w:val="19"/>
              </w:rPr>
              <w:t>vs IPO</w:t>
            </w:r>
          </w:p>
        </w:tc>
        <w:tc>
          <w:tcPr>
            <w:tcW w:type="dxa" w:w="2736"/>
          </w:tcPr>
          <w:p>
            <w:r/>
            <w:r>
              <w:rPr>
                <w:b/>
                <w:sz w:val="19"/>
              </w:rPr>
              <w:t>Note</w:t>
            </w:r>
          </w:p>
        </w:tc>
      </w:tr>
      <w:tr>
        <w:tc>
          <w:tcPr>
            <w:tcW w:type="dxa" w:w="2736"/>
          </w:tcPr>
          <w:p>
            <w:r>
              <w:rPr>
                <w:sz w:val="19"/>
              </w:rPr>
            </w:r>
            <w:r>
              <w:rPr>
                <w:b/>
                <w:sz w:val="19"/>
              </w:rPr>
              <w:t>Excelland @ range</w:t>
            </w:r>
          </w:p>
        </w:tc>
        <w:tc>
          <w:tcPr>
            <w:tcW w:type="dxa" w:w="1872"/>
          </w:tcPr>
          <w:p>
            <w:r>
              <w:rPr>
                <w:sz w:val="19"/>
              </w:rPr>
            </w:r>
            <w:r>
              <w:rPr>
                <w:b/>
                <w:sz w:val="19"/>
              </w:rPr>
              <w:t>17–23x FY25</w:t>
            </w:r>
          </w:p>
        </w:tc>
        <w:tc>
          <w:tcPr>
            <w:tcW w:type="dxa" w:w="864"/>
          </w:tcPr>
          <w:p>
            <w:r>
              <w:rPr>
                <w:sz w:val="19"/>
              </w:rPr>
            </w:r>
            <w:r>
              <w:rPr>
                <w:sz w:val="19"/>
              </w:rPr>
              <w:t>n/m</w:t>
            </w:r>
          </w:p>
        </w:tc>
        <w:tc>
          <w:tcPr>
            <w:tcW w:type="dxa" w:w="1584"/>
          </w:tcPr>
          <w:p>
            <w:r>
              <w:rPr>
                <w:sz w:val="19"/>
              </w:rPr>
            </w:r>
            <w:r>
              <w:rPr>
                <w:sz w:val="19"/>
              </w:rPr>
              <w:t>+19%</w:t>
            </w:r>
          </w:p>
        </w:tc>
        <w:tc>
          <w:tcPr>
            <w:tcW w:type="dxa" w:w="1728"/>
          </w:tcPr>
          <w:p>
            <w:r>
              <w:rPr>
                <w:sz w:val="19"/>
              </w:rPr>
            </w:r>
            <w:r>
              <w:rPr>
                <w:sz w:val="19"/>
              </w:rPr>
              <w:t>—</w:t>
            </w:r>
          </w:p>
        </w:tc>
        <w:tc>
          <w:tcPr>
            <w:tcW w:type="dxa" w:w="2736"/>
          </w:tcPr>
          <w:p>
            <w:r>
              <w:rPr>
                <w:sz w:val="19"/>
              </w:rPr>
            </w:r>
            <w:r>
              <w:rPr>
                <w:sz w:val="19"/>
              </w:rPr>
              <w:t>GM 13.9%; one customer = 32% of rev</w:t>
            </w:r>
          </w:p>
        </w:tc>
      </w:tr>
      <w:tr>
        <w:tc>
          <w:tcPr>
            <w:tcW w:type="dxa" w:w="2736"/>
          </w:tcPr>
          <w:p>
            <w:r>
              <w:rPr>
                <w:sz w:val="19"/>
              </w:rPr>
            </w:r>
            <w:r>
              <w:rPr>
                <w:sz w:val="19"/>
              </w:rPr>
              <w:t>YunJi 2670</w:t>
            </w:r>
          </w:p>
        </w:tc>
        <w:tc>
          <w:tcPr>
            <w:tcW w:type="dxa" w:w="1872"/>
          </w:tcPr>
          <w:p>
            <w:r>
              <w:rPr>
                <w:sz w:val="19"/>
              </w:rPr>
            </w:r>
            <w:r>
              <w:rPr>
                <w:sz w:val="19"/>
              </w:rPr>
              <w:t>26.6x FY25 / 18.3x TTM</w:t>
            </w:r>
          </w:p>
        </w:tc>
        <w:tc>
          <w:tcPr>
            <w:tcW w:type="dxa" w:w="864"/>
          </w:tcPr>
          <w:p>
            <w:r>
              <w:rPr>
                <w:sz w:val="19"/>
              </w:rPr>
            </w:r>
            <w:r>
              <w:rPr>
                <w:sz w:val="19"/>
              </w:rPr>
              <w:t>n/m</w:t>
            </w:r>
          </w:p>
        </w:tc>
        <w:tc>
          <w:tcPr>
            <w:tcW w:type="dxa" w:w="1584"/>
          </w:tcPr>
          <w:p>
            <w:r>
              <w:rPr>
                <w:sz w:val="19"/>
              </w:rPr>
            </w:r>
            <w:r>
              <w:rPr>
                <w:sz w:val="19"/>
              </w:rPr>
              <w:t>+72% H1</w:t>
            </w:r>
          </w:p>
        </w:tc>
        <w:tc>
          <w:tcPr>
            <w:tcW w:type="dxa" w:w="1728"/>
          </w:tcPr>
          <w:p>
            <w:r>
              <w:rPr>
                <w:sz w:val="19"/>
              </w:rPr>
            </w:r>
            <w:r>
              <w:rPr>
                <w:sz w:val="19"/>
              </w:rPr>
              <w:t>+32%</w:t>
            </w:r>
          </w:p>
        </w:tc>
        <w:tc>
          <w:tcPr>
            <w:tcW w:type="dxa" w:w="2736"/>
          </w:tcPr>
          <w:p>
            <w:r>
              <w:rPr>
                <w:sz w:val="19"/>
              </w:rPr>
            </w:r>
            <w:r>
              <w:rPr>
                <w:sz w:val="19"/>
              </w:rPr>
              <w:t>adj. loss +247%, float just expanded</w:t>
            </w:r>
          </w:p>
        </w:tc>
      </w:tr>
      <w:tr>
        <w:tc>
          <w:tcPr>
            <w:tcW w:type="dxa" w:w="2736"/>
          </w:tcPr>
          <w:p>
            <w:r>
              <w:rPr>
                <w:sz w:val="19"/>
              </w:rPr>
            </w:r>
            <w:r>
              <w:rPr>
                <w:sz w:val="19"/>
              </w:rPr>
              <w:t>UISEE 驭势 1511</w:t>
            </w:r>
          </w:p>
        </w:tc>
        <w:tc>
          <w:tcPr>
            <w:tcW w:type="dxa" w:w="1872"/>
          </w:tcPr>
          <w:p>
            <w:r>
              <w:rPr>
                <w:sz w:val="19"/>
              </w:rPr>
            </w:r>
            <w:r>
              <w:rPr>
                <w:sz w:val="19"/>
              </w:rPr>
              <w:t>25.6x</w:t>
            </w:r>
          </w:p>
        </w:tc>
        <w:tc>
          <w:tcPr>
            <w:tcW w:type="dxa" w:w="864"/>
          </w:tcPr>
          <w:p>
            <w:r>
              <w:rPr>
                <w:sz w:val="19"/>
              </w:rPr>
            </w:r>
            <w:r>
              <w:rPr>
                <w:sz w:val="19"/>
              </w:rPr>
              <w:t>n/m</w:t>
            </w:r>
          </w:p>
        </w:tc>
        <w:tc>
          <w:tcPr>
            <w:tcW w:type="dxa" w:w="1584"/>
          </w:tcPr>
          <w:p>
            <w:r>
              <w:rPr>
                <w:sz w:val="19"/>
              </w:rPr>
            </w:r>
            <w:r>
              <w:rPr>
                <w:sz w:val="19"/>
              </w:rPr>
              <w:t>+24%</w:t>
            </w:r>
          </w:p>
        </w:tc>
        <w:tc>
          <w:tcPr>
            <w:tcW w:type="dxa" w:w="1728"/>
          </w:tcPr>
          <w:p>
            <w:r>
              <w:rPr>
                <w:sz w:val="19"/>
              </w:rPr>
            </w:r>
            <w:r>
              <w:rPr>
                <w:sz w:val="19"/>
              </w:rPr>
              <w:t>−7%</w:t>
            </w:r>
          </w:p>
        </w:tc>
        <w:tc>
          <w:tcPr>
            <w:tcW w:type="dxa" w:w="2736"/>
          </w:tcPr>
          <w:p>
            <w:r>
              <w:rPr>
                <w:sz w:val="19"/>
              </w:rPr>
            </w:r>
          </w:p>
        </w:tc>
      </w:tr>
      <w:tr>
        <w:tc>
          <w:tcPr>
            <w:tcW w:type="dxa" w:w="2736"/>
          </w:tcPr>
          <w:p>
            <w:r>
              <w:rPr>
                <w:sz w:val="19"/>
              </w:rPr>
            </w:r>
            <w:r>
              <w:rPr>
                <w:sz w:val="19"/>
              </w:rPr>
              <w:t>Momenta 6880</w:t>
            </w:r>
          </w:p>
        </w:tc>
        <w:tc>
          <w:tcPr>
            <w:tcW w:type="dxa" w:w="1872"/>
          </w:tcPr>
          <w:p>
            <w:r>
              <w:rPr>
                <w:sz w:val="19"/>
              </w:rPr>
            </w:r>
            <w:r>
              <w:rPr>
                <w:sz w:val="19"/>
              </w:rPr>
              <w:t>20.2x</w:t>
            </w:r>
          </w:p>
        </w:tc>
        <w:tc>
          <w:tcPr>
            <w:tcW w:type="dxa" w:w="864"/>
          </w:tcPr>
          <w:p>
            <w:r>
              <w:rPr>
                <w:sz w:val="19"/>
              </w:rPr>
            </w:r>
            <w:r>
              <w:rPr>
                <w:sz w:val="19"/>
              </w:rPr>
              <w:t>n/m</w:t>
            </w:r>
          </w:p>
        </w:tc>
        <w:tc>
          <w:tcPr>
            <w:tcW w:type="dxa" w:w="1584"/>
          </w:tcPr>
          <w:p>
            <w:r>
              <w:rPr>
                <w:sz w:val="19"/>
              </w:rPr>
            </w:r>
            <w:r>
              <w:rPr>
                <w:sz w:val="19"/>
              </w:rPr>
              <w:t>+82%</w:t>
            </w:r>
          </w:p>
        </w:tc>
        <w:tc>
          <w:tcPr>
            <w:tcW w:type="dxa" w:w="1728"/>
          </w:tcPr>
          <w:p>
            <w:r>
              <w:rPr>
                <w:sz w:val="19"/>
              </w:rPr>
            </w:r>
            <w:r>
              <w:rPr>
                <w:sz w:val="19"/>
              </w:rPr>
              <w:t>−22%</w:t>
            </w:r>
          </w:p>
        </w:tc>
        <w:tc>
          <w:tcPr>
            <w:tcW w:type="dxa" w:w="2736"/>
          </w:tcPr>
          <w:p>
            <w:r>
              <w:rPr>
                <w:sz w:val="19"/>
              </w:rPr>
            </w:r>
            <w:r>
              <w:rPr>
                <w:sz w:val="19"/>
              </w:rPr>
              <w:t>HK$3.9bn ttm loss</w:t>
            </w:r>
          </w:p>
        </w:tc>
      </w:tr>
      <w:tr>
        <w:tc>
          <w:tcPr>
            <w:tcW w:type="dxa" w:w="2736"/>
          </w:tcPr>
          <w:p>
            <w:r>
              <w:rPr>
                <w:sz w:val="19"/>
              </w:rPr>
            </w:r>
            <w:r>
              <w:rPr>
                <w:sz w:val="19"/>
              </w:rPr>
              <w:t>Rokae 3752</w:t>
            </w:r>
          </w:p>
        </w:tc>
        <w:tc>
          <w:tcPr>
            <w:tcW w:type="dxa" w:w="1872"/>
          </w:tcPr>
          <w:p>
            <w:r>
              <w:rPr>
                <w:sz w:val="19"/>
              </w:rPr>
            </w:r>
            <w:r>
              <w:rPr>
                <w:sz w:val="19"/>
              </w:rPr>
              <w:t>19.6x</w:t>
            </w:r>
          </w:p>
        </w:tc>
        <w:tc>
          <w:tcPr>
            <w:tcW w:type="dxa" w:w="864"/>
          </w:tcPr>
          <w:p>
            <w:r>
              <w:rPr>
                <w:sz w:val="19"/>
              </w:rPr>
            </w:r>
            <w:r>
              <w:rPr>
                <w:sz w:val="19"/>
              </w:rPr>
              <w:t>n/m</w:t>
            </w:r>
          </w:p>
        </w:tc>
        <w:tc>
          <w:tcPr>
            <w:tcW w:type="dxa" w:w="1584"/>
          </w:tcPr>
          <w:p>
            <w:r>
              <w:rPr>
                <w:sz w:val="19"/>
              </w:rPr>
            </w:r>
            <w:r>
              <w:rPr>
                <w:sz w:val="19"/>
              </w:rPr>
              <w:t>+60%</w:t>
            </w:r>
          </w:p>
        </w:tc>
        <w:tc>
          <w:tcPr>
            <w:tcW w:type="dxa" w:w="1728"/>
          </w:tcPr>
          <w:p>
            <w:r>
              <w:rPr>
                <w:sz w:val="19"/>
              </w:rPr>
            </w:r>
            <w:r>
              <w:rPr>
                <w:sz w:val="19"/>
              </w:rPr>
              <w:t>+41%</w:t>
            </w:r>
          </w:p>
        </w:tc>
        <w:tc>
          <w:tcPr>
            <w:tcW w:type="dxa" w:w="2736"/>
          </w:tcPr>
          <w:p>
            <w:r>
              <w:rPr>
                <w:sz w:val="19"/>
              </w:rPr>
            </w:r>
            <w:r>
              <w:rPr>
                <w:sz w:val="19"/>
              </w:rPr>
              <w:t>−18.5% on Sep 1 alone (Mech-Mind debut repriced it)</w:t>
            </w:r>
          </w:p>
        </w:tc>
      </w:tr>
      <w:tr>
        <w:tc>
          <w:tcPr>
            <w:tcW w:type="dxa" w:w="2736"/>
          </w:tcPr>
          <w:p>
            <w:r>
              <w:rPr>
                <w:sz w:val="19"/>
              </w:rPr>
            </w:r>
            <w:r>
              <w:rPr>
                <w:sz w:val="19"/>
              </w:rPr>
              <w:t>LDRobot 乐动 1236</w:t>
            </w:r>
          </w:p>
        </w:tc>
        <w:tc>
          <w:tcPr>
            <w:tcW w:type="dxa" w:w="1872"/>
          </w:tcPr>
          <w:p>
            <w:r>
              <w:rPr>
                <w:sz w:val="19"/>
              </w:rPr>
            </w:r>
            <w:r>
              <w:rPr>
                <w:sz w:val="19"/>
              </w:rPr>
              <w:t>14.4x</w:t>
            </w:r>
          </w:p>
        </w:tc>
        <w:tc>
          <w:tcPr>
            <w:tcW w:type="dxa" w:w="864"/>
          </w:tcPr>
          <w:p>
            <w:r>
              <w:rPr>
                <w:sz w:val="19"/>
              </w:rPr>
            </w:r>
            <w:r>
              <w:rPr>
                <w:sz w:val="19"/>
              </w:rPr>
              <w:t>n/m</w:t>
            </w:r>
          </w:p>
        </w:tc>
        <w:tc>
          <w:tcPr>
            <w:tcW w:type="dxa" w:w="1584"/>
          </w:tcPr>
          <w:p>
            <w:r>
              <w:rPr>
                <w:sz w:val="19"/>
              </w:rPr>
            </w:r>
            <w:r>
              <w:rPr>
                <w:sz w:val="19"/>
              </w:rPr>
              <w:t>+60%</w:t>
            </w:r>
          </w:p>
        </w:tc>
        <w:tc>
          <w:tcPr>
            <w:tcW w:type="dxa" w:w="1728"/>
          </w:tcPr>
          <w:p>
            <w:r>
              <w:rPr>
                <w:sz w:val="19"/>
              </w:rPr>
            </w:r>
            <w:r>
              <w:rPr>
                <w:sz w:val="19"/>
              </w:rPr>
              <w:t>+36%</w:t>
            </w:r>
          </w:p>
        </w:tc>
        <w:tc>
          <w:tcPr>
            <w:tcW w:type="dxa" w:w="2736"/>
          </w:tcPr>
          <w:p>
            <w:r>
              <w:rPr>
                <w:sz w:val="19"/>
              </w:rPr>
            </w:r>
          </w:p>
        </w:tc>
      </w:tr>
      <w:tr>
        <w:tc>
          <w:tcPr>
            <w:tcW w:type="dxa" w:w="2736"/>
          </w:tcPr>
          <w:p>
            <w:r>
              <w:rPr>
                <w:sz w:val="19"/>
              </w:rPr>
            </w:r>
            <w:r>
              <w:rPr>
                <w:sz w:val="19"/>
              </w:rPr>
              <w:t>Robotphoenix 翼菲 6871</w:t>
            </w:r>
          </w:p>
        </w:tc>
        <w:tc>
          <w:tcPr>
            <w:tcW w:type="dxa" w:w="1872"/>
          </w:tcPr>
          <w:p>
            <w:r>
              <w:rPr>
                <w:sz w:val="19"/>
              </w:rPr>
            </w:r>
            <w:r>
              <w:rPr>
                <w:sz w:val="19"/>
              </w:rPr>
              <w:t>13.0x</w:t>
            </w:r>
          </w:p>
        </w:tc>
        <w:tc>
          <w:tcPr>
            <w:tcW w:type="dxa" w:w="864"/>
          </w:tcPr>
          <w:p>
            <w:r>
              <w:rPr>
                <w:sz w:val="19"/>
              </w:rPr>
            </w:r>
            <w:r>
              <w:rPr>
                <w:sz w:val="19"/>
              </w:rPr>
              <w:t>n/m</w:t>
            </w:r>
          </w:p>
        </w:tc>
        <w:tc>
          <w:tcPr>
            <w:tcW w:type="dxa" w:w="1584"/>
          </w:tcPr>
          <w:p>
            <w:r>
              <w:rPr>
                <w:sz w:val="19"/>
              </w:rPr>
            </w:r>
            <w:r>
              <w:rPr>
                <w:sz w:val="19"/>
              </w:rPr>
              <w:t>+45%</w:t>
            </w:r>
          </w:p>
        </w:tc>
        <w:tc>
          <w:tcPr>
            <w:tcW w:type="dxa" w:w="1728"/>
          </w:tcPr>
          <w:p>
            <w:r>
              <w:rPr>
                <w:sz w:val="19"/>
              </w:rPr>
            </w:r>
            <w:r>
              <w:rPr>
                <w:sz w:val="19"/>
              </w:rPr>
              <w:t>−10%</w:t>
            </w:r>
          </w:p>
        </w:tc>
        <w:tc>
          <w:tcPr>
            <w:tcW w:type="dxa" w:w="2736"/>
          </w:tcPr>
          <w:p>
            <w:r>
              <w:rPr>
                <w:sz w:val="19"/>
              </w:rPr>
            </w:r>
          </w:p>
        </w:tc>
      </w:tr>
      <w:tr>
        <w:tc>
          <w:tcPr>
            <w:tcW w:type="dxa" w:w="2736"/>
          </w:tcPr>
          <w:p>
            <w:r>
              <w:rPr>
                <w:sz w:val="19"/>
              </w:rPr>
            </w:r>
            <w:r>
              <w:rPr>
                <w:sz w:val="19"/>
              </w:rPr>
              <w:t>Seer 仙工 6106</w:t>
            </w:r>
          </w:p>
        </w:tc>
        <w:tc>
          <w:tcPr>
            <w:tcW w:type="dxa" w:w="1872"/>
          </w:tcPr>
          <w:p>
            <w:r>
              <w:rPr>
                <w:sz w:val="19"/>
              </w:rPr>
            </w:r>
            <w:r>
              <w:rPr>
                <w:sz w:val="19"/>
              </w:rPr>
              <w:t>11.8x</w:t>
            </w:r>
          </w:p>
        </w:tc>
        <w:tc>
          <w:tcPr>
            <w:tcW w:type="dxa" w:w="864"/>
          </w:tcPr>
          <w:p>
            <w:r>
              <w:rPr>
                <w:sz w:val="19"/>
              </w:rPr>
            </w:r>
            <w:r>
              <w:rPr>
                <w:sz w:val="19"/>
              </w:rPr>
              <w:t>n/m</w:t>
            </w:r>
          </w:p>
        </w:tc>
        <w:tc>
          <w:tcPr>
            <w:tcW w:type="dxa" w:w="1584"/>
          </w:tcPr>
          <w:p>
            <w:r>
              <w:rPr>
                <w:sz w:val="19"/>
              </w:rPr>
            </w:r>
            <w:r>
              <w:rPr>
                <w:sz w:val="19"/>
              </w:rPr>
              <w:t>+30%</w:t>
            </w:r>
          </w:p>
        </w:tc>
        <w:tc>
          <w:tcPr>
            <w:tcW w:type="dxa" w:w="1728"/>
          </w:tcPr>
          <w:p>
            <w:r>
              <w:rPr>
                <w:sz w:val="19"/>
              </w:rPr>
            </w:r>
            <w:r>
              <w:rPr>
                <w:sz w:val="19"/>
              </w:rPr>
              <w:t>−34%</w:t>
            </w:r>
          </w:p>
        </w:tc>
        <w:tc>
          <w:tcPr>
            <w:tcW w:type="dxa" w:w="2736"/>
          </w:tcPr>
          <w:p>
            <w:r>
              <w:rPr>
                <w:sz w:val="19"/>
              </w:rPr>
            </w:r>
          </w:p>
        </w:tc>
      </w:tr>
      <w:tr>
        <w:tc>
          <w:tcPr>
            <w:tcW w:type="dxa" w:w="2736"/>
          </w:tcPr>
          <w:p>
            <w:r>
              <w:rPr>
                <w:sz w:val="19"/>
              </w:rPr>
            </w:r>
            <w:r>
              <w:rPr>
                <w:sz w:val="19"/>
              </w:rPr>
              <w:t>Galaxis 凯乐士 2729</w:t>
            </w:r>
          </w:p>
        </w:tc>
        <w:tc>
          <w:tcPr>
            <w:tcW w:type="dxa" w:w="1872"/>
          </w:tcPr>
          <w:p>
            <w:r>
              <w:rPr>
                <w:sz w:val="19"/>
              </w:rPr>
            </w:r>
            <w:r>
              <w:rPr>
                <w:sz w:val="19"/>
              </w:rPr>
              <w:t>11.7x</w:t>
            </w:r>
          </w:p>
        </w:tc>
        <w:tc>
          <w:tcPr>
            <w:tcW w:type="dxa" w:w="864"/>
          </w:tcPr>
          <w:p>
            <w:r>
              <w:rPr>
                <w:sz w:val="19"/>
              </w:rPr>
            </w:r>
            <w:r>
              <w:rPr>
                <w:sz w:val="19"/>
              </w:rPr>
              <w:t>n/m</w:t>
            </w:r>
          </w:p>
        </w:tc>
        <w:tc>
          <w:tcPr>
            <w:tcW w:type="dxa" w:w="1584"/>
          </w:tcPr>
          <w:p>
            <w:r>
              <w:rPr>
                <w:sz w:val="19"/>
              </w:rPr>
            </w:r>
            <w:r>
              <w:rPr>
                <w:sz w:val="19"/>
              </w:rPr>
              <w:t>+26%</w:t>
            </w:r>
          </w:p>
        </w:tc>
        <w:tc>
          <w:tcPr>
            <w:tcW w:type="dxa" w:w="1728"/>
          </w:tcPr>
          <w:p>
            <w:r>
              <w:rPr>
                <w:sz w:val="19"/>
              </w:rPr>
            </w:r>
            <w:r>
              <w:rPr>
                <w:sz w:val="19"/>
              </w:rPr>
              <w:t>+99%</w:t>
            </w:r>
          </w:p>
        </w:tc>
        <w:tc>
          <w:tcPr>
            <w:tcW w:type="dxa" w:w="2736"/>
          </w:tcPr>
          <w:p>
            <w:r>
              <w:rPr>
                <w:sz w:val="19"/>
              </w:rPr>
            </w:r>
          </w:p>
        </w:tc>
      </w:tr>
      <w:tr>
        <w:tc>
          <w:tcPr>
            <w:tcW w:type="dxa" w:w="2736"/>
          </w:tcPr>
          <w:p>
            <w:r>
              <w:rPr>
                <w:sz w:val="19"/>
              </w:rPr>
            </w:r>
            <w:r>
              <w:rPr>
                <w:sz w:val="19"/>
              </w:rPr>
              <w:t>OneRobotics 6600</w:t>
            </w:r>
          </w:p>
        </w:tc>
        <w:tc>
          <w:tcPr>
            <w:tcW w:type="dxa" w:w="1872"/>
          </w:tcPr>
          <w:p>
            <w:r>
              <w:rPr>
                <w:sz w:val="19"/>
              </w:rPr>
            </w:r>
            <w:r>
              <w:rPr>
                <w:sz w:val="19"/>
              </w:rPr>
              <w:t>11.3x</w:t>
            </w:r>
          </w:p>
        </w:tc>
        <w:tc>
          <w:tcPr>
            <w:tcW w:type="dxa" w:w="864"/>
          </w:tcPr>
          <w:p>
            <w:r>
              <w:rPr>
                <w:sz w:val="19"/>
              </w:rPr>
            </w:r>
            <w:r>
              <w:rPr>
                <w:sz w:val="19"/>
              </w:rPr>
              <w:t>n/m</w:t>
            </w:r>
          </w:p>
        </w:tc>
        <w:tc>
          <w:tcPr>
            <w:tcW w:type="dxa" w:w="1584"/>
          </w:tcPr>
          <w:p>
            <w:r>
              <w:rPr>
                <w:sz w:val="19"/>
              </w:rPr>
            </w:r>
            <w:r>
              <w:rPr>
                <w:sz w:val="19"/>
              </w:rPr>
              <w:t>+48% FY25, slowing</w:t>
            </w:r>
          </w:p>
        </w:tc>
        <w:tc>
          <w:tcPr>
            <w:tcW w:type="dxa" w:w="1728"/>
          </w:tcPr>
          <w:p>
            <w:r>
              <w:rPr>
                <w:sz w:val="19"/>
              </w:rPr>
            </w:r>
            <w:r>
              <w:rPr>
                <w:b/>
                <w:sz w:val="19"/>
              </w:rPr>
              <w:t>−33%, at lows</w:t>
            </w:r>
          </w:p>
        </w:tc>
        <w:tc>
          <w:tcPr>
            <w:tcW w:type="dxa" w:w="2736"/>
          </w:tcPr>
          <w:p>
            <w:r>
              <w:rPr>
                <w:sz w:val="19"/>
              </w:rPr>
            </w:r>
            <w:r>
              <w:rPr>
                <w:sz w:val="19"/>
              </w:rPr>
              <w:t>GM 50%</w:t>
            </w:r>
          </w:p>
        </w:tc>
      </w:tr>
      <w:tr>
        <w:tc>
          <w:tcPr>
            <w:tcW w:type="dxa" w:w="2736"/>
          </w:tcPr>
          <w:p>
            <w:r>
              <w:rPr>
                <w:sz w:val="19"/>
              </w:rPr>
            </w:r>
            <w:r>
              <w:rPr>
                <w:sz w:val="19"/>
              </w:rPr>
              <w:t>EACON 易控 7687</w:t>
            </w:r>
          </w:p>
        </w:tc>
        <w:tc>
          <w:tcPr>
            <w:tcW w:type="dxa" w:w="1872"/>
          </w:tcPr>
          <w:p>
            <w:r>
              <w:rPr>
                <w:sz w:val="19"/>
              </w:rPr>
            </w:r>
            <w:r>
              <w:rPr>
                <w:sz w:val="19"/>
              </w:rPr>
              <w:t>7.4x</w:t>
            </w:r>
          </w:p>
        </w:tc>
        <w:tc>
          <w:tcPr>
            <w:tcW w:type="dxa" w:w="864"/>
          </w:tcPr>
          <w:p>
            <w:r>
              <w:rPr>
                <w:sz w:val="19"/>
              </w:rPr>
            </w:r>
            <w:r>
              <w:rPr>
                <w:sz w:val="19"/>
              </w:rPr>
              <w:t>n/m</w:t>
            </w:r>
          </w:p>
        </w:tc>
        <w:tc>
          <w:tcPr>
            <w:tcW w:type="dxa" w:w="1584"/>
          </w:tcPr>
          <w:p>
            <w:r>
              <w:rPr>
                <w:sz w:val="19"/>
              </w:rPr>
            </w:r>
            <w:r>
              <w:rPr>
                <w:sz w:val="19"/>
              </w:rPr>
              <w:t>+46%</w:t>
            </w:r>
          </w:p>
        </w:tc>
        <w:tc>
          <w:tcPr>
            <w:tcW w:type="dxa" w:w="1728"/>
          </w:tcPr>
          <w:p>
            <w:r>
              <w:rPr>
                <w:sz w:val="19"/>
              </w:rPr>
            </w:r>
            <w:r>
              <w:rPr>
                <w:sz w:val="19"/>
              </w:rPr>
              <w:t>−14%</w:t>
            </w:r>
          </w:p>
        </w:tc>
        <w:tc>
          <w:tcPr>
            <w:tcW w:type="dxa" w:w="2736"/>
          </w:tcPr>
          <w:p>
            <w:r>
              <w:rPr>
                <w:sz w:val="19"/>
              </w:rPr>
            </w:r>
          </w:p>
        </w:tc>
      </w:tr>
      <w:tr>
        <w:tc>
          <w:tcPr>
            <w:tcW w:type="dxa" w:w="2736"/>
          </w:tcPr>
          <w:p>
            <w:r>
              <w:rPr>
                <w:sz w:val="19"/>
              </w:rPr>
            </w:r>
            <w:r>
              <w:rPr>
                <w:sz w:val="19"/>
              </w:rPr>
              <w:t>Estun 2715 (profitable)</w:t>
            </w:r>
          </w:p>
        </w:tc>
        <w:tc>
          <w:tcPr>
            <w:tcW w:type="dxa" w:w="1872"/>
          </w:tcPr>
          <w:p>
            <w:r>
              <w:rPr>
                <w:sz w:val="19"/>
              </w:rPr>
            </w:r>
            <w:r>
              <w:rPr>
                <w:sz w:val="19"/>
              </w:rPr>
              <w:t>5.5x</w:t>
            </w:r>
          </w:p>
        </w:tc>
        <w:tc>
          <w:tcPr>
            <w:tcW w:type="dxa" w:w="864"/>
          </w:tcPr>
          <w:p>
            <w:r>
              <w:rPr>
                <w:sz w:val="19"/>
              </w:rPr>
            </w:r>
            <w:r>
              <w:rPr>
                <w:sz w:val="19"/>
              </w:rPr>
              <w:t>147x</w:t>
            </w:r>
          </w:p>
        </w:tc>
        <w:tc>
          <w:tcPr>
            <w:tcW w:type="dxa" w:w="1584"/>
          </w:tcPr>
          <w:p>
            <w:r>
              <w:rPr>
                <w:sz w:val="19"/>
              </w:rPr>
            </w:r>
            <w:r>
              <w:rPr>
                <w:sz w:val="19"/>
              </w:rPr>
              <w:t>+12%</w:t>
            </w:r>
          </w:p>
        </w:tc>
        <w:tc>
          <w:tcPr>
            <w:tcW w:type="dxa" w:w="1728"/>
          </w:tcPr>
          <w:p>
            <w:r>
              <w:rPr>
                <w:sz w:val="19"/>
              </w:rPr>
            </w:r>
            <w:r>
              <w:rPr>
                <w:sz w:val="19"/>
              </w:rPr>
              <w:t>+9%</w:t>
            </w:r>
          </w:p>
        </w:tc>
        <w:tc>
          <w:tcPr>
            <w:tcW w:type="dxa" w:w="2736"/>
          </w:tcPr>
          <w:p>
            <w:r>
              <w:rPr>
                <w:sz w:val="19"/>
              </w:rPr>
            </w:r>
          </w:p>
        </w:tc>
      </w:tr>
      <w:tr>
        <w:tc>
          <w:tcPr>
            <w:tcW w:type="dxa" w:w="2736"/>
          </w:tcPr>
          <w:p>
            <w:r>
              <w:rPr>
                <w:sz w:val="19"/>
              </w:rPr>
            </w:r>
            <w:r>
              <w:rPr>
                <w:sz w:val="19"/>
              </w:rPr>
              <w:t>Ninebot 689009 (profitable ref.)</w:t>
            </w:r>
          </w:p>
        </w:tc>
        <w:tc>
          <w:tcPr>
            <w:tcW w:type="dxa" w:w="1872"/>
          </w:tcPr>
          <w:p>
            <w:r>
              <w:rPr>
                <w:sz w:val="19"/>
              </w:rPr>
            </w:r>
            <w:r>
              <w:rPr>
                <w:sz w:val="19"/>
              </w:rPr>
              <w:t>1.3x</w:t>
            </w:r>
          </w:p>
        </w:tc>
        <w:tc>
          <w:tcPr>
            <w:tcW w:type="dxa" w:w="864"/>
          </w:tcPr>
          <w:p>
            <w:r>
              <w:rPr>
                <w:sz w:val="19"/>
              </w:rPr>
            </w:r>
            <w:r>
              <w:rPr>
                <w:sz w:val="19"/>
              </w:rPr>
              <w:t>~20x</w:t>
            </w:r>
          </w:p>
        </w:tc>
        <w:tc>
          <w:tcPr>
            <w:tcW w:type="dxa" w:w="1584"/>
          </w:tcPr>
          <w:p>
            <w:r>
              <w:rPr>
                <w:sz w:val="19"/>
              </w:rPr>
            </w:r>
            <w:r>
              <w:rPr>
                <w:sz w:val="19"/>
              </w:rPr>
              <w:t>—</w:t>
            </w:r>
          </w:p>
        </w:tc>
        <w:tc>
          <w:tcPr>
            <w:tcW w:type="dxa" w:w="1728"/>
          </w:tcPr>
          <w:p>
            <w:r>
              <w:rPr>
                <w:sz w:val="19"/>
              </w:rPr>
            </w:r>
            <w:r>
              <w:rPr>
                <w:sz w:val="19"/>
              </w:rPr>
              <w:t>—</w:t>
            </w:r>
          </w:p>
        </w:tc>
        <w:tc>
          <w:tcPr>
            <w:tcW w:type="dxa" w:w="2736"/>
          </w:tcPr>
          <w:p>
            <w:r>
              <w:rPr>
                <w:sz w:val="19"/>
              </w:rPr>
            </w:r>
            <w:r>
              <w:rPr>
                <w:sz w:val="19"/>
              </w:rPr>
              <w:t>what profitable robots actually fetch</w:t>
            </w:r>
          </w:p>
        </w:tc>
      </w:tr>
    </w:tbl>
    <w:p/>
    <w:p>
      <w:pPr>
        <w:pStyle w:val="ListBullet"/>
      </w:pPr>
      <w:r>
        <w:rPr>
          <w:b/>
        </w:rPr>
        <w:t>YunJi's round trip is the roadmap.</w:t>
      </w:r>
      <w:r>
        <w:t xml:space="preserve"> 5,657x book, opened +49%, then tripled into June on a thin float and robot mania (peak HK$324). What broke it wasn't the story — revenue grew +72% — it was the *quality and float*: the Aug profit alert showed the operating loss widening (−10% next day), the interim confirmed adjusted losses up +247% with margin falling, the May buyback support went quiet, and full circulation completed 26 Aug expanded the float right into the weakness. Now HK$126, −61% off the peak. Forecast: with the float bigger and losses widening, it grinds toward issue unless H2 shows real operating leverage.</w:t>
      </w:r>
    </w:p>
    <w:p>
      <w:pPr>
        <w:pStyle w:val="ListBullet"/>
      </w:pPr>
      <w:r>
        <w:rPr>
          <w:b/>
        </w:rPr>
        <w:t>OneRobotics is the other lesson.</w:t>
      </w:r>
      <w:r>
        <w:t xml:space="preserve"> Flat debut at HK$73.80, tripled to 201 in the Feb–Mar mania, then −71%: the cornerstone unlock in June started it, and the Aug interim (growth decelerating to +32%, margin down, FX swing to loss) put it at an all-time low, 31% below issue. Of the cohort it's now the closest to interesting — ~10x sales for a real overseas consumer franchise with a buyback pending — but it needs a profit swing-back first. Forecast: base-builds here; not a falling knife but no hurry either.</w:t>
      </w:r>
    </w:p>
    <w:p>
      <w:pPr>
        <w:pStyle w:val="ListBullet"/>
      </w:pPr>
      <w:r>
        <w:t xml:space="preserve">Now read the full shelf. Ten listed robots, nine loss-making, median around </w:t>
      </w:r>
      <w:r>
        <w:rPr>
          <w:b/>
        </w:rPr>
        <w:t>13x sales</w:t>
      </w:r>
      <w:r>
        <w:t xml:space="preserve"> — and six of the ten are underwater versus their own offer price. The winners (Galaxis +99%, Rokae +41%, LDRobot +36%) all have something Excelland doesn't: a real margin, a real niche, or momentum-grade growth. Excelland walks in asking 17–23x — top-quartile price — with the worst gross margin on the list (14%), the worst customer concentration, and the weakest balance sheet. And notice what happened to Rokae on Sep 1: down 18.5% in a day just because Mech-Mind listed and gave the market a better robot to own. This shelf reprices on every new supply, and there are 40+ robot IPOs still queued.</w:t>
      </w:r>
    </w:p>
    <w:p>
      <w:pPr>
        <w:pStyle w:val="ListBullet"/>
      </w:pPr>
      <w:r>
        <w:rPr>
          <w:b/>
        </w:rPr>
        <w:t>Verdict: avoid, including the debut.</w:t>
      </w:r>
      <w:r>
        <w:t xml:space="preserve"> This is what the bottom of the robotics-IPO barrel looks like — the same week Mech-Mind shows you the top. If you want service robots at all, OneRobotics below HK$52 is the better-quality, half-the-multiple version; and if you want the momentum game, Mech-Mind's float math is the one with the fuel.</w:t>
      </w:r>
    </w:p>
    <w:p>
      <w:pPr>
        <w:pStyle w:val="Heading1"/>
      </w:pPr>
      <w:r>
        <w:t>7. Broadcom (AVGO) — it printed; beat and fell anyway</w:t>
      </w:r>
    </w:p>
    <w:p>
      <w:r>
        <w:t>Reported Wed 2 Sep after the US close. Everything below was written going in — kept as-is because the pre-print framework is what called the reaction — with the result at the end.</w:t>
      </w:r>
    </w:p>
    <w:p>
      <w:pPr>
        <w:pStyle w:val="Heading2"/>
      </w:pPr>
      <w:r>
        <w:t>The numbers on the table</w:t>
      </w:r>
    </w:p>
    <w:p>
      <w:pPr>
        <w:pStyle w:val="ListBullet"/>
      </w:pPr>
      <w:r>
        <w:t xml:space="preserve">Consensus FQ3: revenue ~$29.4bn (+85%), adjusted EPS ~$3.23 — matching the company's own guide. The guide that matters inside it: </w:t>
      </w:r>
      <w:r>
        <w:rPr>
          <w:b/>
        </w:rPr>
        <w:t>AI semis $16.0bn</w:t>
      </w:r>
      <w:r>
        <w:t>, software $8.9bn (+31%, a big step-up that must print), gross margin ~74% (down ~310bp on XPU/rack mix).</w:t>
      </w:r>
    </w:p>
    <w:p>
      <w:pPr>
        <w:pStyle w:val="ListBullet"/>
      </w:pPr>
      <w:r>
        <w:t xml:space="preserve">Full-year anchors: FY26 AI reaffirmed at </w:t>
      </w:r>
      <w:r>
        <w:rPr>
          <w:b/>
        </w:rPr>
        <w:t>$56bn (+~180%)</w:t>
      </w:r>
      <w:r>
        <w:t xml:space="preserve">; FY27 AI still only qualified as </w:t>
      </w:r>
      <w:r>
        <w:rPr>
          <w:b/>
        </w:rPr>
        <w:t>"in excess of $100bn."</w:t>
      </w:r>
      <w:r>
        <w:t xml:space="preserve"> Consensus has FY26 revenue $106bn and FY27 $173bn — you're paying ~32x this year's EPS, </w:t>
      </w:r>
      <w:r>
        <w:rPr>
          <w:b/>
        </w:rPr>
        <w:t>19x FY27's</w:t>
      </w:r>
      <w:r>
        <w:t>. Street: 45 of 49 at Buy, average target $526.</w:t>
      </w:r>
    </w:p>
    <w:p>
      <w:pPr>
        <w:pStyle w:val="Heading2"/>
      </w:pPr>
      <w:r>
        <w:t>How this stock actually trades on prints — the only pattern that matters</w:t>
      </w:r>
    </w:p>
    <w:p>
      <w:pPr>
        <w:pStyle w:val="ListBullet"/>
      </w:pPr>
      <w:r>
        <w:t xml:space="preserve">Eight straight revenue/EPS beats, and the stock ignored every one of them. What moves it is the </w:t>
      </w:r>
      <w:r>
        <w:rPr>
          <w:b/>
        </w:rPr>
        <w:t>AI guide versus the buyside number, and margin language</w:t>
      </w:r>
      <w:r>
        <w:t xml:space="preserve">: in-line AI guide −5% (Jun '25); GM-dilution guide −11% (Dec '25); guide below whisper with no FY27 raise </w:t>
      </w:r>
      <w:r>
        <w:rPr>
          <w:b/>
        </w:rPr>
        <w:t>−12.6% (June — buyside wanted $17.2bn, got $16.0bn)</w:t>
      </w:r>
      <w:r>
        <w:t>. The rips are all the same trade too: new customer or target raise (+24%, +9%, +5%).</w:t>
      </w:r>
    </w:p>
    <w:p>
      <w:pPr>
        <w:pStyle w:val="ListBullet"/>
      </w:pPr>
      <w:r>
        <w:t xml:space="preserve">They also sandbag: the AI print has beaten its own guide by $0.1–0.3bn </w:t>
      </w:r>
      <w:r>
        <w:rPr>
          <w:b/>
        </w:rPr>
        <w:t>every quarter this cycle</w:t>
      </w:r>
      <w:r>
        <w:t xml:space="preserve">. So $16.2–16.3bn tomorrow is scripted, not a beat. The real bars: </w:t>
      </w:r>
      <w:r>
        <w:rPr>
          <w:b/>
        </w:rPr>
        <w:t>AI print ≥ ~$16.5bn; FQ4 AI guide ≥ ~$21bn</w:t>
      </w:r>
      <w:r>
        <w:t xml:space="preserve"> (the $56bn path already implies $20.8bn — guiding there is zero news); and above all, </w:t>
      </w:r>
      <w:r>
        <w:rPr>
          <w:b/>
        </w:rPr>
        <w:t>replacing "in excess of $100bn" for FY27 with an actual bigger number.</w:t>
      </w:r>
      <w:r>
        <w:t xml:space="preserve"> That sentence is the whole print.</w:t>
      </w:r>
    </w:p>
    <w:p>
      <w:pPr>
        <w:pStyle w:val="Heading2"/>
      </w:pPr>
      <w:r>
        <w:t>What the market wants to hear, in order</w:t>
      </w:r>
    </w:p>
    <w:p>
      <w:pPr>
        <w:pStyle w:val="ListBullet"/>
      </w:pPr>
      <w:r>
        <w:rPr>
          <w:b/>
        </w:rPr>
        <w:t>FY27 quantified above $100bn</w:t>
      </w:r>
      <w:r>
        <w:t xml:space="preserve"> — the June sell-off was this exact sentence not upgrading. </w:t>
      </w:r>
      <w:r>
        <w:rPr>
          <w:b/>
        </w:rPr>
        <w:t>OpenAI 10GW shipping confirmation</w:t>
      </w:r>
      <w:r>
        <w:t xml:space="preserve"> — June said production late '26, 1.3GW contractual in '27; the market wants "shipments have started." </w:t>
      </w:r>
      <w:r>
        <w:rPr>
          <w:b/>
        </w:rPr>
        <w:t>A Google answer</w:t>
      </w:r>
      <w:r>
        <w:t xml:space="preserve"> — Google signed an up-to-$120bn custom-silicon framework with Marvell on Aug 19 (milestone warrants, not committed volume, and the teardowns say the headline overstates near-term displacement — but it will be the first analyst question). </w:t>
      </w:r>
      <w:r>
        <w:rPr>
          <w:b/>
        </w:rPr>
        <w:t>A gross-margin floor</w:t>
      </w:r>
      <w:r>
        <w:t xml:space="preserve"> — "74% and stabilising" keeps the bears quiet; below 73% guided for Q4 is the tail risk. Plus any 7th customer or naming of the two $6bn mystery accounts.</w:t>
      </w:r>
    </w:p>
    <w:p>
      <w:pPr>
        <w:pStyle w:val="ListBullet"/>
      </w:pPr>
      <w:r>
        <w:t xml:space="preserve">Read-across this week cuts both ways: Nvidia beat and ripped +8% (AI-capex tone fine), but Marvell — the custom-silicon twin — </w:t>
      </w:r>
      <w:r>
        <w:rPr>
          <w:b/>
        </w:rPr>
        <w:t>fell 10% on margin compression in exactly the business AVGO is scaling</w:t>
      </w:r>
      <w:r>
        <w:t>. That's the bear template applied to tomorrow's GM line.</w:t>
      </w:r>
    </w:p>
    <w:p>
      <w:pPr>
        <w:pStyle w:val="Heading2"/>
      </w:pPr>
      <w:r>
        <w:t>Our read</w:t>
      </w:r>
    </w:p>
    <w:p>
      <w:pPr>
        <w:pStyle w:val="ListBullet"/>
      </w:pPr>
      <w:r>
        <w:t xml:space="preserve">The setup is the mirror image of June: then it walked in +39% over 60 days and got destroyed by an in-line guide; now it walks in −12% with the whisper reset lower. Positioning finally favours the long side, and the sandbagged-beat-plus-$21bn-Q4-guide script is likely delivered. But structurally </w:t>
      </w:r>
      <w:r>
        <w:rPr>
          <w:b/>
        </w:rPr>
        <w:t>this stock does not pay you for in-line — it sells off unless something is raised.</w:t>
      </w:r>
      <w:r>
        <w:t xml:space="preserve"> Base case: scripted beat, FQ4 guide ~$21bn, FY27 repeated-but-not-quantified → flat to modestly down. Rip case (needs FY27 number &gt;$110bn, or OpenAI early, or a name on the mystery customers): +8–10%. Tail: GM guided sub-73% or cautious Google language → −8% or worse.</w:t>
      </w:r>
    </w:p>
    <w:p>
      <w:pPr>
        <w:pStyle w:val="Heading2"/>
      </w:pPr>
      <w:r>
        <w:t>Update — it printed Wednesday night, and the pattern held</w:t>
      </w:r>
    </w:p>
    <w:p>
      <w:pPr>
        <w:pStyle w:val="ListBullet"/>
      </w:pPr>
      <w:r>
        <w:t xml:space="preserve">The numbers were good: </w:t>
      </w:r>
      <w:r>
        <w:rPr>
          <w:b/>
        </w:rPr>
        <w:t>AI revenue $16.7bn against the $16.0bn guide, +221% year-on-year and +54% sequentially</w:t>
      </w:r>
      <w:r>
        <w:t xml:space="preserve">. Q4 guided to ~93% revenue growth with AI tripling, and they finally put shape on the out-years — </w:t>
      </w:r>
      <w:r>
        <w:rPr>
          <w:b/>
        </w:rPr>
        <w:t>AI revenue doubling in both 2027 and 2028</w:t>
      </w:r>
      <w:r>
        <w:t>.</w:t>
      </w:r>
    </w:p>
    <w:p>
      <w:pPr>
        <w:pStyle w:val="ListBullet"/>
      </w:pPr>
      <w:r>
        <w:t xml:space="preserve">And the stock </w:t>
      </w:r>
      <w:r>
        <w:rPr>
          <w:b/>
        </w:rPr>
        <w:t>fell 2.8% to $357</w:t>
      </w:r>
      <w:r>
        <w:t>. Read that again: a clean beat, a raised trajectory, and it still went down. This is the ninth straight beat that the market refused to pay for — the guide was measured against a whisper that had already climbed, and the reaction reverted to the June template.</w:t>
      </w:r>
    </w:p>
    <w:p>
      <w:pPr>
        <w:pStyle w:val="ListBullet"/>
      </w:pPr>
      <w:r>
        <w:rPr>
          <w:b/>
        </w:rPr>
        <w:t>The lesson we flagged before the print is now confirmed twice over: this name does not pay you for owning it into results.</w:t>
      </w:r>
      <w:r>
        <w:t xml:space="preserve"> The trade that has worked all cycle is buying the post-print flush, not the print. At $357 you're roughly 28% below the June high with the AI trajectory now formally doubling for two more years — that's a considerably better entry than anything on offer 48 hours ago, and it's the setup we'd rather have.</w:t>
      </w:r>
    </w:p>
    <w:p>
      <w:pPr>
        <w:pStyle w:val="ListBullet"/>
      </w:pPr>
      <w:r>
        <w:rPr>
          <w:b/>
        </w:rPr>
        <w:t>If forced to a position: small long into it, sized for the ±8% either way</w:t>
      </w:r>
      <w:r>
        <w:t xml:space="preserve"> — the run-in asymmetry is worth something — but the June lesson is the durable one: this name pays you for buying the guide-driven flush, not for gambling on the print. Implied-move levels off $370: ~$343 / ~$397.</w:t>
      </w:r>
    </w:p>
    <w:p>
      <w:pPr>
        <w:pStyle w:val="Heading1"/>
      </w:pPr>
      <w:r>
        <w:t>8. Bottom line</w:t>
      </w:r>
    </w:p>
    <w:p>
      <w:pPr>
        <w:pStyle w:val="ListBullet"/>
      </w:pPr>
      <w:r>
        <w:rPr>
          <w:b/>
        </w:rPr>
        <w:t>SHEIN</w:t>
      </w:r>
      <w:r>
        <w:t xml:space="preserve"> — priced at the top of its fair band, cold book, capped model, US$3.5bn out the door to old investors, and the southbound bid locked out until March. Skip the debut; express the theme through PDD.</w:t>
      </w:r>
    </w:p>
    <w:p>
      <w:pPr>
        <w:pStyle w:val="ListBullet"/>
      </w:pPr>
      <w:r>
        <w:rPr>
          <w:b/>
        </w:rPr>
        <w:t>Mech-Mind</w:t>
      </w:r>
      <w:r>
        <w:t xml:space="preserve"> — rich on fundamentals but priced at par with the live benchmark, with the mechanics of a squeeze. Take the debut, sell into strength, stay only if you believe the Q1 acceleration is real.</w:t>
      </w:r>
    </w:p>
    <w:p>
      <w:pPr>
        <w:pStyle w:val="ListBullet"/>
      </w:pPr>
      <w:r>
        <w:t>Same-day listings will split liquidity, and the contrast should be visible by lunch: the cheap one flat, the expensive one flying.</w:t>
      </w:r>
    </w:p>
    <w:p>
      <w:pPr>
        <w:pStyle w:val="ListBullet"/>
      </w:pPr>
      <w:r>
        <w:rPr>
          <w:b/>
        </w:rPr>
        <w:t>Ingenic</w:t>
      </w:r>
      <w:r>
        <w:t xml:space="preserve"> — legacy-memory cycle play at ~19x this year's earnings. Results Saturday; whisper is top of the guided range and positioning is already washed out. Slight positive lean into Monday.</w:t>
      </w:r>
    </w:p>
    <w:p>
      <w:pPr>
        <w:pStyle w:val="ListBullet"/>
      </w:pPr>
      <w:r>
        <w:rPr>
          <w:b/>
        </w:rPr>
        <w:t>Medcaptain</w:t>
      </w:r>
      <w:r>
        <w:t xml:space="preserve"> — still double a defensible price on the comps (59x adjusted vs Micro-Tech at 28.5x), but the weekend book (53x+) turned the debut into a float game. Investment: pass. Trade: grey market 4 Sep, sell into the open, no stabiliser below you.</w:t>
      </w:r>
    </w:p>
    <w:p>
      <w:pPr>
        <w:pStyle w:val="ListBullet"/>
      </w:pPr>
      <w:r>
        <w:rPr>
          <w:b/>
        </w:rPr>
        <w:t>Longsys</w:t>
      </w:r>
      <w:r>
        <w:t xml:space="preserve"> — your inventory-cycle concern is the whole story: −3.15bn operating cash flow in the best half in its history, 60% of assets in inventory, insiders selling. The 44% A/H discount protects the debut, not the holding. Own Ingenic for this cycle, rent Longsys at most.</w:t>
      </w:r>
    </w:p>
    <w:p>
      <w:pPr>
        <w:pStyle w:val="ListBullet"/>
      </w:pPr>
      <w:r>
        <w:rPr>
          <w:b/>
        </w:rPr>
        <w:t>Excelland</w:t>
      </w:r>
      <w:r>
        <w:t xml:space="preserve"> — weakest deal of the note: 14% GM, one customer a third of revenue, rescue financing dressed as an 18C listing, cold book. Avoid entirely; OneRobotics at the lows is the better way into service robots.</w:t>
      </w:r>
    </w:p>
    <w:p>
      <w:pPr>
        <w:pStyle w:val="ListBullet"/>
      </w:pPr>
      <w:r>
        <w:rPr>
          <w:b/>
        </w:rPr>
        <w:t>Broadcom</w:t>
      </w:r>
      <w:r>
        <w:t xml:space="preserve"> — printed Wednesday: AI $16.7bn vs a $16.0bn guide, +221%, and AI now guided to double in both 2027 and 2028 — and the stock fell 2.8% anyway. Ninth straight beat the market wouldn't pay for. At $357 (−28% off the June high) the entry is finally decent; buy the flush, never the print.</w:t>
      </w:r>
    </w:p>
    <w:p>
      <w:pPr>
        <w:pStyle w:val="Heading2"/>
      </w:pPr>
      <w:r>
        <w:t>Dates to watch</w:t>
      </w:r>
    </w:p>
    <w:p>
      <w:pPr>
        <w:pStyle w:val="ListBullet"/>
      </w:pPr>
      <w:r>
        <w:t xml:space="preserve">2 Sep — Medcaptain closes · </w:t>
      </w:r>
      <w:r>
        <w:rPr>
          <w:b/>
        </w:rPr>
        <w:t>2 Sep US close — Broadcom prints</w:t>
      </w:r>
      <w:r>
        <w:t xml:space="preserve"> · 3 Sep noon — Longsys closes · 4 Sep — Medcaptain grey market; Excelland closes · 7 Sep — Medcaptain lists; Longsys prices · 8 Sep — Longsys lists · 9 Sep — Excelland lists · ~mid-Sep — SHEIN HSCI fast entry · Q4 — Longsys cheap-inventory runway ends · Mar 2027 — Mech-Mind unlock.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