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11111"/>
          <w:sz w:val="40"/>
        </w:rPr>
        <w:t>The A/H Premium: What Actually Drives It</w:t>
      </w:r>
    </w:p>
    <w:p>
      <w:r>
        <w:rPr>
          <w:color w:val="5B5B57"/>
          <w:sz w:val="22"/>
        </w:rPr>
        <w:t>Evidence from 61 A+H pairs in the Hong Kong IPO book (2021–2026), benchmarked against the 202-pair market universe</w:t>
      </w:r>
    </w:p>
    <w:p>
      <w:r>
        <w:rPr>
          <w:color w:val="5B5B57"/>
          <w:sz w:val="18"/>
        </w:rPr>
        <w:t>Delta One / ECM · HK IPO Database v24 · prepared 26 August 2026</w:t>
      </w:r>
    </w:p>
    <w:p>
      <w:pPr>
        <w:spacing w:before="260" w:after="80"/>
      </w:pPr>
      <w:r>
        <w:rPr>
          <w:b/>
          <w:color w:val="111111"/>
          <w:sz w:val="26"/>
        </w:rPr>
        <w:t>The one-paragraph version</w:t>
      </w:r>
    </w:p>
    <w:p>
      <w:r>
        <w:rPr>
          <w:i w:val="0"/>
          <w:sz w:val="21"/>
        </w:rPr>
        <w:t>Size explains the A/H premium; almost nothing else does. Across the 58 pairs with full pricing data the correlation between the premium and log market cap is -0.71 — mega-caps trade at a median +25% premium while mid-caps trade at +109%, and three megas trade with the A line BELOW the H. Valuation does not explain it (correlation with P/E at IPO is +0.08), and the listing board does not explain it once size is held. The mechanism is access on the H side: a large H-line enters Southbound Connect within weeks and is then bid by mainland and global money at once, while an H-line below the HK$5bn index floor may never qualify and stays thin against a retail-priced A line. Borrow does not differentiate the cross-section — A-share shorting has been effectively shut for every name since the relending channel was zeroed on 30 September 2024 — but it is why the gap never closes anywhere: with no borrow and no share fungibility, the premium is a segmentation price, not an arbitrage.</w:t>
      </w:r>
    </w:p>
    <w:p>
      <w:pPr>
        <w:spacing w:before="260" w:after="80"/>
      </w:pPr>
      <w:r>
        <w:rPr>
          <w:b/>
          <w:color w:val="111111"/>
          <w:sz w:val="26"/>
        </w:rPr>
        <w:t>What this means for the desk</w:t>
      </w:r>
    </w:p>
    <w:p>
      <w:pPr>
        <w:pStyle w:val="ListBullet"/>
      </w:pPr>
      <w:r>
        <w:rPr>
          <w:b/>
          <w:color w:val="1C56A0"/>
        </w:rPr>
        <w:t>On a mega A+H deal</w:t>
      </w:r>
      <w:r>
        <w:rPr>
          <w:b w:val="0"/>
        </w:rPr>
        <w:t>, the H typically converges toward the A as Southbound inclusion lands roughly two to four weeks after listing — the premium compresses from the H side, and that window is the tradeable event.</w:t>
      </w:r>
    </w:p>
    <w:p>
      <w:pPr>
        <w:pStyle w:val="ListBullet"/>
      </w:pPr>
      <w:r>
        <w:rPr>
          <w:b/>
          <w:color w:val="C04A1E"/>
        </w:rPr>
        <w:t>On a sub-HK$5bn H-line</w:t>
      </w:r>
      <w:r>
        <w:rPr>
          <w:b w:val="0"/>
        </w:rPr>
        <w:t>, there is no such flow catalyst. The discount you buy at IPO is broadly the discount you keep, so it must be underwritten on fundamentals, not on convergence.</w:t>
      </w:r>
    </w:p>
    <w:p>
      <w:pPr>
        <w:pStyle w:val="ListBullet"/>
      </w:pPr>
      <w:r>
        <w:rPr>
          <w:b/>
        </w:rPr>
        <w:t>Do not size a convergence trade on borrow</w:t>
      </w:r>
      <w:r>
        <w:rPr>
          <w:b w:val="0"/>
        </w:rPr>
        <w:t>. Short-A/long-H is unexecutable at any size in the current regime; the only expressible leg is the H.</w:t>
      </w:r>
      <w:r>
        <w:rPr>
          <w:b w:val="0"/>
        </w:rPr>
        <w:t xml:space="preserve"> Where a short is genuinely needed — fading an inverted mega like CATL — the executable leg is an H borrow, and only because the name passes the designation and inventory gates in section 6.</w:t>
      </w:r>
    </w:p>
    <w:p>
      <w:pPr>
        <w:pStyle w:val="ListBullet"/>
      </w:pPr>
      <w:r>
        <w:rPr>
          <w:b/>
        </w:rPr>
        <w:t>Premiums have been widening, not mean-reverting</w:t>
      </w:r>
      <w:r>
        <w:rPr>
          <w:b w:val="0"/>
        </w:rPr>
        <w:t>: since their IPOs the median pair moved +7pp wider (35 of 60 widened).</w:t>
      </w:r>
    </w:p>
    <w:p>
      <w:r>
        <w:br w:type="page"/>
      </w:r>
    </w:p>
    <w:p>
      <w:pPr>
        <w:spacing w:before="260" w:after="80"/>
      </w:pPr>
      <w:r>
        <w:rPr>
          <w:b/>
          <w:color w:val="111111"/>
          <w:sz w:val="28"/>
        </w:rPr>
        <w:t>1. Size is the story — and everything else is mostly size in disguise</w:t>
      </w:r>
    </w:p>
    <w:p>
      <w:r>
        <w:rPr>
          <w:i w:val="0"/>
          <w:sz w:val="21"/>
        </w:rPr>
        <w:t>Convention throughout this note: premium = A over H, so a positive number means the A-share is the more expensive line. Market backdrop first: across the 202-pair universe the median premium is 59%, the 10th–90th percentile range is 17% to 182%, and only 5 pairs trade with A below H. An A line cheaper than its H line is rare and elite.</w:t>
      </w:r>
    </w:p>
    <w:p>
      <w:pPr>
        <w:jc w:val="center"/>
      </w:pPr>
      <w:r>
        <w:drawing>
          <wp:inline xmlns:a="http://schemas.openxmlformats.org/drawingml/2006/main" xmlns:pic="http://schemas.openxmlformats.org/drawingml/2006/picture">
            <wp:extent cx="5943600" cy="2653769"/>
            <wp:docPr id="1" name="Picture 1"/>
            <wp:cNvGraphicFramePr>
              <a:graphicFrameLocks noChangeAspect="1"/>
            </wp:cNvGraphicFramePr>
            <a:graphic>
              <a:graphicData uri="http://schemas.openxmlformats.org/drawingml/2006/picture">
                <pic:pic>
                  <pic:nvPicPr>
                    <pic:cNvPr id="0" name="ah_1_size.png"/>
                    <pic:cNvPicPr/>
                  </pic:nvPicPr>
                  <pic:blipFill>
                    <a:blip r:embed="rId9"/>
                    <a:stretch>
                      <a:fillRect/>
                    </a:stretch>
                  </pic:blipFill>
                  <pic:spPr>
                    <a:xfrm>
                      <a:off x="0" y="0"/>
                      <a:ext cx="5943600" cy="2653769"/>
                    </a:xfrm>
                    <a:prstGeom prst="rect"/>
                  </pic:spPr>
                </pic:pic>
              </a:graphicData>
            </a:graphic>
          </wp:inline>
        </w:drawing>
      </w:r>
    </w:p>
    <w:p>
      <w:pPr>
        <w:jc w:val="center"/>
      </w:pPr>
      <w:r>
        <w:rPr>
          <w:i/>
          <w:color w:val="5B5B57"/>
          <w:sz w:val="17"/>
        </w:rPr>
        <w:t>Median A-over-H premium by market cap at IPO. Our 61 pairs, priced today.</w:t>
      </w:r>
    </w:p>
    <w:tbl>
      <w:tblPr>
        <w:tblStyle w:val="LightGrid-Accent1"/>
        <w:tblW w:type="auto" w:w="0"/>
        <w:jc w:val="center"/>
        <w:tblLook w:firstColumn="1" w:firstRow="1" w:lastColumn="0" w:lastRow="0" w:noHBand="0" w:noVBand="1" w:val="04A0"/>
      </w:tblPr>
      <w:tblGrid>
        <w:gridCol w:w="3264"/>
        <w:gridCol w:w="3264"/>
        <w:gridCol w:w="3264"/>
      </w:tblGrid>
      <w:tr>
        <w:tc>
          <w:tcPr>
            <w:tcW w:type="dxa" w:w="3744"/>
          </w:tcPr>
          <w:p>
            <w:r/>
            <w:r>
              <w:rPr>
                <w:b/>
                <w:sz w:val="18"/>
              </w:rPr>
              <w:t>Market-cap band</w:t>
            </w:r>
          </w:p>
        </w:tc>
        <w:tc>
          <w:tcPr>
            <w:tcW w:type="dxa" w:w="1296"/>
          </w:tcPr>
          <w:p>
            <w:pPr>
              <w:jc w:val="right"/>
            </w:pPr>
            <w:r/>
            <w:r>
              <w:rPr>
                <w:b/>
                <w:sz w:val="18"/>
              </w:rPr>
              <w:t>Pairs</w:t>
            </w:r>
          </w:p>
        </w:tc>
        <w:tc>
          <w:tcPr>
            <w:tcW w:type="dxa" w:w="2304"/>
          </w:tcPr>
          <w:p>
            <w:pPr>
              <w:jc w:val="right"/>
            </w:pPr>
            <w:r/>
            <w:r>
              <w:rPr>
                <w:b/>
                <w:sz w:val="18"/>
              </w:rPr>
              <w:t>Median premium</w:t>
            </w:r>
          </w:p>
        </w:tc>
      </w:tr>
      <w:tr>
        <w:tc>
          <w:tcPr>
            <w:tcW w:type="dxa" w:w="3744"/>
          </w:tcPr>
          <w:p>
            <w:r/>
            <w:r>
              <w:rPr>
                <w:sz w:val="18"/>
              </w:rPr>
              <w:t>Mega ≥ HK$100bn</w:t>
            </w:r>
          </w:p>
        </w:tc>
        <w:tc>
          <w:tcPr>
            <w:tcW w:type="dxa" w:w="1296"/>
          </w:tcPr>
          <w:p>
            <w:pPr>
              <w:jc w:val="right"/>
            </w:pPr>
            <w:r/>
            <w:r>
              <w:rPr>
                <w:sz w:val="18"/>
              </w:rPr>
              <w:t>21</w:t>
            </w:r>
          </w:p>
        </w:tc>
        <w:tc>
          <w:tcPr>
            <w:tcW w:type="dxa" w:w="2304"/>
          </w:tcPr>
          <w:p>
            <w:pPr>
              <w:jc w:val="right"/>
            </w:pPr>
            <w:r/>
            <w:r>
              <w:rPr>
                <w:sz w:val="18"/>
              </w:rPr>
              <w:t>+25%</w:t>
            </w:r>
          </w:p>
        </w:tc>
      </w:tr>
      <w:tr>
        <w:tc>
          <w:tcPr>
            <w:tcW w:type="dxa" w:w="3744"/>
          </w:tcPr>
          <w:p>
            <w:r/>
            <w:r>
              <w:rPr>
                <w:sz w:val="18"/>
              </w:rPr>
              <w:t>Large HK$20–100bn</w:t>
            </w:r>
          </w:p>
        </w:tc>
        <w:tc>
          <w:tcPr>
            <w:tcW w:type="dxa" w:w="1296"/>
          </w:tcPr>
          <w:p>
            <w:pPr>
              <w:jc w:val="right"/>
            </w:pPr>
            <w:r/>
            <w:r>
              <w:rPr>
                <w:sz w:val="18"/>
              </w:rPr>
              <w:t>18</w:t>
            </w:r>
          </w:p>
        </w:tc>
        <w:tc>
          <w:tcPr>
            <w:tcW w:type="dxa" w:w="2304"/>
          </w:tcPr>
          <w:p>
            <w:pPr>
              <w:jc w:val="right"/>
            </w:pPr>
            <w:r/>
            <w:r>
              <w:rPr>
                <w:sz w:val="18"/>
              </w:rPr>
              <w:t>+81%</w:t>
            </w:r>
          </w:p>
        </w:tc>
      </w:tr>
      <w:tr>
        <w:tc>
          <w:tcPr>
            <w:tcW w:type="dxa" w:w="3744"/>
          </w:tcPr>
          <w:p>
            <w:r/>
            <w:r>
              <w:rPr>
                <w:sz w:val="18"/>
              </w:rPr>
              <w:t>Mid HK$5–20bn</w:t>
            </w:r>
          </w:p>
        </w:tc>
        <w:tc>
          <w:tcPr>
            <w:tcW w:type="dxa" w:w="1296"/>
          </w:tcPr>
          <w:p>
            <w:pPr>
              <w:jc w:val="right"/>
            </w:pPr>
            <w:r/>
            <w:r>
              <w:rPr>
                <w:sz w:val="18"/>
              </w:rPr>
              <w:t>17</w:t>
            </w:r>
          </w:p>
        </w:tc>
        <w:tc>
          <w:tcPr>
            <w:tcW w:type="dxa" w:w="2304"/>
          </w:tcPr>
          <w:p>
            <w:pPr>
              <w:jc w:val="right"/>
            </w:pPr>
            <w:r/>
            <w:r>
              <w:rPr>
                <w:sz w:val="18"/>
              </w:rPr>
              <w:t>+109%</w:t>
            </w:r>
          </w:p>
        </w:tc>
      </w:tr>
      <w:tr>
        <w:tc>
          <w:tcPr>
            <w:tcW w:type="dxa" w:w="3744"/>
          </w:tcPr>
          <w:p>
            <w:r/>
            <w:r>
              <w:rPr>
                <w:sz w:val="18"/>
              </w:rPr>
              <w:t>Small &lt; HK$5bn</w:t>
            </w:r>
          </w:p>
        </w:tc>
        <w:tc>
          <w:tcPr>
            <w:tcW w:type="dxa" w:w="1296"/>
          </w:tcPr>
          <w:p>
            <w:pPr>
              <w:jc w:val="right"/>
            </w:pPr>
            <w:r/>
            <w:r>
              <w:rPr>
                <w:sz w:val="18"/>
              </w:rPr>
              <w:t>2</w:t>
            </w:r>
          </w:p>
        </w:tc>
        <w:tc>
          <w:tcPr>
            <w:tcW w:type="dxa" w:w="2304"/>
          </w:tcPr>
          <w:p>
            <w:pPr>
              <w:jc w:val="right"/>
            </w:pPr>
            <w:r/>
            <w:r>
              <w:rPr>
                <w:sz w:val="18"/>
              </w:rPr>
              <w:t>+105%</w:t>
            </w:r>
          </w:p>
        </w:tc>
      </w:tr>
    </w:tbl>
    <w:p>
      <w:pPr>
        <w:spacing w:after="40"/>
      </w:pPr>
    </w:p>
    <w:p>
      <w:r>
        <w:rPr>
          <w:i w:val="0"/>
          <w:sz w:val="21"/>
        </w:rPr>
        <w:t>The relationship is monotonic through the three bands that carry the sample (the sub-HK$5bn band holds only two pairs) and strong (correlation -0.71 against log market cap). Fitted, the premium falls roughly 45 percentage points for every tenfold increase in size.</w:t>
      </w:r>
    </w:p>
    <w:p>
      <w:pPr>
        <w:jc w:val="center"/>
      </w:pPr>
      <w:r>
        <w:drawing>
          <wp:inline xmlns:a="http://schemas.openxmlformats.org/drawingml/2006/main" xmlns:pic="http://schemas.openxmlformats.org/drawingml/2006/picture">
            <wp:extent cx="5943600" cy="3432152"/>
            <wp:docPr id="2" name="Picture 2"/>
            <wp:cNvGraphicFramePr>
              <a:graphicFrameLocks noChangeAspect="1"/>
            </wp:cNvGraphicFramePr>
            <a:graphic>
              <a:graphicData uri="http://schemas.openxmlformats.org/drawingml/2006/picture">
                <pic:pic>
                  <pic:nvPicPr>
                    <pic:cNvPr id="0" name="ah_2_scatter.png"/>
                    <pic:cNvPicPr/>
                  </pic:nvPicPr>
                  <pic:blipFill>
                    <a:blip r:embed="rId10"/>
                    <a:stretch>
                      <a:fillRect/>
                    </a:stretch>
                  </pic:blipFill>
                  <pic:spPr>
                    <a:xfrm>
                      <a:off x="0" y="0"/>
                      <a:ext cx="5943600" cy="3432152"/>
                    </a:xfrm>
                    <a:prstGeom prst="rect"/>
                  </pic:spPr>
                </pic:pic>
              </a:graphicData>
            </a:graphic>
          </wp:inline>
        </w:drawing>
      </w:r>
    </w:p>
    <w:p>
      <w:pPr>
        <w:jc w:val="center"/>
      </w:pPr>
      <w:r>
        <w:rPr>
          <w:i/>
          <w:color w:val="5B5B57"/>
          <w:sz w:val="17"/>
        </w:rPr>
        <w:t>Every pair as one dot. Blue = the A line trades below the H line.</w:t>
      </w:r>
    </w:p>
    <w:p>
      <w:r>
        <w:br w:type="page"/>
      </w:r>
    </w:p>
    <w:p>
      <w:pPr/>
      <w:r>
        <w:rPr>
          <w:sz w:val="21"/>
        </w:rPr>
        <w:t>What size actually measures is the identity of the marginal buyer on each line. Above the fork, the H line is bid by two deep pools at once: global institutions that have to own the secular franchises — AI capex, global machinery, scale consumer brands — and Southbound money once Connect opens, both anchored to international comparables. Below it, neither pool arrives: the small H float trades thin and professional, while the A line is priced by mainland retail — the most theme-driven, least valuation-anchored buyer in the pair. The premium is the distance between those two buyers; size is simply the variable that gates which buyer each line gets. That is why size “explains” the premium while P/E does not — size is ownership in disguise.</w:t>
      </w:r>
    </w:p>
    <w:p>
      <w:pPr>
        <w:spacing w:before="260" w:after="80"/>
      </w:pPr>
      <w:r>
        <w:rPr>
          <w:b/>
          <w:color w:val="111111"/>
          <w:sz w:val="28"/>
        </w:rPr>
        <w:t>2. The board effect (STAR vs ChiNext vs Main) is size in disguise</w:t>
      </w:r>
    </w:p>
    <w:p>
      <w:r>
        <w:rPr>
          <w:i w:val="0"/>
          <w:sz w:val="21"/>
        </w:rPr>
        <w:t>Raw venue medians suggest a STAR/ChiNext story. They do not survive a size control: inside the mega band every venue sits in a narrow 19–38% range, and inside the mid band every venue sits at 84–141%. STAR and ChiNext read high because the companies listed there are smaller and more thematic — not because of the board itself.</w:t>
      </w:r>
    </w:p>
    <w:p>
      <w:pPr>
        <w:jc w:val="center"/>
      </w:pPr>
      <w:r>
        <w:drawing>
          <wp:inline xmlns:a="http://schemas.openxmlformats.org/drawingml/2006/main" xmlns:pic="http://schemas.openxmlformats.org/drawingml/2006/picture">
            <wp:extent cx="5943600" cy="2538326"/>
            <wp:docPr id="3" name="Picture 3"/>
            <wp:cNvGraphicFramePr>
              <a:graphicFrameLocks noChangeAspect="1"/>
            </wp:cNvGraphicFramePr>
            <a:graphic>
              <a:graphicData uri="http://schemas.openxmlformats.org/drawingml/2006/picture">
                <pic:pic>
                  <pic:nvPicPr>
                    <pic:cNvPr id="0" name="ah_3_venue.png"/>
                    <pic:cNvPicPr/>
                  </pic:nvPicPr>
                  <pic:blipFill>
                    <a:blip r:embed="rId11"/>
                    <a:stretch>
                      <a:fillRect/>
                    </a:stretch>
                  </pic:blipFill>
                  <pic:spPr>
                    <a:xfrm>
                      <a:off x="0" y="0"/>
                      <a:ext cx="5943600" cy="2538326"/>
                    </a:xfrm>
                    <a:prstGeom prst="rect"/>
                  </pic:spPr>
                </pic:pic>
              </a:graphicData>
            </a:graphic>
          </wp:inline>
        </w:drawing>
      </w:r>
    </w:p>
    <w:p>
      <w:pPr>
        <w:jc w:val="center"/>
      </w:pPr>
      <w:r>
        <w:rPr>
          <w:i/>
          <w:color w:val="5B5B57"/>
          <w:sz w:val="17"/>
        </w:rPr>
        <w:t>Grey = all sizes (the naive read). Blue/orange = the same venues within one size band.</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2160"/>
          </w:tcPr>
          <w:p>
            <w:r/>
            <w:r>
              <w:rPr>
                <w:b/>
                <w:sz w:val="18"/>
              </w:rPr>
              <w:t>A-share venue</w:t>
            </w:r>
          </w:p>
        </w:tc>
        <w:tc>
          <w:tcPr>
            <w:tcW w:type="dxa" w:w="1152"/>
          </w:tcPr>
          <w:p>
            <w:pPr>
              <w:jc w:val="right"/>
            </w:pPr>
            <w:r/>
            <w:r>
              <w:rPr>
                <w:b/>
                <w:sz w:val="18"/>
              </w:rPr>
              <w:t>Pairs</w:t>
            </w:r>
          </w:p>
        </w:tc>
        <w:tc>
          <w:tcPr>
            <w:tcW w:type="dxa" w:w="2160"/>
          </w:tcPr>
          <w:p>
            <w:pPr>
              <w:jc w:val="right"/>
            </w:pPr>
            <w:r/>
            <w:r>
              <w:rPr>
                <w:b/>
                <w:sz w:val="18"/>
              </w:rPr>
              <w:t>Median, all sizes</w:t>
            </w:r>
          </w:p>
        </w:tc>
        <w:tc>
          <w:tcPr>
            <w:tcW w:type="dxa" w:w="2016"/>
          </w:tcPr>
          <w:p>
            <w:pPr>
              <w:jc w:val="right"/>
            </w:pPr>
            <w:r/>
            <w:r>
              <w:rPr>
                <w:b/>
                <w:sz w:val="18"/>
              </w:rPr>
              <w:t>Mega only</w:t>
            </w:r>
          </w:p>
        </w:tc>
        <w:tc>
          <w:tcPr>
            <w:tcW w:type="dxa" w:w="2016"/>
          </w:tcPr>
          <w:p>
            <w:pPr>
              <w:jc w:val="right"/>
            </w:pPr>
            <w:r/>
            <w:r>
              <w:rPr>
                <w:b/>
                <w:sz w:val="18"/>
              </w:rPr>
              <w:t>Mid only</w:t>
            </w:r>
          </w:p>
        </w:tc>
      </w:tr>
      <w:tr>
        <w:tc>
          <w:tcPr>
            <w:tcW w:type="dxa" w:w="2160"/>
          </w:tcPr>
          <w:p>
            <w:r/>
            <w:r>
              <w:rPr>
                <w:sz w:val="18"/>
              </w:rPr>
              <w:t>STAR</w:t>
            </w:r>
          </w:p>
        </w:tc>
        <w:tc>
          <w:tcPr>
            <w:tcW w:type="dxa" w:w="1152"/>
          </w:tcPr>
          <w:p>
            <w:pPr>
              <w:jc w:val="right"/>
            </w:pPr>
            <w:r/>
            <w:r>
              <w:rPr>
                <w:sz w:val="18"/>
              </w:rPr>
              <w:t>10</w:t>
            </w:r>
          </w:p>
        </w:tc>
        <w:tc>
          <w:tcPr>
            <w:tcW w:type="dxa" w:w="2160"/>
          </w:tcPr>
          <w:p>
            <w:pPr>
              <w:jc w:val="right"/>
            </w:pPr>
            <w:r/>
            <w:r>
              <w:rPr>
                <w:sz w:val="18"/>
              </w:rPr>
              <w:t>+67%</w:t>
            </w:r>
          </w:p>
        </w:tc>
        <w:tc>
          <w:tcPr>
            <w:tcW w:type="dxa" w:w="2016"/>
          </w:tcPr>
          <w:p>
            <w:pPr>
              <w:jc w:val="right"/>
            </w:pPr>
            <w:r/>
            <w:r>
              <w:rPr>
                <w:sz w:val="18"/>
              </w:rPr>
              <w:t>+30% (n=2)</w:t>
            </w:r>
          </w:p>
        </w:tc>
        <w:tc>
          <w:tcPr>
            <w:tcW w:type="dxa" w:w="2016"/>
          </w:tcPr>
          <w:p>
            <w:pPr>
              <w:jc w:val="right"/>
            </w:pPr>
            <w:r/>
            <w:r>
              <w:rPr>
                <w:sz w:val="18"/>
              </w:rPr>
              <w:t>+84% (n=6)</w:t>
            </w:r>
          </w:p>
        </w:tc>
      </w:tr>
      <w:tr>
        <w:tc>
          <w:tcPr>
            <w:tcW w:type="dxa" w:w="2160"/>
          </w:tcPr>
          <w:p>
            <w:r/>
            <w:r>
              <w:rPr>
                <w:sz w:val="18"/>
              </w:rPr>
              <w:t>ChiNext</w:t>
            </w:r>
          </w:p>
        </w:tc>
        <w:tc>
          <w:tcPr>
            <w:tcW w:type="dxa" w:w="1152"/>
          </w:tcPr>
          <w:p>
            <w:pPr>
              <w:jc w:val="right"/>
            </w:pPr>
            <w:r/>
            <w:r>
              <w:rPr>
                <w:sz w:val="18"/>
              </w:rPr>
              <w:t>16</w:t>
            </w:r>
          </w:p>
        </w:tc>
        <w:tc>
          <w:tcPr>
            <w:tcW w:type="dxa" w:w="2160"/>
          </w:tcPr>
          <w:p>
            <w:pPr>
              <w:jc w:val="right"/>
            </w:pPr>
            <w:r/>
            <w:r>
              <w:rPr>
                <w:sz w:val="18"/>
              </w:rPr>
              <w:t>+57%</w:t>
            </w:r>
          </w:p>
        </w:tc>
        <w:tc>
          <w:tcPr>
            <w:tcW w:type="dxa" w:w="2016"/>
          </w:tcPr>
          <w:p>
            <w:pPr>
              <w:jc w:val="right"/>
            </w:pPr>
            <w:r/>
            <w:r>
              <w:rPr>
                <w:sz w:val="18"/>
              </w:rPr>
              <w:t>+19% (n=6)</w:t>
            </w:r>
          </w:p>
        </w:tc>
        <w:tc>
          <w:tcPr>
            <w:tcW w:type="dxa" w:w="2016"/>
          </w:tcPr>
          <w:p>
            <w:pPr>
              <w:jc w:val="right"/>
            </w:pPr>
            <w:r/>
            <w:r>
              <w:rPr>
                <w:sz w:val="18"/>
              </w:rPr>
              <w:t>+141% (n=4)</w:t>
            </w:r>
          </w:p>
        </w:tc>
      </w:tr>
      <w:tr>
        <w:tc>
          <w:tcPr>
            <w:tcW w:type="dxa" w:w="2160"/>
          </w:tcPr>
          <w:p>
            <w:r/>
            <w:r>
              <w:rPr>
                <w:sz w:val="18"/>
              </w:rPr>
              <w:t>SSE main</w:t>
            </w:r>
          </w:p>
        </w:tc>
        <w:tc>
          <w:tcPr>
            <w:tcW w:type="dxa" w:w="1152"/>
          </w:tcPr>
          <w:p>
            <w:pPr>
              <w:jc w:val="right"/>
            </w:pPr>
            <w:r/>
            <w:r>
              <w:rPr>
                <w:sz w:val="18"/>
              </w:rPr>
              <w:t>18</w:t>
            </w:r>
          </w:p>
        </w:tc>
        <w:tc>
          <w:tcPr>
            <w:tcW w:type="dxa" w:w="2160"/>
          </w:tcPr>
          <w:p>
            <w:pPr>
              <w:jc w:val="right"/>
            </w:pPr>
            <w:r/>
            <w:r>
              <w:rPr>
                <w:sz w:val="18"/>
              </w:rPr>
              <w:t>+37%</w:t>
            </w:r>
          </w:p>
        </w:tc>
        <w:tc>
          <w:tcPr>
            <w:tcW w:type="dxa" w:w="2016"/>
          </w:tcPr>
          <w:p>
            <w:pPr>
              <w:jc w:val="right"/>
            </w:pPr>
            <w:r/>
            <w:r>
              <w:rPr>
                <w:sz w:val="18"/>
              </w:rPr>
              <w:t>+22% (n=8)</w:t>
            </w:r>
          </w:p>
        </w:tc>
        <w:tc>
          <w:tcPr>
            <w:tcW w:type="dxa" w:w="2016"/>
          </w:tcPr>
          <w:p>
            <w:pPr>
              <w:jc w:val="right"/>
            </w:pPr>
            <w:r/>
            <w:r>
              <w:rPr>
                <w:sz w:val="18"/>
              </w:rPr>
              <w:t>+122% (n=2)</w:t>
            </w:r>
          </w:p>
        </w:tc>
      </w:tr>
      <w:tr>
        <w:tc>
          <w:tcPr>
            <w:tcW w:type="dxa" w:w="2160"/>
          </w:tcPr>
          <w:p>
            <w:r/>
            <w:r>
              <w:rPr>
                <w:sz w:val="18"/>
              </w:rPr>
              <w:t>SZSE main</w:t>
            </w:r>
          </w:p>
        </w:tc>
        <w:tc>
          <w:tcPr>
            <w:tcW w:type="dxa" w:w="1152"/>
          </w:tcPr>
          <w:p>
            <w:pPr>
              <w:jc w:val="right"/>
            </w:pPr>
            <w:r/>
            <w:r>
              <w:rPr>
                <w:sz w:val="18"/>
              </w:rPr>
              <w:t>17</w:t>
            </w:r>
          </w:p>
        </w:tc>
        <w:tc>
          <w:tcPr>
            <w:tcW w:type="dxa" w:w="2160"/>
          </w:tcPr>
          <w:p>
            <w:pPr>
              <w:jc w:val="right"/>
            </w:pPr>
            <w:r/>
            <w:r>
              <w:rPr>
                <w:sz w:val="18"/>
              </w:rPr>
              <w:t>+64%</w:t>
            </w:r>
          </w:p>
        </w:tc>
        <w:tc>
          <w:tcPr>
            <w:tcW w:type="dxa" w:w="2016"/>
          </w:tcPr>
          <w:p>
            <w:pPr>
              <w:jc w:val="right"/>
            </w:pPr>
            <w:r/>
            <w:r>
              <w:rPr>
                <w:sz w:val="18"/>
              </w:rPr>
              <w:t>+38% (n=5)</w:t>
            </w:r>
          </w:p>
        </w:tc>
        <w:tc>
          <w:tcPr>
            <w:tcW w:type="dxa" w:w="2016"/>
          </w:tcPr>
          <w:p>
            <w:pPr>
              <w:jc w:val="right"/>
            </w:pPr>
            <w:r/>
            <w:r>
              <w:rPr>
                <w:sz w:val="18"/>
              </w:rPr>
              <w:t>+114% (n=5)</w:t>
            </w:r>
          </w:p>
        </w:tc>
      </w:tr>
    </w:tbl>
    <w:p>
      <w:pPr>
        <w:spacing w:after="40"/>
      </w:pPr>
    </w:p>
    <w:p>
      <w:pPr>
        <w:spacing w:before="260" w:after="80"/>
      </w:pPr>
      <w:r>
        <w:rPr>
          <w:b/>
          <w:color w:val="111111"/>
          <w:sz w:val="28"/>
        </w:rPr>
        <w:t>3. Valuation does not explain the premium</w:t>
      </w:r>
    </w:p>
    <w:p>
      <w:r>
        <w:rPr>
          <w:i w:val="0"/>
          <w:sz w:val="21"/>
        </w:rPr>
        <w:t>Correlation between the premium and P/E at IPO is +0.08 on 48 pairs — effectively nothing. The intuitive story (a more defensible multiple attracts international investors, which lifts the H and closes the gap) does not hold in-sample: CATL priced around 20x and trades with A below H, while single-digit P/E banks in the wider universe still carry chunky premiums. What decides the gap is who is allowed to buy the H line and in what size — ownership and flow, not the multiple.</w:t>
      </w:r>
    </w:p>
    <w:p>
      <w:r>
        <w:br w:type="page"/>
      </w:r>
    </w:p>
    <w:p>
      <w:pPr/>
      <w:r>
        <w:rPr>
          <w:sz w:val="21"/>
        </w:rPr>
        <w:t>This is a narrow test — one multiple, measured once at pricing, on the 48 pairs with a meaningful P/E — so the right conclusion is not that fundamentals are irrelevant; it is that fundamentals cannot price the gap, because both lines carry the same earnings and quality largely cancels in the ratio. Fundamentals re-enter through a side door: they decide who owns the H line. The traits that sit with tight premiums are exactly the ones that make a name underwritable by global money running secular themes — genuine global revenue (SANY at +17% against a +85% machinery median), a globally-quoted commodity under the assets (miners at +40% against chemicals at +116%), a brand with offshore reference prices (Consumer at +40%, the tightest sector). Mainland retail pays up for policy themes and scarcity; foreign institutions pay for cash flows they can benchmark against comparables they already own. A fundamental moves the premium only insofar as it sorts the name into one ownership base or the other — which is why the effect is visible in the subsector table below but invisible in a P/E scatter.</w:t>
      </w:r>
    </w:p>
    <w:p>
      <w:pPr/>
      <w:r>
        <w:rPr>
          <w:b/>
          <w:color w:val="111111"/>
          <w:sz w:val="28"/>
        </w:rPr>
        <w:t>3b. Mainland vs overseas revenue: the mix matters inside a lane, not across the book</w:t>
      </w:r>
    </w:p>
    <w:p>
      <w:pPr/>
      <w:r>
        <w:rPr>
          <w:sz w:val="21"/>
        </w:rPr>
        <w:t>We pulled the FY2024/25 geographic revenue split for 59 of the 61 pairs from annual reports and filings. Across the whole book the answer is the same as for P/E: overseas share does not price the premium on its own. The raw correlation is −0.20, and once size is controlled it vanishes entirely (partial correlation ≈ 0.0); the terciles are not even monotonic (low-overseas median +61%, middle +84%, high +39%). Two things muddy the cross-section: larger companies are somewhat more global to begin with (correlation +0.23 with log size), and the disclosure basis is inconsistent — several hardware and semis names book “overseas” revenue at a Hong Kong distributor or bonded warehouse while the end demand is mainland (Will Semi, GigaDevice, SG Micro, Luxshare), which inflates their apparent overseas share.</w:t>
      </w:r>
    </w:p>
    <w:p>
      <w:pPr/>
      <w:r>
        <w:rPr>
          <w:sz w:val="21"/>
        </w:rPr>
        <w:t>Inside a single lane, though, the mix is powerful. Within the ten chip pairs the correlation between overseas share and the premium is −0.76 (rank −0.83): NSing at 2% overseas trades +164%, while Montage and GigaDevice at ~70% overseas trade at or below parity. Within the mega band it is −0.31. And the exceptions are exactly the ones that reveal the true driver: CIG books 92.5% of revenue overseas yet trades +127% — a mid-cap with a thin H line and no global sponsorship — while Hengrui books 97% of revenue in mainland China yet trades +17%, because global funds own the national pharma champion regardless of where its revenue sits. Overseas revenue is one route to global ownership of the H line; it is the ownership, not the geography, that prices the gap.</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9"/>
              </w:rPr>
              <w:t>Chip pair</w:t>
            </w:r>
          </w:p>
        </w:tc>
        <w:tc>
          <w:tcPr>
            <w:tcW w:type="dxa" w:w="3264"/>
          </w:tcPr>
          <w:p>
            <w:r/>
            <w:r>
              <w:rPr>
                <w:b/>
                <w:sz w:val="19"/>
              </w:rPr>
              <w:t>Overseas rev %</w:t>
            </w:r>
          </w:p>
        </w:tc>
        <w:tc>
          <w:tcPr>
            <w:tcW w:type="dxa" w:w="3264"/>
          </w:tcPr>
          <w:p>
            <w:r/>
            <w:r>
              <w:rPr>
                <w:b/>
                <w:sz w:val="19"/>
              </w:rPr>
              <w:t>Premium</w:t>
            </w:r>
          </w:p>
        </w:tc>
      </w:tr>
      <w:tr>
        <w:tc>
          <w:tcPr>
            <w:tcW w:type="dxa" w:w="3264"/>
          </w:tcPr>
          <w:p>
            <w:r/>
            <w:r>
              <w:rPr>
                <w:b w:val="0"/>
                <w:sz w:val="19"/>
              </w:rPr>
              <w:t>NSING TECH</w:t>
            </w:r>
          </w:p>
        </w:tc>
        <w:tc>
          <w:tcPr>
            <w:tcW w:type="dxa" w:w="3264"/>
          </w:tcPr>
          <w:p>
            <w:r/>
            <w:r>
              <w:rPr>
                <w:b w:val="0"/>
                <w:sz w:val="19"/>
              </w:rPr>
              <w:t>2%</w:t>
            </w:r>
          </w:p>
        </w:tc>
        <w:tc>
          <w:tcPr>
            <w:tcW w:type="dxa" w:w="3264"/>
          </w:tcPr>
          <w:p>
            <w:r/>
            <w:r>
              <w:rPr>
                <w:b w:val="0"/>
                <w:sz w:val="19"/>
              </w:rPr>
              <w:t>+164%</w:t>
            </w:r>
          </w:p>
        </w:tc>
      </w:tr>
      <w:tr>
        <w:tc>
          <w:tcPr>
            <w:tcW w:type="dxa" w:w="3264"/>
          </w:tcPr>
          <w:p>
            <w:r/>
            <w:r>
              <w:rPr>
                <w:b w:val="0"/>
                <w:sz w:val="19"/>
              </w:rPr>
              <w:t>FORTIOR</w:t>
            </w:r>
          </w:p>
        </w:tc>
        <w:tc>
          <w:tcPr>
            <w:tcW w:type="dxa" w:w="3264"/>
          </w:tcPr>
          <w:p>
            <w:r/>
            <w:r>
              <w:rPr>
                <w:b w:val="0"/>
                <w:sz w:val="19"/>
              </w:rPr>
              <w:t>6%</w:t>
            </w:r>
          </w:p>
        </w:tc>
        <w:tc>
          <w:tcPr>
            <w:tcW w:type="dxa" w:w="3264"/>
          </w:tcPr>
          <w:p>
            <w:r/>
            <w:r>
              <w:rPr>
                <w:b w:val="0"/>
                <w:sz w:val="19"/>
              </w:rPr>
              <w:t>+77%</w:t>
            </w:r>
          </w:p>
        </w:tc>
      </w:tr>
      <w:tr>
        <w:tc>
          <w:tcPr>
            <w:tcW w:type="dxa" w:w="3264"/>
          </w:tcPr>
          <w:p>
            <w:r/>
            <w:r>
              <w:rPr>
                <w:b w:val="0"/>
                <w:sz w:val="19"/>
              </w:rPr>
              <w:t>NOVOSENSE</w:t>
            </w:r>
          </w:p>
        </w:tc>
        <w:tc>
          <w:tcPr>
            <w:tcW w:type="dxa" w:w="3264"/>
          </w:tcPr>
          <w:p>
            <w:r/>
            <w:r>
              <w:rPr>
                <w:b w:val="0"/>
                <w:sz w:val="19"/>
              </w:rPr>
              <w:t>12%</w:t>
            </w:r>
          </w:p>
        </w:tc>
        <w:tc>
          <w:tcPr>
            <w:tcW w:type="dxa" w:w="3264"/>
          </w:tcPr>
          <w:p>
            <w:r/>
            <w:r>
              <w:rPr>
                <w:b w:val="0"/>
                <w:sz w:val="19"/>
              </w:rPr>
              <w:t>+70%</w:t>
            </w:r>
          </w:p>
        </w:tc>
      </w:tr>
      <w:tr>
        <w:tc>
          <w:tcPr>
            <w:tcW w:type="dxa" w:w="3264"/>
          </w:tcPr>
          <w:p>
            <w:r/>
            <w:r>
              <w:rPr>
                <w:b w:val="0"/>
                <w:sz w:val="19"/>
              </w:rPr>
              <w:t>CFMEE</w:t>
            </w:r>
          </w:p>
        </w:tc>
        <w:tc>
          <w:tcPr>
            <w:tcW w:type="dxa" w:w="3264"/>
          </w:tcPr>
          <w:p>
            <w:r/>
            <w:r>
              <w:rPr>
                <w:b w:val="0"/>
                <w:sz w:val="19"/>
              </w:rPr>
              <w:t>20%</w:t>
            </w:r>
          </w:p>
        </w:tc>
        <w:tc>
          <w:tcPr>
            <w:tcW w:type="dxa" w:w="3264"/>
          </w:tcPr>
          <w:p>
            <w:r/>
            <w:r>
              <w:rPr>
                <w:b w:val="0"/>
                <w:sz w:val="19"/>
              </w:rPr>
              <w:t>+50%</w:t>
            </w:r>
          </w:p>
        </w:tc>
      </w:tr>
      <w:tr>
        <w:tc>
          <w:tcPr>
            <w:tcW w:type="dxa" w:w="3264"/>
          </w:tcPr>
          <w:p>
            <w:r/>
            <w:r>
              <w:rPr>
                <w:b w:val="0"/>
                <w:sz w:val="19"/>
              </w:rPr>
              <w:t>NEXCHIP</w:t>
            </w:r>
          </w:p>
        </w:tc>
        <w:tc>
          <w:tcPr>
            <w:tcW w:type="dxa" w:w="3264"/>
          </w:tcPr>
          <w:p>
            <w:r/>
            <w:r>
              <w:rPr>
                <w:b w:val="0"/>
                <w:sz w:val="19"/>
              </w:rPr>
              <w:t>37%</w:t>
            </w:r>
          </w:p>
        </w:tc>
        <w:tc>
          <w:tcPr>
            <w:tcW w:type="dxa" w:w="3264"/>
          </w:tcPr>
          <w:p>
            <w:r/>
            <w:r>
              <w:rPr>
                <w:b w:val="0"/>
                <w:sz w:val="19"/>
              </w:rPr>
              <w:t>+55%</w:t>
            </w:r>
          </w:p>
        </w:tc>
      </w:tr>
      <w:tr>
        <w:tc>
          <w:tcPr>
            <w:tcW w:type="dxa" w:w="3264"/>
          </w:tcPr>
          <w:p>
            <w:r/>
            <w:r>
              <w:rPr>
                <w:b w:val="0"/>
                <w:sz w:val="19"/>
              </w:rPr>
              <w:t>SICC</w:t>
            </w:r>
          </w:p>
        </w:tc>
        <w:tc>
          <w:tcPr>
            <w:tcW w:type="dxa" w:w="3264"/>
          </w:tcPr>
          <w:p>
            <w:r/>
            <w:r>
              <w:rPr>
                <w:b w:val="0"/>
                <w:sz w:val="19"/>
              </w:rPr>
              <w:t>48%</w:t>
            </w:r>
          </w:p>
        </w:tc>
        <w:tc>
          <w:tcPr>
            <w:tcW w:type="dxa" w:w="3264"/>
          </w:tcPr>
          <w:p>
            <w:r/>
            <w:r>
              <w:rPr>
                <w:b w:val="0"/>
                <w:sz w:val="19"/>
              </w:rPr>
              <w:t>+92%</w:t>
            </w:r>
          </w:p>
        </w:tc>
      </w:tr>
      <w:tr>
        <w:tc>
          <w:tcPr>
            <w:tcW w:type="dxa" w:w="3264"/>
          </w:tcPr>
          <w:p>
            <w:r/>
            <w:r>
              <w:rPr>
                <w:b w:val="0"/>
                <w:sz w:val="19"/>
              </w:rPr>
              <w:t>SG MICRO</w:t>
            </w:r>
          </w:p>
        </w:tc>
        <w:tc>
          <w:tcPr>
            <w:tcW w:type="dxa" w:w="3264"/>
          </w:tcPr>
          <w:p>
            <w:r/>
            <w:r>
              <w:rPr>
                <w:b w:val="0"/>
                <w:sz w:val="19"/>
              </w:rPr>
              <w:t>58%</w:t>
            </w:r>
          </w:p>
        </w:tc>
        <w:tc>
          <w:tcPr>
            <w:tcW w:type="dxa" w:w="3264"/>
          </w:tcPr>
          <w:p>
            <w:r/>
            <w:r>
              <w:rPr>
                <w:b w:val="0"/>
                <w:sz w:val="19"/>
              </w:rPr>
              <w:t>+40%</w:t>
            </w:r>
          </w:p>
        </w:tc>
      </w:tr>
      <w:tr>
        <w:tc>
          <w:tcPr>
            <w:tcW w:type="dxa" w:w="3264"/>
          </w:tcPr>
          <w:p>
            <w:r/>
            <w:r>
              <w:rPr>
                <w:b w:val="0"/>
                <w:sz w:val="19"/>
              </w:rPr>
              <w:t>GIGADEVICE</w:t>
            </w:r>
          </w:p>
        </w:tc>
        <w:tc>
          <w:tcPr>
            <w:tcW w:type="dxa" w:w="3264"/>
          </w:tcPr>
          <w:p>
            <w:r/>
            <w:r>
              <w:rPr>
                <w:b w:val="0"/>
                <w:sz w:val="19"/>
              </w:rPr>
              <w:t>70%</w:t>
            </w:r>
          </w:p>
        </w:tc>
        <w:tc>
          <w:tcPr>
            <w:tcW w:type="dxa" w:w="3264"/>
          </w:tcPr>
          <w:p>
            <w:r/>
            <w:r>
              <w:rPr>
                <w:b w:val="0"/>
                <w:sz w:val="19"/>
              </w:rPr>
              <w:t>−5%</w:t>
            </w:r>
          </w:p>
        </w:tc>
      </w:tr>
      <w:tr>
        <w:tc>
          <w:tcPr>
            <w:tcW w:type="dxa" w:w="3264"/>
          </w:tcPr>
          <w:p>
            <w:r/>
            <w:r>
              <w:rPr>
                <w:b w:val="0"/>
                <w:sz w:val="19"/>
              </w:rPr>
              <w:t>MONTAGE TECH</w:t>
            </w:r>
          </w:p>
        </w:tc>
        <w:tc>
          <w:tcPr>
            <w:tcW w:type="dxa" w:w="3264"/>
          </w:tcPr>
          <w:p>
            <w:r/>
            <w:r>
              <w:rPr>
                <w:b w:val="0"/>
                <w:sz w:val="19"/>
              </w:rPr>
              <w:t>71%</w:t>
            </w:r>
          </w:p>
        </w:tc>
        <w:tc>
          <w:tcPr>
            <w:tcW w:type="dxa" w:w="3264"/>
          </w:tcPr>
          <w:p>
            <w:r/>
            <w:r>
              <w:rPr>
                <w:b w:val="0"/>
                <w:sz w:val="19"/>
              </w:rPr>
              <w:t>−10%</w:t>
            </w:r>
          </w:p>
        </w:tc>
      </w:tr>
      <w:tr>
        <w:tc>
          <w:tcPr>
            <w:tcW w:type="dxa" w:w="3264"/>
          </w:tcPr>
          <w:p>
            <w:r/>
            <w:r>
              <w:rPr>
                <w:b w:val="0"/>
                <w:sz w:val="19"/>
              </w:rPr>
              <w:t>OMNIVISION</w:t>
            </w:r>
          </w:p>
        </w:tc>
        <w:tc>
          <w:tcPr>
            <w:tcW w:type="dxa" w:w="3264"/>
          </w:tcPr>
          <w:p>
            <w:r/>
            <w:r>
              <w:rPr>
                <w:b w:val="0"/>
                <w:sz w:val="19"/>
              </w:rPr>
              <w:t>80%</w:t>
            </w:r>
          </w:p>
        </w:tc>
        <w:tc>
          <w:tcPr>
            <w:tcW w:type="dxa" w:w="3264"/>
          </w:tcPr>
          <w:p>
            <w:r/>
            <w:r>
              <w:rPr>
                <w:b w:val="0"/>
                <w:sz w:val="19"/>
              </w:rPr>
              <w:t>+32%</w:t>
            </w:r>
          </w:p>
        </w:tc>
      </w:tr>
    </w:tbl>
    <w:p>
      <w:pPr/>
      <w:r>
        <w:rPr>
          <w:i/>
          <w:color w:val="5B5B57"/>
          <w:sz w:val="18"/>
        </w:rPr>
        <w:t>The chips lane, sorted by overseas revenue share. Correlation −0.76. FY2024/25 disclosures; billing-basis caveats apply to SG Micro and GigaDevice.</w:t>
      </w:r>
    </w:p>
    <w:p>
      <w:pPr>
        <w:spacing w:before="260" w:after="80"/>
      </w:pPr>
      <w:r>
        <w:rPr>
          <w:b/>
          <w:color w:val="111111"/>
          <w:sz w:val="28"/>
        </w:rPr>
        <w:t>4. Thematics are real, and they show up by subsector</w:t>
      </w:r>
    </w:p>
    <w:p>
      <w:r>
        <w:rPr>
          <w:i w:val="0"/>
          <w:sz w:val="21"/>
        </w:rPr>
        <w:t>Within the same sector, the premium separates by business type. Domestic-policy and theme subsectors — the ones mainland retail rewards — sit at the top; globally-priced franchises sit at the bottom.</w:t>
      </w:r>
    </w:p>
    <w:p>
      <w:pPr>
        <w:jc w:val="center"/>
      </w:pPr>
      <w:r>
        <w:drawing>
          <wp:inline xmlns:a="http://schemas.openxmlformats.org/drawingml/2006/main" xmlns:pic="http://schemas.openxmlformats.org/drawingml/2006/picture">
            <wp:extent cx="5943600" cy="2871183"/>
            <wp:docPr id="4" name="Picture 4"/>
            <wp:cNvGraphicFramePr>
              <a:graphicFrameLocks noChangeAspect="1"/>
            </wp:cNvGraphicFramePr>
            <a:graphic>
              <a:graphicData uri="http://schemas.openxmlformats.org/drawingml/2006/picture">
                <pic:pic>
                  <pic:nvPicPr>
                    <pic:cNvPr id="0" name="ah_4_subsector.png"/>
                    <pic:cNvPicPr/>
                  </pic:nvPicPr>
                  <pic:blipFill>
                    <a:blip r:embed="rId12"/>
                    <a:stretch>
                      <a:fillRect/>
                    </a:stretch>
                  </pic:blipFill>
                  <pic:spPr>
                    <a:xfrm>
                      <a:off x="0" y="0"/>
                      <a:ext cx="5943600" cy="2871183"/>
                    </a:xfrm>
                    <a:prstGeom prst="rect"/>
                  </pic:spPr>
                </pic:pic>
              </a:graphicData>
            </a:graphic>
          </wp:inline>
        </w:drawing>
      </w:r>
    </w:p>
    <w:p>
      <w:pPr>
        <w:jc w:val="center"/>
      </w:pPr>
      <w:r>
        <w:rPr>
          <w:i/>
          <w:color w:val="5B5B57"/>
          <w:sz w:val="17"/>
        </w:rPr>
        <w:t>Subsectors with at least two A+H pairs in the book.</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1872"/>
          </w:tcPr>
          <w:p>
            <w:r/>
            <w:r>
              <w:rPr>
                <w:b/>
                <w:sz w:val="18"/>
              </w:rPr>
              <w:t>Sector</w:t>
            </w:r>
          </w:p>
        </w:tc>
        <w:tc>
          <w:tcPr>
            <w:tcW w:type="dxa" w:w="3888"/>
          </w:tcPr>
          <w:p>
            <w:r/>
            <w:r>
              <w:rPr>
                <w:b/>
                <w:sz w:val="18"/>
              </w:rPr>
              <w:t>Subsector</w:t>
            </w:r>
          </w:p>
        </w:tc>
        <w:tc>
          <w:tcPr>
            <w:tcW w:type="dxa" w:w="1152"/>
          </w:tcPr>
          <w:p>
            <w:pPr>
              <w:jc w:val="right"/>
            </w:pPr>
            <w:r/>
            <w:r>
              <w:rPr>
                <w:b/>
                <w:sz w:val="18"/>
              </w:rPr>
              <w:t>Pairs</w:t>
            </w:r>
          </w:p>
        </w:tc>
        <w:tc>
          <w:tcPr>
            <w:tcW w:type="dxa" w:w="2016"/>
          </w:tcPr>
          <w:p>
            <w:pPr>
              <w:jc w:val="right"/>
            </w:pPr>
            <w:r/>
            <w:r>
              <w:rPr>
                <w:b/>
                <w:sz w:val="18"/>
              </w:rPr>
              <w:t>Median premium</w:t>
            </w:r>
          </w:p>
        </w:tc>
      </w:tr>
      <w:tr>
        <w:tc>
          <w:tcPr>
            <w:tcW w:type="dxa" w:w="1872"/>
          </w:tcPr>
          <w:p>
            <w:r/>
            <w:r>
              <w:rPr>
                <w:sz w:val="18"/>
              </w:rPr>
              <w:t>Industrials</w:t>
            </w:r>
          </w:p>
        </w:tc>
        <w:tc>
          <w:tcPr>
            <w:tcW w:type="dxa" w:w="3888"/>
          </w:tcPr>
          <w:p>
            <w:r/>
            <w:r>
              <w:rPr>
                <w:sz w:val="18"/>
              </w:rPr>
              <w:t>Solar / wind supply chain</w:t>
            </w:r>
          </w:p>
        </w:tc>
        <w:tc>
          <w:tcPr>
            <w:tcW w:type="dxa" w:w="1152"/>
          </w:tcPr>
          <w:p>
            <w:pPr>
              <w:jc w:val="right"/>
            </w:pPr>
            <w:r/>
            <w:r>
              <w:rPr>
                <w:sz w:val="18"/>
              </w:rPr>
              <w:t>2</w:t>
            </w:r>
          </w:p>
        </w:tc>
        <w:tc>
          <w:tcPr>
            <w:tcW w:type="dxa" w:w="2016"/>
          </w:tcPr>
          <w:p>
            <w:pPr>
              <w:jc w:val="right"/>
            </w:pPr>
            <w:r/>
            <w:r>
              <w:rPr>
                <w:sz w:val="18"/>
              </w:rPr>
              <w:t>+117%</w:t>
            </w:r>
          </w:p>
        </w:tc>
      </w:tr>
      <w:tr>
        <w:tc>
          <w:tcPr>
            <w:tcW w:type="dxa" w:w="1872"/>
          </w:tcPr>
          <w:p>
            <w:r/>
            <w:r>
              <w:rPr>
                <w:sz w:val="18"/>
              </w:rPr>
              <w:t>Materials/Energy</w:t>
            </w:r>
          </w:p>
        </w:tc>
        <w:tc>
          <w:tcPr>
            <w:tcW w:type="dxa" w:w="3888"/>
          </w:tcPr>
          <w:p>
            <w:r/>
            <w:r>
              <w:rPr>
                <w:sz w:val="18"/>
              </w:rPr>
              <w:t>Chemicals</w:t>
            </w:r>
          </w:p>
        </w:tc>
        <w:tc>
          <w:tcPr>
            <w:tcW w:type="dxa" w:w="1152"/>
          </w:tcPr>
          <w:p>
            <w:pPr>
              <w:jc w:val="right"/>
            </w:pPr>
            <w:r/>
            <w:r>
              <w:rPr>
                <w:sz w:val="18"/>
              </w:rPr>
              <w:t>2</w:t>
            </w:r>
          </w:p>
        </w:tc>
        <w:tc>
          <w:tcPr>
            <w:tcW w:type="dxa" w:w="2016"/>
          </w:tcPr>
          <w:p>
            <w:pPr>
              <w:jc w:val="right"/>
            </w:pPr>
            <w:r/>
            <w:r>
              <w:rPr>
                <w:sz w:val="18"/>
              </w:rPr>
              <w:t>+116%</w:t>
            </w:r>
          </w:p>
        </w:tc>
      </w:tr>
      <w:tr>
        <w:tc>
          <w:tcPr>
            <w:tcW w:type="dxa" w:w="1872"/>
          </w:tcPr>
          <w:p>
            <w:r/>
            <w:r>
              <w:rPr>
                <w:sz w:val="18"/>
              </w:rPr>
              <w:t>Healthcare</w:t>
            </w:r>
          </w:p>
        </w:tc>
        <w:tc>
          <w:tcPr>
            <w:tcW w:type="dxa" w:w="3888"/>
          </w:tcPr>
          <w:p>
            <w:r/>
            <w:r>
              <w:rPr>
                <w:sz w:val="18"/>
              </w:rPr>
              <w:t>Biotech pre-revenue (18A)</w:t>
            </w:r>
          </w:p>
        </w:tc>
        <w:tc>
          <w:tcPr>
            <w:tcW w:type="dxa" w:w="1152"/>
          </w:tcPr>
          <w:p>
            <w:pPr>
              <w:jc w:val="right"/>
            </w:pPr>
            <w:r/>
            <w:r>
              <w:rPr>
                <w:sz w:val="18"/>
              </w:rPr>
              <w:t>2</w:t>
            </w:r>
          </w:p>
        </w:tc>
        <w:tc>
          <w:tcPr>
            <w:tcW w:type="dxa" w:w="2016"/>
          </w:tcPr>
          <w:p>
            <w:pPr>
              <w:jc w:val="right"/>
            </w:pPr>
            <w:r/>
            <w:r>
              <w:rPr>
                <w:sz w:val="18"/>
              </w:rPr>
              <w:t>+101%</w:t>
            </w:r>
          </w:p>
        </w:tc>
      </w:tr>
      <w:tr>
        <w:tc>
          <w:tcPr>
            <w:tcW w:type="dxa" w:w="1872"/>
          </w:tcPr>
          <w:p>
            <w:r/>
            <w:r>
              <w:rPr>
                <w:sz w:val="18"/>
              </w:rPr>
              <w:t>Healthcare</w:t>
            </w:r>
          </w:p>
        </w:tc>
        <w:tc>
          <w:tcPr>
            <w:tcW w:type="dxa" w:w="3888"/>
          </w:tcPr>
          <w:p>
            <w:r/>
            <w:r>
              <w:rPr>
                <w:sz w:val="18"/>
              </w:rPr>
              <w:t>CXO / pharma services</w:t>
            </w:r>
          </w:p>
        </w:tc>
        <w:tc>
          <w:tcPr>
            <w:tcW w:type="dxa" w:w="1152"/>
          </w:tcPr>
          <w:p>
            <w:pPr>
              <w:jc w:val="right"/>
            </w:pPr>
            <w:r/>
            <w:r>
              <w:rPr>
                <w:sz w:val="18"/>
              </w:rPr>
              <w:t>2</w:t>
            </w:r>
          </w:p>
        </w:tc>
        <w:tc>
          <w:tcPr>
            <w:tcW w:type="dxa" w:w="2016"/>
          </w:tcPr>
          <w:p>
            <w:pPr>
              <w:jc w:val="right"/>
            </w:pPr>
            <w:r/>
            <w:r>
              <w:rPr>
                <w:sz w:val="18"/>
              </w:rPr>
              <w:t>+95%</w:t>
            </w:r>
          </w:p>
        </w:tc>
      </w:tr>
      <w:tr>
        <w:tc>
          <w:tcPr>
            <w:tcW w:type="dxa" w:w="1872"/>
          </w:tcPr>
          <w:p>
            <w:r/>
            <w:r>
              <w:rPr>
                <w:sz w:val="18"/>
              </w:rPr>
              <w:t>Industrials</w:t>
            </w:r>
          </w:p>
        </w:tc>
        <w:tc>
          <w:tcPr>
            <w:tcW w:type="dxa" w:w="3888"/>
          </w:tcPr>
          <w:p>
            <w:r/>
            <w:r>
              <w:rPr>
                <w:sz w:val="18"/>
              </w:rPr>
              <w:t>Capital goods / machinery</w:t>
            </w:r>
          </w:p>
        </w:tc>
        <w:tc>
          <w:tcPr>
            <w:tcW w:type="dxa" w:w="1152"/>
          </w:tcPr>
          <w:p>
            <w:pPr>
              <w:jc w:val="right"/>
            </w:pPr>
            <w:r/>
            <w:r>
              <w:rPr>
                <w:sz w:val="18"/>
              </w:rPr>
              <w:t>6</w:t>
            </w:r>
          </w:p>
        </w:tc>
        <w:tc>
          <w:tcPr>
            <w:tcW w:type="dxa" w:w="2016"/>
          </w:tcPr>
          <w:p>
            <w:pPr>
              <w:jc w:val="right"/>
            </w:pPr>
            <w:r/>
            <w:r>
              <w:rPr>
                <w:sz w:val="18"/>
              </w:rPr>
              <w:t>+85%</w:t>
            </w:r>
          </w:p>
        </w:tc>
      </w:tr>
      <w:tr>
        <w:tc>
          <w:tcPr>
            <w:tcW w:type="dxa" w:w="1872"/>
          </w:tcPr>
          <w:p>
            <w:r/>
            <w:r>
              <w:rPr>
                <w:sz w:val="18"/>
              </w:rPr>
              <w:t>Industrials</w:t>
            </w:r>
          </w:p>
        </w:tc>
        <w:tc>
          <w:tcPr>
            <w:tcW w:type="dxa" w:w="3888"/>
          </w:tcPr>
          <w:p>
            <w:r/>
            <w:r>
              <w:rPr>
                <w:sz w:val="18"/>
              </w:rPr>
              <w:t>Batteries / energy storage</w:t>
            </w:r>
          </w:p>
        </w:tc>
        <w:tc>
          <w:tcPr>
            <w:tcW w:type="dxa" w:w="1152"/>
          </w:tcPr>
          <w:p>
            <w:pPr>
              <w:jc w:val="right"/>
            </w:pPr>
            <w:r/>
            <w:r>
              <w:rPr>
                <w:sz w:val="18"/>
              </w:rPr>
              <w:t>5</w:t>
            </w:r>
          </w:p>
        </w:tc>
        <w:tc>
          <w:tcPr>
            <w:tcW w:type="dxa" w:w="2016"/>
          </w:tcPr>
          <w:p>
            <w:pPr>
              <w:jc w:val="right"/>
            </w:pPr>
            <w:r/>
            <w:r>
              <w:rPr>
                <w:sz w:val="18"/>
              </w:rPr>
              <w:t>+85%</w:t>
            </w:r>
          </w:p>
        </w:tc>
      </w:tr>
      <w:tr>
        <w:tc>
          <w:tcPr>
            <w:tcW w:type="dxa" w:w="1872"/>
          </w:tcPr>
          <w:p>
            <w:r/>
            <w:r>
              <w:rPr>
                <w:sz w:val="18"/>
              </w:rPr>
              <w:t>Consumer</w:t>
            </w:r>
          </w:p>
        </w:tc>
        <w:tc>
          <w:tcPr>
            <w:tcW w:type="dxa" w:w="3888"/>
          </w:tcPr>
          <w:p>
            <w:r/>
            <w:r>
              <w:rPr>
                <w:sz w:val="18"/>
              </w:rPr>
              <w:t>Auto parts / supply chain</w:t>
            </w:r>
          </w:p>
        </w:tc>
        <w:tc>
          <w:tcPr>
            <w:tcW w:type="dxa" w:w="1152"/>
          </w:tcPr>
          <w:p>
            <w:pPr>
              <w:jc w:val="right"/>
            </w:pPr>
            <w:r/>
            <w:r>
              <w:rPr>
                <w:sz w:val="18"/>
              </w:rPr>
              <w:t>2</w:t>
            </w:r>
          </w:p>
        </w:tc>
        <w:tc>
          <w:tcPr>
            <w:tcW w:type="dxa" w:w="2016"/>
          </w:tcPr>
          <w:p>
            <w:pPr>
              <w:jc w:val="right"/>
            </w:pPr>
            <w:r/>
            <w:r>
              <w:rPr>
                <w:sz w:val="18"/>
              </w:rPr>
              <w:t>+68%</w:t>
            </w:r>
          </w:p>
        </w:tc>
      </w:tr>
      <w:tr>
        <w:tc>
          <w:tcPr>
            <w:tcW w:type="dxa" w:w="1872"/>
          </w:tcPr>
          <w:p>
            <w:r/>
            <w:r>
              <w:rPr>
                <w:sz w:val="18"/>
              </w:rPr>
              <w:t>Tech/AI</w:t>
            </w:r>
          </w:p>
        </w:tc>
        <w:tc>
          <w:tcPr>
            <w:tcW w:type="dxa" w:w="3888"/>
          </w:tcPr>
          <w:p>
            <w:r/>
            <w:r>
              <w:rPr>
                <w:sz w:val="18"/>
              </w:rPr>
              <w:t>AI chips &amp; semis</w:t>
            </w:r>
          </w:p>
        </w:tc>
        <w:tc>
          <w:tcPr>
            <w:tcW w:type="dxa" w:w="1152"/>
          </w:tcPr>
          <w:p>
            <w:pPr>
              <w:jc w:val="right"/>
            </w:pPr>
            <w:r/>
            <w:r>
              <w:rPr>
                <w:sz w:val="18"/>
              </w:rPr>
              <w:t>10</w:t>
            </w:r>
          </w:p>
        </w:tc>
        <w:tc>
          <w:tcPr>
            <w:tcW w:type="dxa" w:w="2016"/>
          </w:tcPr>
          <w:p>
            <w:pPr>
              <w:jc w:val="right"/>
            </w:pPr>
            <w:r/>
            <w:r>
              <w:rPr>
                <w:sz w:val="18"/>
              </w:rPr>
              <w:t>+52%</w:t>
            </w:r>
          </w:p>
        </w:tc>
      </w:tr>
      <w:tr>
        <w:tc>
          <w:tcPr>
            <w:tcW w:type="dxa" w:w="1872"/>
          </w:tcPr>
          <w:p>
            <w:r/>
            <w:r>
              <w:rPr>
                <w:sz w:val="18"/>
              </w:rPr>
              <w:t>Materials/Energy</w:t>
            </w:r>
          </w:p>
        </w:tc>
        <w:tc>
          <w:tcPr>
            <w:tcW w:type="dxa" w:w="3888"/>
          </w:tcPr>
          <w:p>
            <w:r/>
            <w:r>
              <w:rPr>
                <w:sz w:val="18"/>
              </w:rPr>
              <w:t>Mining / metals</w:t>
            </w:r>
          </w:p>
        </w:tc>
        <w:tc>
          <w:tcPr>
            <w:tcW w:type="dxa" w:w="1152"/>
          </w:tcPr>
          <w:p>
            <w:pPr>
              <w:jc w:val="right"/>
            </w:pPr>
            <w:r/>
            <w:r>
              <w:rPr>
                <w:sz w:val="18"/>
              </w:rPr>
              <w:t>2</w:t>
            </w:r>
          </w:p>
        </w:tc>
        <w:tc>
          <w:tcPr>
            <w:tcW w:type="dxa" w:w="2016"/>
          </w:tcPr>
          <w:p>
            <w:pPr>
              <w:jc w:val="right"/>
            </w:pPr>
            <w:r/>
            <w:r>
              <w:rPr>
                <w:sz w:val="18"/>
              </w:rPr>
              <w:t>+40%</w:t>
            </w:r>
          </w:p>
        </w:tc>
      </w:tr>
      <w:tr>
        <w:tc>
          <w:tcPr>
            <w:tcW w:type="dxa" w:w="1872"/>
          </w:tcPr>
          <w:p>
            <w:r/>
            <w:r>
              <w:rPr>
                <w:sz w:val="18"/>
              </w:rPr>
              <w:t>Tech/AI</w:t>
            </w:r>
          </w:p>
        </w:tc>
        <w:tc>
          <w:tcPr>
            <w:tcW w:type="dxa" w:w="3888"/>
          </w:tcPr>
          <w:p>
            <w:r/>
            <w:r>
              <w:rPr>
                <w:sz w:val="18"/>
              </w:rPr>
              <w:t>Smart hardware / consumer electronics</w:t>
            </w:r>
          </w:p>
        </w:tc>
        <w:tc>
          <w:tcPr>
            <w:tcW w:type="dxa" w:w="1152"/>
          </w:tcPr>
          <w:p>
            <w:pPr>
              <w:jc w:val="right"/>
            </w:pPr>
            <w:r/>
            <w:r>
              <w:rPr>
                <w:sz w:val="18"/>
              </w:rPr>
              <w:t>16</w:t>
            </w:r>
          </w:p>
        </w:tc>
        <w:tc>
          <w:tcPr>
            <w:tcW w:type="dxa" w:w="2016"/>
          </w:tcPr>
          <w:p>
            <w:pPr>
              <w:jc w:val="right"/>
            </w:pPr>
            <w:r/>
            <w:r>
              <w:rPr>
                <w:sz w:val="18"/>
              </w:rPr>
              <w:t>+35%</w:t>
            </w:r>
          </w:p>
        </w:tc>
      </w:tr>
      <w:tr>
        <w:tc>
          <w:tcPr>
            <w:tcW w:type="dxa" w:w="1872"/>
          </w:tcPr>
          <w:p>
            <w:r/>
            <w:r>
              <w:rPr>
                <w:sz w:val="18"/>
              </w:rPr>
              <w:t>Consumer</w:t>
            </w:r>
          </w:p>
        </w:tc>
        <w:tc>
          <w:tcPr>
            <w:tcW w:type="dxa" w:w="3888"/>
          </w:tcPr>
          <w:p>
            <w:r/>
            <w:r>
              <w:rPr>
                <w:sz w:val="18"/>
              </w:rPr>
              <w:t>Beverages / packaged food</w:t>
            </w:r>
          </w:p>
        </w:tc>
        <w:tc>
          <w:tcPr>
            <w:tcW w:type="dxa" w:w="1152"/>
          </w:tcPr>
          <w:p>
            <w:pPr>
              <w:jc w:val="right"/>
            </w:pPr>
            <w:r/>
            <w:r>
              <w:rPr>
                <w:sz w:val="18"/>
              </w:rPr>
              <w:t>4</w:t>
            </w:r>
          </w:p>
        </w:tc>
        <w:tc>
          <w:tcPr>
            <w:tcW w:type="dxa" w:w="2016"/>
          </w:tcPr>
          <w:p>
            <w:pPr>
              <w:jc w:val="right"/>
            </w:pPr>
            <w:r/>
            <w:r>
              <w:rPr>
                <w:sz w:val="18"/>
              </w:rPr>
              <w:t>+34%</w:t>
            </w:r>
          </w:p>
        </w:tc>
      </w:tr>
    </w:tbl>
    <w:p>
      <w:pPr>
        <w:spacing w:after="40"/>
      </w:pPr>
    </w:p>
    <w:p>
      <w:pPr/>
      <w:r>
        <w:rPr>
          <w:sz w:val="21"/>
        </w:rPr>
        <w:t>Why does the theme effect exist at all? Because the two investor bases are paid for different things. The A-line marginal buyer is an individual with trapped onshore savings, few substitutes (property impaired, deposits near zero), and a market where turnover is dominated by retail. For that buyer a policy-endorsed theme carries a resale option — the stock can be sold dearer to the next buyer as the narrative builds — and the endorsement itself works as a coordination signal that concentrates the crowd on the same tickers (the academic literature documents exactly this: names with high speculative appeal carry persistently higher A-premiums). Small theme mid-caps amplify it with scarcity: thin free floats squeeze, and with A-share shorting shut there is no professional money able to lean against the narrative. The same story priced offshore reads as an expensive cyclical against global comparables — so the gap opens widest precisely where onshore narrative demand is strongest and offshore sponsorship weakest. That is the thematics table in one sentence.</w:t>
      </w:r>
    </w:p>
    <w:p>
      <w:pPr>
        <w:spacing w:before="260" w:after="80"/>
      </w:pPr>
      <w:r>
        <w:rPr>
          <w:b/>
          <w:color w:val="111111"/>
          <w:sz w:val="28"/>
        </w:rPr>
        <w:t>5. The two tails, by name</w:t>
      </w:r>
    </w:p>
    <w:p>
      <w:pPr>
        <w:jc w:val="center"/>
      </w:pPr>
      <w:r>
        <w:drawing>
          <wp:inline xmlns:a="http://schemas.openxmlformats.org/drawingml/2006/main" xmlns:pic="http://schemas.openxmlformats.org/drawingml/2006/picture">
            <wp:extent cx="5943600" cy="2796015"/>
            <wp:docPr id="5" name="Picture 5"/>
            <wp:cNvGraphicFramePr>
              <a:graphicFrameLocks noChangeAspect="1"/>
            </wp:cNvGraphicFramePr>
            <a:graphic>
              <a:graphicData uri="http://schemas.openxmlformats.org/drawingml/2006/picture">
                <pic:pic>
                  <pic:nvPicPr>
                    <pic:cNvPr id="0" name="ah_5_tails.png"/>
                    <pic:cNvPicPr/>
                  </pic:nvPicPr>
                  <pic:blipFill>
                    <a:blip r:embed="rId13"/>
                    <a:stretch>
                      <a:fillRect/>
                    </a:stretch>
                  </pic:blipFill>
                  <pic:spPr>
                    <a:xfrm>
                      <a:off x="0" y="0"/>
                      <a:ext cx="5943600" cy="2796015"/>
                    </a:xfrm>
                    <a:prstGeom prst="rect"/>
                  </pic:spPr>
                </pic:pic>
              </a:graphicData>
            </a:graphic>
          </wp:inline>
        </w:drawing>
      </w:r>
    </w:p>
    <w:p>
      <w:pPr>
        <w:jc w:val="center"/>
      </w:pPr>
      <w:r>
        <w:rPr>
          <w:i/>
          <w:color w:val="5B5B57"/>
          <w:sz w:val="17"/>
        </w:rPr>
        <w:t>Top six and bottom six of the 61 pairs, priced today.</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Rich A lines (theme mid-caps)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HANS CNC</w:t>
            </w:r>
          </w:p>
        </w:tc>
        <w:tc>
          <w:tcPr>
            <w:tcW w:type="dxa" w:w="1008"/>
          </w:tcPr>
          <w:p>
            <w:r/>
            <w:r>
              <w:rPr>
                <w:sz w:val="18"/>
              </w:rPr>
              <w:t>3200</w:t>
            </w:r>
          </w:p>
        </w:tc>
        <w:tc>
          <w:tcPr>
            <w:tcW w:type="dxa" w:w="1584"/>
          </w:tcPr>
          <w:p>
            <w:r/>
            <w:r>
              <w:rPr>
                <w:sz w:val="18"/>
              </w:rPr>
              <w:t>ChiNext</w:t>
            </w:r>
          </w:p>
        </w:tc>
        <w:tc>
          <w:tcPr>
            <w:tcW w:type="dxa" w:w="2016"/>
          </w:tcPr>
          <w:p>
            <w:pPr>
              <w:jc w:val="right"/>
            </w:pPr>
            <w:r/>
            <w:r>
              <w:rPr>
                <w:sz w:val="18"/>
              </w:rPr>
              <w:t>HK$40bn</w:t>
            </w:r>
          </w:p>
        </w:tc>
        <w:tc>
          <w:tcPr>
            <w:tcW w:type="dxa" w:w="1440"/>
          </w:tcPr>
          <w:p>
            <w:pPr>
              <w:jc w:val="right"/>
            </w:pPr>
            <w:r/>
            <w:r>
              <w:rPr>
                <w:sz w:val="18"/>
              </w:rPr>
              <w:t>+232%</w:t>
            </w:r>
          </w:p>
        </w:tc>
      </w:tr>
      <w:tr>
        <w:tc>
          <w:tcPr>
            <w:tcW w:type="dxa" w:w="3024"/>
          </w:tcPr>
          <w:p>
            <w:r/>
            <w:r>
              <w:rPr>
                <w:sz w:val="18"/>
              </w:rPr>
              <w:t>DRINDA</w:t>
            </w:r>
          </w:p>
        </w:tc>
        <w:tc>
          <w:tcPr>
            <w:tcW w:type="dxa" w:w="1008"/>
          </w:tcPr>
          <w:p>
            <w:r/>
            <w:r>
              <w:rPr>
                <w:sz w:val="18"/>
              </w:rPr>
              <w:t>2865</w:t>
            </w:r>
          </w:p>
        </w:tc>
        <w:tc>
          <w:tcPr>
            <w:tcW w:type="dxa" w:w="1584"/>
          </w:tcPr>
          <w:p>
            <w:r/>
            <w:r>
              <w:rPr>
                <w:sz w:val="18"/>
              </w:rPr>
              <w:t>SZSE main</w:t>
            </w:r>
          </w:p>
        </w:tc>
        <w:tc>
          <w:tcPr>
            <w:tcW w:type="dxa" w:w="2016"/>
          </w:tcPr>
          <w:p>
            <w:pPr>
              <w:jc w:val="right"/>
            </w:pPr>
            <w:r/>
            <w:r>
              <w:rPr>
                <w:sz w:val="18"/>
              </w:rPr>
              <w:t>HK$6bn</w:t>
            </w:r>
          </w:p>
        </w:tc>
        <w:tc>
          <w:tcPr>
            <w:tcW w:type="dxa" w:w="1440"/>
          </w:tcPr>
          <w:p>
            <w:pPr>
              <w:jc w:val="right"/>
            </w:pPr>
            <w:r/>
            <w:r>
              <w:rPr>
                <w:sz w:val="18"/>
              </w:rPr>
              <w:t>+195%</w:t>
            </w:r>
          </w:p>
        </w:tc>
      </w:tr>
      <w:tr>
        <w:tc>
          <w:tcPr>
            <w:tcW w:type="dxa" w:w="3024"/>
          </w:tcPr>
          <w:p>
            <w:r/>
            <w:r>
              <w:rPr>
                <w:sz w:val="18"/>
              </w:rPr>
              <w:t>FIBOCOM</w:t>
            </w:r>
          </w:p>
        </w:tc>
        <w:tc>
          <w:tcPr>
            <w:tcW w:type="dxa" w:w="1008"/>
          </w:tcPr>
          <w:p>
            <w:r/>
            <w:r>
              <w:rPr>
                <w:sz w:val="18"/>
              </w:rPr>
              <w:t>0638</w:t>
            </w:r>
          </w:p>
        </w:tc>
        <w:tc>
          <w:tcPr>
            <w:tcW w:type="dxa" w:w="1584"/>
          </w:tcPr>
          <w:p>
            <w:r/>
            <w:r>
              <w:rPr>
                <w:sz w:val="18"/>
              </w:rPr>
              <w:t>ChiNext</w:t>
            </w:r>
          </w:p>
        </w:tc>
        <w:tc>
          <w:tcPr>
            <w:tcW w:type="dxa" w:w="2016"/>
          </w:tcPr>
          <w:p>
            <w:pPr>
              <w:jc w:val="right"/>
            </w:pPr>
            <w:r/>
            <w:r>
              <w:rPr>
                <w:sz w:val="18"/>
              </w:rPr>
              <w:t>HK$19bn</w:t>
            </w:r>
          </w:p>
        </w:tc>
        <w:tc>
          <w:tcPr>
            <w:tcW w:type="dxa" w:w="1440"/>
          </w:tcPr>
          <w:p>
            <w:pPr>
              <w:jc w:val="right"/>
            </w:pPr>
            <w:r/>
            <w:r>
              <w:rPr>
                <w:sz w:val="18"/>
              </w:rPr>
              <w:t>+192%</w:t>
            </w:r>
          </w:p>
        </w:tc>
      </w:tr>
      <w:tr>
        <w:tc>
          <w:tcPr>
            <w:tcW w:type="dxa" w:w="3024"/>
          </w:tcPr>
          <w:p>
            <w:r/>
            <w:r>
              <w:rPr>
                <w:sz w:val="18"/>
              </w:rPr>
              <w:t>NSING TECH</w:t>
            </w:r>
          </w:p>
        </w:tc>
        <w:tc>
          <w:tcPr>
            <w:tcW w:type="dxa" w:w="1008"/>
          </w:tcPr>
          <w:p>
            <w:r/>
            <w:r>
              <w:rPr>
                <w:sz w:val="18"/>
              </w:rPr>
              <w:t>2701</w:t>
            </w:r>
          </w:p>
        </w:tc>
        <w:tc>
          <w:tcPr>
            <w:tcW w:type="dxa" w:w="1584"/>
          </w:tcPr>
          <w:p>
            <w:r/>
            <w:r>
              <w:rPr>
                <w:sz w:val="18"/>
              </w:rPr>
              <w:t>ChiNext</w:t>
            </w:r>
          </w:p>
        </w:tc>
        <w:tc>
          <w:tcPr>
            <w:tcW w:type="dxa" w:w="2016"/>
          </w:tcPr>
          <w:p>
            <w:pPr>
              <w:jc w:val="right"/>
            </w:pPr>
            <w:r/>
            <w:r>
              <w:rPr>
                <w:sz w:val="18"/>
              </w:rPr>
              <w:t>HK$7bn</w:t>
            </w:r>
          </w:p>
        </w:tc>
        <w:tc>
          <w:tcPr>
            <w:tcW w:type="dxa" w:w="1440"/>
          </w:tcPr>
          <w:p>
            <w:pPr>
              <w:jc w:val="right"/>
            </w:pPr>
            <w:r/>
            <w:r>
              <w:rPr>
                <w:sz w:val="18"/>
              </w:rPr>
              <w:t>+164%</w:t>
            </w:r>
          </w:p>
        </w:tc>
      </w:tr>
      <w:tr>
        <w:tc>
          <w:tcPr>
            <w:tcW w:type="dxa" w:w="3024"/>
          </w:tcPr>
          <w:p>
            <w:r/>
            <w:r>
              <w:rPr>
                <w:sz w:val="18"/>
              </w:rPr>
              <w:t>MEIG</w:t>
            </w:r>
          </w:p>
        </w:tc>
        <w:tc>
          <w:tcPr>
            <w:tcW w:type="dxa" w:w="1008"/>
          </w:tcPr>
          <w:p>
            <w:r/>
            <w:r>
              <w:rPr>
                <w:sz w:val="18"/>
              </w:rPr>
              <w:t>3268</w:t>
            </w:r>
          </w:p>
        </w:tc>
        <w:tc>
          <w:tcPr>
            <w:tcW w:type="dxa" w:w="1584"/>
          </w:tcPr>
          <w:p>
            <w:r/>
            <w:r>
              <w:rPr>
                <w:sz w:val="18"/>
              </w:rPr>
              <w:t>SZSE main</w:t>
            </w:r>
          </w:p>
        </w:tc>
        <w:tc>
          <w:tcPr>
            <w:tcW w:type="dxa" w:w="2016"/>
          </w:tcPr>
          <w:p>
            <w:pPr>
              <w:jc w:val="right"/>
            </w:pPr>
            <w:r/>
            <w:r>
              <w:rPr>
                <w:sz w:val="18"/>
              </w:rPr>
              <w:t>HK$9bn</w:t>
            </w:r>
          </w:p>
        </w:tc>
        <w:tc>
          <w:tcPr>
            <w:tcW w:type="dxa" w:w="1440"/>
          </w:tcPr>
          <w:p>
            <w:pPr>
              <w:jc w:val="right"/>
            </w:pPr>
            <w:r/>
            <w:r>
              <w:rPr>
                <w:sz w:val="18"/>
              </w:rPr>
              <w:t>+152%</w:t>
            </w:r>
          </w:p>
        </w:tc>
      </w:tr>
      <w:tr>
        <w:tc>
          <w:tcPr>
            <w:tcW w:type="dxa" w:w="3024"/>
          </w:tcPr>
          <w:p>
            <w:r/>
            <w:r>
              <w:rPr>
                <w:sz w:val="18"/>
              </w:rPr>
              <w:t>BIOCYTOGEN-B</w:t>
            </w:r>
          </w:p>
        </w:tc>
        <w:tc>
          <w:tcPr>
            <w:tcW w:type="dxa" w:w="1008"/>
          </w:tcPr>
          <w:p>
            <w:r/>
            <w:r>
              <w:rPr>
                <w:sz w:val="18"/>
              </w:rPr>
              <w:t>2315</w:t>
            </w:r>
          </w:p>
        </w:tc>
        <w:tc>
          <w:tcPr>
            <w:tcW w:type="dxa" w:w="1584"/>
          </w:tcPr>
          <w:p>
            <w:r/>
            <w:r>
              <w:rPr>
                <w:sz w:val="18"/>
              </w:rPr>
              <w:t>STAR</w:t>
            </w:r>
          </w:p>
        </w:tc>
        <w:tc>
          <w:tcPr>
            <w:tcW w:type="dxa" w:w="2016"/>
          </w:tcPr>
          <w:p>
            <w:pPr>
              <w:jc w:val="right"/>
            </w:pPr>
            <w:r/>
            <w:r>
              <w:rPr>
                <w:sz w:val="18"/>
              </w:rPr>
              <w:t>HK$10bn</w:t>
            </w:r>
          </w:p>
        </w:tc>
        <w:tc>
          <w:tcPr>
            <w:tcW w:type="dxa" w:w="1440"/>
          </w:tcPr>
          <w:p>
            <w:pPr>
              <w:jc w:val="right"/>
            </w:pPr>
            <w:r/>
            <w:r>
              <w:rPr>
                <w:sz w:val="18"/>
              </w:rPr>
              <w:t>+144%</w:t>
            </w:r>
          </w:p>
        </w:tc>
      </w:tr>
    </w:tbl>
    <w:p>
      <w:pPr>
        <w:spacing w:after="40"/>
      </w:pPr>
    </w:p>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Tight / inverted (global megas)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CATL</w:t>
            </w:r>
          </w:p>
        </w:tc>
        <w:tc>
          <w:tcPr>
            <w:tcW w:type="dxa" w:w="1008"/>
          </w:tcPr>
          <w:p>
            <w:r/>
            <w:r>
              <w:rPr>
                <w:sz w:val="18"/>
              </w:rPr>
              <w:t>3750</w:t>
            </w:r>
          </w:p>
        </w:tc>
        <w:tc>
          <w:tcPr>
            <w:tcW w:type="dxa" w:w="1584"/>
          </w:tcPr>
          <w:p>
            <w:r/>
            <w:r>
              <w:rPr>
                <w:sz w:val="18"/>
              </w:rPr>
              <w:t>ChiNext</w:t>
            </w:r>
          </w:p>
        </w:tc>
        <w:tc>
          <w:tcPr>
            <w:tcW w:type="dxa" w:w="2016"/>
          </w:tcPr>
          <w:p>
            <w:pPr>
              <w:jc w:val="right"/>
            </w:pPr>
            <w:r/>
            <w:r>
              <w:rPr>
                <w:sz w:val="18"/>
              </w:rPr>
              <w:t>HK$1,193bn</w:t>
            </w:r>
          </w:p>
        </w:tc>
        <w:tc>
          <w:tcPr>
            <w:tcW w:type="dxa" w:w="1440"/>
          </w:tcPr>
          <w:p>
            <w:pPr>
              <w:jc w:val="right"/>
            </w:pPr>
            <w:r/>
            <w:r>
              <w:rPr>
                <w:sz w:val="18"/>
              </w:rPr>
              <w:t>-29%</w:t>
            </w:r>
          </w:p>
        </w:tc>
      </w:tr>
      <w:tr>
        <w:tc>
          <w:tcPr>
            <w:tcW w:type="dxa" w:w="3024"/>
          </w:tcPr>
          <w:p>
            <w:r/>
            <w:r>
              <w:rPr>
                <w:sz w:val="18"/>
              </w:rPr>
              <w:t>MONTAGE TECH</w:t>
            </w:r>
          </w:p>
        </w:tc>
        <w:tc>
          <w:tcPr>
            <w:tcW w:type="dxa" w:w="1008"/>
          </w:tcPr>
          <w:p>
            <w:r/>
            <w:r>
              <w:rPr>
                <w:sz w:val="18"/>
              </w:rPr>
              <w:t>6809</w:t>
            </w:r>
          </w:p>
        </w:tc>
        <w:tc>
          <w:tcPr>
            <w:tcW w:type="dxa" w:w="1584"/>
          </w:tcPr>
          <w:p>
            <w:r/>
            <w:r>
              <w:rPr>
                <w:sz w:val="18"/>
              </w:rPr>
              <w:t>STAR</w:t>
            </w:r>
          </w:p>
        </w:tc>
        <w:tc>
          <w:tcPr>
            <w:tcW w:type="dxa" w:w="2016"/>
          </w:tcPr>
          <w:p>
            <w:pPr>
              <w:jc w:val="right"/>
            </w:pPr>
            <w:r/>
            <w:r>
              <w:rPr>
                <w:sz w:val="18"/>
              </w:rPr>
              <w:t>HK$114bn</w:t>
            </w:r>
          </w:p>
        </w:tc>
        <w:tc>
          <w:tcPr>
            <w:tcW w:type="dxa" w:w="1440"/>
          </w:tcPr>
          <w:p>
            <w:pPr>
              <w:jc w:val="right"/>
            </w:pPr>
            <w:r/>
            <w:r>
              <w:rPr>
                <w:sz w:val="18"/>
              </w:rPr>
              <w:t>-10%</w:t>
            </w:r>
          </w:p>
        </w:tc>
      </w:tr>
      <w:tr>
        <w:tc>
          <w:tcPr>
            <w:tcW w:type="dxa" w:w="3024"/>
          </w:tcPr>
          <w:p>
            <w:r/>
            <w:r>
              <w:rPr>
                <w:sz w:val="18"/>
              </w:rPr>
              <w:t>GIGADEVICE</w:t>
            </w:r>
          </w:p>
        </w:tc>
        <w:tc>
          <w:tcPr>
            <w:tcW w:type="dxa" w:w="1008"/>
          </w:tcPr>
          <w:p>
            <w:r/>
            <w:r>
              <w:rPr>
                <w:sz w:val="18"/>
              </w:rPr>
              <w:t>3986</w:t>
            </w:r>
          </w:p>
        </w:tc>
        <w:tc>
          <w:tcPr>
            <w:tcW w:type="dxa" w:w="1584"/>
          </w:tcPr>
          <w:p>
            <w:r/>
            <w:r>
              <w:rPr>
                <w:sz w:val="18"/>
              </w:rPr>
              <w:t>SSE main</w:t>
            </w:r>
          </w:p>
        </w:tc>
        <w:tc>
          <w:tcPr>
            <w:tcW w:type="dxa" w:w="2016"/>
          </w:tcPr>
          <w:p>
            <w:pPr>
              <w:jc w:val="right"/>
            </w:pPr>
            <w:r/>
            <w:r>
              <w:rPr>
                <w:sz w:val="18"/>
              </w:rPr>
              <w:t>HK$114bn</w:t>
            </w:r>
          </w:p>
        </w:tc>
        <w:tc>
          <w:tcPr>
            <w:tcW w:type="dxa" w:w="1440"/>
          </w:tcPr>
          <w:p>
            <w:pPr>
              <w:jc w:val="right"/>
            </w:pPr>
            <w:r/>
            <w:r>
              <w:rPr>
                <w:sz w:val="18"/>
              </w:rPr>
              <w:t>-6%</w:t>
            </w:r>
          </w:p>
        </w:tc>
      </w:tr>
      <w:tr>
        <w:tc>
          <w:tcPr>
            <w:tcW w:type="dxa" w:w="3024"/>
          </w:tcPr>
          <w:p>
            <w:r/>
            <w:r>
              <w:rPr>
                <w:sz w:val="18"/>
              </w:rPr>
              <w:t>ZJ INNOLIGHT</w:t>
            </w:r>
          </w:p>
        </w:tc>
        <w:tc>
          <w:tcPr>
            <w:tcW w:type="dxa" w:w="1008"/>
          </w:tcPr>
          <w:p>
            <w:r/>
            <w:r>
              <w:rPr>
                <w:sz w:val="18"/>
              </w:rPr>
              <w:t>3308</w:t>
            </w:r>
          </w:p>
        </w:tc>
        <w:tc>
          <w:tcPr>
            <w:tcW w:type="dxa" w:w="1584"/>
          </w:tcPr>
          <w:p>
            <w:r/>
            <w:r>
              <w:rPr>
                <w:sz w:val="18"/>
              </w:rPr>
              <w:t>ChiNext</w:t>
            </w:r>
          </w:p>
        </w:tc>
        <w:tc>
          <w:tcPr>
            <w:tcW w:type="dxa" w:w="2016"/>
          </w:tcPr>
          <w:p>
            <w:pPr>
              <w:jc w:val="right"/>
            </w:pPr>
            <w:r/>
            <w:r>
              <w:rPr>
                <w:sz w:val="18"/>
              </w:rPr>
              <w:t>HK$1,577bn</w:t>
            </w:r>
          </w:p>
        </w:tc>
        <w:tc>
          <w:tcPr>
            <w:tcW w:type="dxa" w:w="1440"/>
          </w:tcPr>
          <w:p>
            <w:pPr>
              <w:jc w:val="right"/>
            </w:pPr>
            <w:r/>
            <w:r>
              <w:rPr>
                <w:sz w:val="18"/>
              </w:rPr>
              <w:t>+0%</w:t>
            </w:r>
          </w:p>
        </w:tc>
      </w:tr>
      <w:tr>
        <w:tc>
          <w:tcPr>
            <w:tcW w:type="dxa" w:w="3024"/>
          </w:tcPr>
          <w:p>
            <w:r/>
            <w:r>
              <w:rPr>
                <w:sz w:val="18"/>
              </w:rPr>
              <w:t>MIDEA GROUP</w:t>
            </w:r>
          </w:p>
        </w:tc>
        <w:tc>
          <w:tcPr>
            <w:tcW w:type="dxa" w:w="1008"/>
          </w:tcPr>
          <w:p>
            <w:r/>
            <w:r>
              <w:rPr>
                <w:sz w:val="18"/>
              </w:rPr>
              <w:t>0300</w:t>
            </w:r>
          </w:p>
        </w:tc>
        <w:tc>
          <w:tcPr>
            <w:tcW w:type="dxa" w:w="1584"/>
          </w:tcPr>
          <w:p>
            <w:r/>
            <w:r>
              <w:rPr>
                <w:sz w:val="18"/>
              </w:rPr>
              <w:t>SZSE main</w:t>
            </w:r>
          </w:p>
        </w:tc>
        <w:tc>
          <w:tcPr>
            <w:tcW w:type="dxa" w:w="2016"/>
          </w:tcPr>
          <w:p>
            <w:pPr>
              <w:jc w:val="right"/>
            </w:pPr>
            <w:r/>
            <w:r>
              <w:rPr>
                <w:sz w:val="18"/>
              </w:rPr>
              <w:t>HK$414bn</w:t>
            </w:r>
          </w:p>
        </w:tc>
        <w:tc>
          <w:tcPr>
            <w:tcW w:type="dxa" w:w="1440"/>
          </w:tcPr>
          <w:p>
            <w:pPr>
              <w:jc w:val="right"/>
            </w:pPr>
            <w:r/>
            <w:r>
              <w:rPr>
                <w:sz w:val="18"/>
              </w:rPr>
              <w:t>+2%</w:t>
            </w:r>
          </w:p>
        </w:tc>
      </w:tr>
      <w:tr>
        <w:tc>
          <w:tcPr>
            <w:tcW w:type="dxa" w:w="3024"/>
          </w:tcPr>
          <w:p>
            <w:r/>
            <w:r>
              <w:rPr>
                <w:sz w:val="18"/>
              </w:rPr>
              <w:t>LUXSHARE ICT</w:t>
            </w:r>
          </w:p>
        </w:tc>
        <w:tc>
          <w:tcPr>
            <w:tcW w:type="dxa" w:w="1008"/>
          </w:tcPr>
          <w:p>
            <w:r/>
            <w:r>
              <w:rPr>
                <w:sz w:val="18"/>
              </w:rPr>
              <w:t>2475</w:t>
            </w:r>
          </w:p>
        </w:tc>
        <w:tc>
          <w:tcPr>
            <w:tcW w:type="dxa" w:w="1584"/>
          </w:tcPr>
          <w:p>
            <w:r/>
            <w:r>
              <w:rPr>
                <w:sz w:val="18"/>
              </w:rPr>
              <w:t>SZSE main</w:t>
            </w:r>
          </w:p>
        </w:tc>
        <w:tc>
          <w:tcPr>
            <w:tcW w:type="dxa" w:w="2016"/>
          </w:tcPr>
          <w:p>
            <w:pPr>
              <w:jc w:val="right"/>
            </w:pPr>
            <w:r/>
            <w:r>
              <w:rPr>
                <w:sz w:val="18"/>
              </w:rPr>
              <w:t>—</w:t>
            </w:r>
          </w:p>
        </w:tc>
        <w:tc>
          <w:tcPr>
            <w:tcW w:type="dxa" w:w="1440"/>
          </w:tcPr>
          <w:p>
            <w:pPr>
              <w:jc w:val="right"/>
            </w:pPr>
            <w:r/>
            <w:r>
              <w:rPr>
                <w:sz w:val="18"/>
              </w:rPr>
              <w:t>+6%</w:t>
            </w:r>
          </w:p>
        </w:tc>
      </w:tr>
    </w:tbl>
    <w:p>
      <w:pPr>
        <w:spacing w:after="40"/>
      </w:pPr>
    </w:p>
    <w:p>
      <w:r>
        <w:br w:type="page"/>
      </w:r>
    </w:p>
    <w:p>
      <w:pPr>
        <w:spacing w:before="260" w:after="80"/>
      </w:pPr>
      <w:r>
        <w:rPr>
          <w:b/>
          <w:color w:val="111111"/>
          <w:sz w:val="28"/>
        </w:rPr>
        <w:t>6. Why the gap persists: borrow, Connect and fungibility</w:t>
      </w:r>
    </w:p>
    <w:p>
      <w:r>
        <w:rPr>
          <w:i w:val="0"/>
          <w:sz w:val="21"/>
        </w:rPr>
        <w:t>The structural facts below, each verified against primary sources, explain why these premiums are stable rather than arbitraged away — and what an institutional desk can and cannot actually borrow.</w:t>
      </w:r>
    </w:p>
    <w:p>
      <w:pPr>
        <w:pStyle w:val="ListBullet"/>
      </w:pPr>
      <w:r>
        <w:rPr>
          <w:b/>
        </w:rPr>
        <w:t xml:space="preserve">A-share borrow is effectively dead — for everyone. </w:t>
      </w:r>
      <w:r>
        <w:rPr>
          <w:b w:val="0"/>
        </w:rPr>
        <w:t>The CSRC tightened securities lending from October 2023, banned lending of locked-up shares in January 2024, and suspended the securities-relending (转融券) channel entirely from 11 July 2024; the relending balance reached zero on 30 September 2024 and has not been revived. Market-wide lending is roughly RMB22bn against a RMB3.0tn margin book (about 0.7%). Every name in this study is technically margin-eligible, including the high-premium mid-caps — even CATL's lending balance peaks near RMB170m against a float above US$100bn. Borrow therefore does not explain why premiums differ; it explains why none of them can be compressed by shorting the A.</w:t>
      </w:r>
    </w:p>
    <w:p>
      <w:pPr>
        <w:pStyle w:val="ListBullet"/>
        <w:pStyle w:val="ListBullet"/>
      </w:pPr>
      <w:r>
        <w:rPr>
          <w:b/>
        </w:rPr>
        <w:t>Institutional status does not reopen the A side.</w:t>
      </w:r>
      <w:r>
        <w:rPr>
          <w:b w:val="0"/>
        </w:rPr>
        <w:t xml:space="preserve"> QFII/RQFII participation in onshore margin trading and securities lending is permitted on paper, but the pool institutions actually borrowed from was CSF’s relending channel — precisely the channel zeroed in 2024 — and what remains is brokers’ own inventory, about RMB22bn across the whole market. The synthetic detours were shut in the same campaign: regulators curtailed DMA and swap-based short exposure through dealers in early 2024, and lending of strategic-placement and locked-up stock was banned outright. The one A-side short still executable in institutional size is index futures (CSI 300/500/1000) — beta against the basket, useless against a single name’s premium.</w:t>
      </w:r>
    </w:p>
    <w:p>
      <w:pPr>
        <w:pStyle w:val="ListBullet"/>
        <w:pStyle w:val="ListBullet"/>
      </w:pPr>
      <w:r>
        <w:rPr>
          <w:b/>
        </w:rPr>
        <w:t>The H side is borrowable — through three gates.</w:t>
      </w:r>
      <w:r>
        <w:rPr>
          <w:b w:val="0"/>
        </w:rPr>
        <w:t xml:space="preserve"> First, designation: a name can be shorted at all only if it is on HKEX’s quarterly-revised list of Designated Securities. The standing test is market capitalisation of at least HK$3bn plus twelve-month turnover of at least 60% of market cap; a fast-track admits a new listing inside its first 60 trading days only if public-float capitalisation holds above HK$20bn for 20 consecutive sessions with at least HK$500m traded. A mega A+H H-line therefore becomes shortable within weeks of listing; a mid-cap waits for a quarterly review it may never pass. Second, inventory: lendable supply is the free float sitting with custodians running lending programmes — net of cornerstone and strategic stock through the six-month lockup, and net of Southbound holdings, which Connect rules do not permit mainland investors to lend. The heavier a name’s Southbound sponsorship, the thinner its lendable pool. Third, price: a fresh H line trades special — fees in the hundreds of basis points, with recall risk — until the float seasons. Note the symmetry: the same size fork that routes a mega H line into Southbound also puts it on the short-sell list and into lendable custody. Size gates the long flow and the short simultaneously; for the mid-caps neither leg is executable, which is exactly where premiums are widest and stickiest.</w:t>
      </w:r>
      <w:r>
        <w:rPr>
          <w:b w:val="0"/>
        </w:rPr>
        <w:t xml:space="preserve"> The inventory gate is itself a size effect: lending supply lives in global custody accounts — index trackers, insurers, long-only funds enrolled in lending programmes — whose holdings scale with market cap and index membership. A bigger H line therefore gets both the faster route onto the designated list and physically more stock to borrow; a mid-cap H line offers neither.</w:t>
      </w:r>
    </w:p>
    <w:p>
      <w:pPr>
        <w:pStyle w:val="ListBullet"/>
      </w:pPr>
      <w:r>
        <w:rPr>
          <w:b/>
        </w:rPr>
        <w:t xml:space="preserve">A and H shares are not fungible. </w:t>
      </w:r>
      <w:r>
        <w:rPr>
          <w:b w:val="0"/>
        </w:rPr>
        <w:t>There is no conversion mechanism between the two listed lines — standard HKEX prospectus language states they are "neither interchangeable nor fungible". Unlike an ADR against its ordinary share, no share flow can equalise the two prices. The premium is a price of market segmentation, not a mispricing with a closing mechanism.</w:t>
      </w:r>
    </w:p>
    <w:p>
      <w:pPr>
        <w:pStyle w:val="ListBullet"/>
      </w:pPr>
      <w:r>
        <w:rPr>
          <w:b/>
        </w:rPr>
        <w:t xml:space="preserve">Southbound access is the real differentiator. </w:t>
      </w:r>
      <w:r>
        <w:rPr>
          <w:b w:val="0"/>
        </w:rPr>
        <w:t>An IPO whose first-day market cap ranks in the top 10% of Hang Seng Composite constituents joins the index — and Southbound — after its 10th trading day; an A+H issuer's new H line enters once the post-IPO stabilisation window closes, roughly a month (Midea listed 17 Sep 2024 and was in Southbound by 14 Oct 2024; CATL, GigaDevice and Zhongji Innolight followed the same path). An H line below the HK$5bn threshold may never qualify. That is the fork in the road: mega H lines get mainland plus global demand, small H lines get neither.</w:t>
      </w:r>
    </w:p>
    <w:p>
      <w:pPr>
        <w:spacing w:before="260" w:after="80"/>
      </w:pPr>
      <w:r>
        <w:rPr>
          <w:b/>
          <w:color w:val="111111"/>
          <w:sz w:val="28"/>
        </w:rPr>
        <w:t>7. Sector-by-sector read</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880"/>
          </w:tcPr>
          <w:p>
            <w:r/>
            <w:r>
              <w:rPr>
                <w:b/>
                <w:sz w:val="18"/>
              </w:rPr>
              <w:t>Sector</w:t>
            </w:r>
          </w:p>
        </w:tc>
        <w:tc>
          <w:tcPr>
            <w:tcW w:type="dxa" w:w="1296"/>
          </w:tcPr>
          <w:p>
            <w:pPr>
              <w:jc w:val="right"/>
            </w:pPr>
            <w:r/>
            <w:r>
              <w:rPr>
                <w:b/>
                <w:sz w:val="18"/>
              </w:rPr>
              <w:t>Pairs</w:t>
            </w:r>
          </w:p>
        </w:tc>
        <w:tc>
          <w:tcPr>
            <w:tcW w:type="dxa" w:w="2592"/>
          </w:tcPr>
          <w:p>
            <w:pPr>
              <w:jc w:val="right"/>
            </w:pPr>
            <w:r/>
            <w:r>
              <w:rPr>
                <w:b/>
                <w:sz w:val="18"/>
              </w:rPr>
              <w:t>Median premium today</w:t>
            </w:r>
          </w:p>
        </w:tc>
        <w:tc>
          <w:tcPr>
            <w:tcW w:type="dxa" w:w="2304"/>
          </w:tcPr>
          <w:p>
            <w:pPr>
              <w:jc w:val="right"/>
            </w:pPr>
            <w:r/>
            <w:r>
              <w:rPr>
                <w:b/>
                <w:sz w:val="18"/>
              </w:rPr>
              <w:t>Median at IPO</w:t>
            </w:r>
          </w:p>
        </w:tc>
      </w:tr>
      <w:tr>
        <w:tc>
          <w:tcPr>
            <w:tcW w:type="dxa" w:w="2880"/>
          </w:tcPr>
          <w:p>
            <w:r/>
            <w:r>
              <w:rPr>
                <w:sz w:val="18"/>
              </w:rPr>
              <w:t>Financials</w:t>
            </w:r>
          </w:p>
        </w:tc>
        <w:tc>
          <w:tcPr>
            <w:tcW w:type="dxa" w:w="1296"/>
          </w:tcPr>
          <w:p>
            <w:pPr>
              <w:jc w:val="right"/>
            </w:pPr>
            <w:r/>
            <w:r>
              <w:rPr>
                <w:sz w:val="18"/>
              </w:rPr>
              <w:t>1</w:t>
            </w:r>
          </w:p>
        </w:tc>
        <w:tc>
          <w:tcPr>
            <w:tcW w:type="dxa" w:w="2592"/>
          </w:tcPr>
          <w:p>
            <w:pPr>
              <w:jc w:val="right"/>
            </w:pPr>
            <w:r/>
            <w:r>
              <w:rPr>
                <w:sz w:val="18"/>
              </w:rPr>
              <w:t>+104%</w:t>
            </w:r>
          </w:p>
        </w:tc>
        <w:tc>
          <w:tcPr>
            <w:tcW w:type="dxa" w:w="2304"/>
          </w:tcPr>
          <w:p>
            <w:pPr>
              <w:jc w:val="right"/>
            </w:pPr>
            <w:r/>
            <w:r>
              <w:rPr>
                <w:sz w:val="18"/>
              </w:rPr>
              <w:t>+77%</w:t>
            </w:r>
          </w:p>
        </w:tc>
      </w:tr>
      <w:tr>
        <w:tc>
          <w:tcPr>
            <w:tcW w:type="dxa" w:w="2880"/>
          </w:tcPr>
          <w:p>
            <w:r/>
            <w:r>
              <w:rPr>
                <w:sz w:val="18"/>
              </w:rPr>
              <w:t>Industrials</w:t>
            </w:r>
          </w:p>
        </w:tc>
        <w:tc>
          <w:tcPr>
            <w:tcW w:type="dxa" w:w="1296"/>
          </w:tcPr>
          <w:p>
            <w:pPr>
              <w:jc w:val="right"/>
            </w:pPr>
            <w:r/>
            <w:r>
              <w:rPr>
                <w:sz w:val="18"/>
              </w:rPr>
              <w:t>14</w:t>
            </w:r>
          </w:p>
        </w:tc>
        <w:tc>
          <w:tcPr>
            <w:tcW w:type="dxa" w:w="2592"/>
          </w:tcPr>
          <w:p>
            <w:pPr>
              <w:jc w:val="right"/>
            </w:pPr>
            <w:r/>
            <w:r>
              <w:rPr>
                <w:sz w:val="18"/>
              </w:rPr>
              <w:t>+84%</w:t>
            </w:r>
          </w:p>
        </w:tc>
        <w:tc>
          <w:tcPr>
            <w:tcW w:type="dxa" w:w="2304"/>
          </w:tcPr>
          <w:p>
            <w:pPr>
              <w:jc w:val="right"/>
            </w:pPr>
            <w:r/>
            <w:r>
              <w:rPr>
                <w:sz w:val="18"/>
              </w:rPr>
              <w:t>+49%</w:t>
            </w:r>
          </w:p>
        </w:tc>
      </w:tr>
      <w:tr>
        <w:tc>
          <w:tcPr>
            <w:tcW w:type="dxa" w:w="2880"/>
          </w:tcPr>
          <w:p>
            <w:r/>
            <w:r>
              <w:rPr>
                <w:sz w:val="18"/>
              </w:rPr>
              <w:t>Materials/Energy</w:t>
            </w:r>
          </w:p>
        </w:tc>
        <w:tc>
          <w:tcPr>
            <w:tcW w:type="dxa" w:w="1296"/>
          </w:tcPr>
          <w:p>
            <w:pPr>
              <w:jc w:val="right"/>
            </w:pPr>
            <w:r/>
            <w:r>
              <w:rPr>
                <w:sz w:val="18"/>
              </w:rPr>
              <w:t>4</w:t>
            </w:r>
          </w:p>
        </w:tc>
        <w:tc>
          <w:tcPr>
            <w:tcW w:type="dxa" w:w="2592"/>
          </w:tcPr>
          <w:p>
            <w:pPr>
              <w:jc w:val="right"/>
            </w:pPr>
            <w:r/>
            <w:r>
              <w:rPr>
                <w:sz w:val="18"/>
              </w:rPr>
              <w:t>+71%</w:t>
            </w:r>
          </w:p>
        </w:tc>
        <w:tc>
          <w:tcPr>
            <w:tcW w:type="dxa" w:w="2304"/>
          </w:tcPr>
          <w:p>
            <w:pPr>
              <w:jc w:val="right"/>
            </w:pPr>
            <w:r/>
            <w:r>
              <w:rPr>
                <w:sz w:val="18"/>
              </w:rPr>
              <w:t>+70%</w:t>
            </w:r>
          </w:p>
        </w:tc>
      </w:tr>
      <w:tr>
        <w:tc>
          <w:tcPr>
            <w:tcW w:type="dxa" w:w="2880"/>
          </w:tcPr>
          <w:p>
            <w:r/>
            <w:r>
              <w:rPr>
                <w:sz w:val="18"/>
              </w:rPr>
              <w:t>Healthcare</w:t>
            </w:r>
          </w:p>
        </w:tc>
        <w:tc>
          <w:tcPr>
            <w:tcW w:type="dxa" w:w="1296"/>
          </w:tcPr>
          <w:p>
            <w:pPr>
              <w:jc w:val="right"/>
            </w:pPr>
            <w:r/>
            <w:r>
              <w:rPr>
                <w:sz w:val="18"/>
              </w:rPr>
              <w:t>6</w:t>
            </w:r>
          </w:p>
        </w:tc>
        <w:tc>
          <w:tcPr>
            <w:tcW w:type="dxa" w:w="2592"/>
          </w:tcPr>
          <w:p>
            <w:pPr>
              <w:jc w:val="right"/>
            </w:pPr>
            <w:r/>
            <w:r>
              <w:rPr>
                <w:sz w:val="18"/>
              </w:rPr>
              <w:t>+70%</w:t>
            </w:r>
          </w:p>
        </w:tc>
        <w:tc>
          <w:tcPr>
            <w:tcW w:type="dxa" w:w="2304"/>
          </w:tcPr>
          <w:p>
            <w:pPr>
              <w:jc w:val="right"/>
            </w:pPr>
            <w:r/>
            <w:r>
              <w:rPr>
                <w:sz w:val="18"/>
              </w:rPr>
              <w:t>+51%</w:t>
            </w:r>
          </w:p>
        </w:tc>
      </w:tr>
      <w:tr>
        <w:tc>
          <w:tcPr>
            <w:tcW w:type="dxa" w:w="2880"/>
          </w:tcPr>
          <w:p>
            <w:r/>
            <w:r>
              <w:rPr>
                <w:sz w:val="18"/>
              </w:rPr>
              <w:t>Tech/AI</w:t>
            </w:r>
          </w:p>
        </w:tc>
        <w:tc>
          <w:tcPr>
            <w:tcW w:type="dxa" w:w="1296"/>
          </w:tcPr>
          <w:p>
            <w:pPr>
              <w:jc w:val="right"/>
            </w:pPr>
            <w:r/>
            <w:r>
              <w:rPr>
                <w:sz w:val="18"/>
              </w:rPr>
              <w:t>28</w:t>
            </w:r>
          </w:p>
        </w:tc>
        <w:tc>
          <w:tcPr>
            <w:tcW w:type="dxa" w:w="2592"/>
          </w:tcPr>
          <w:p>
            <w:pPr>
              <w:jc w:val="right"/>
            </w:pPr>
            <w:r/>
            <w:r>
              <w:rPr>
                <w:sz w:val="18"/>
              </w:rPr>
              <w:t>+52%</w:t>
            </w:r>
          </w:p>
        </w:tc>
        <w:tc>
          <w:tcPr>
            <w:tcW w:type="dxa" w:w="2304"/>
          </w:tcPr>
          <w:p>
            <w:pPr>
              <w:jc w:val="right"/>
            </w:pPr>
            <w:r/>
            <w:r>
              <w:rPr>
                <w:sz w:val="18"/>
              </w:rPr>
              <w:t>+71%</w:t>
            </w:r>
          </w:p>
        </w:tc>
      </w:tr>
      <w:tr>
        <w:tc>
          <w:tcPr>
            <w:tcW w:type="dxa" w:w="2880"/>
          </w:tcPr>
          <w:p>
            <w:r/>
            <w:r>
              <w:rPr>
                <w:sz w:val="18"/>
              </w:rPr>
              <w:t>Consumer</w:t>
            </w:r>
          </w:p>
        </w:tc>
        <w:tc>
          <w:tcPr>
            <w:tcW w:type="dxa" w:w="1296"/>
          </w:tcPr>
          <w:p>
            <w:pPr>
              <w:jc w:val="right"/>
            </w:pPr>
            <w:r/>
            <w:r>
              <w:rPr>
                <w:sz w:val="18"/>
              </w:rPr>
              <w:t>8</w:t>
            </w:r>
          </w:p>
        </w:tc>
        <w:tc>
          <w:tcPr>
            <w:tcW w:type="dxa" w:w="2592"/>
          </w:tcPr>
          <w:p>
            <w:pPr>
              <w:jc w:val="right"/>
            </w:pPr>
            <w:r/>
            <w:r>
              <w:rPr>
                <w:sz w:val="18"/>
              </w:rPr>
              <w:t>+40%</w:t>
            </w:r>
          </w:p>
        </w:tc>
        <w:tc>
          <w:tcPr>
            <w:tcW w:type="dxa" w:w="2304"/>
          </w:tcPr>
          <w:p>
            <w:pPr>
              <w:jc w:val="right"/>
            </w:pPr>
            <w:r/>
            <w:r>
              <w:rPr>
                <w:sz w:val="18"/>
              </w:rPr>
              <w:t>+31%</w:t>
            </w:r>
          </w:p>
        </w:tc>
      </w:tr>
    </w:tbl>
    <w:p>
      <w:pPr>
        <w:spacing w:after="40"/>
      </w:pPr>
    </w:p>
    <w:p>
      <w:pPr>
        <w:pStyle w:val="ListBullet"/>
      </w:pPr>
      <w:r>
        <w:rPr>
          <w:i w:val="0"/>
          <w:sz w:val="21"/>
        </w:rPr>
        <w:t>Tech/AI is the barbell and the most instructive sector: the same label contains semiconductor and optics mega-caps trading at or below parity (Montage, GigaDevice, Zhongji Innolight — the AI-capex names global funds must own) and module/device mid-caps at +150% to +190% (Fibocom, MEIG, NSing). Identical sector, opposite ownership base.</w:t>
      </w:r>
    </w:p>
    <w:p>
      <w:pPr>
        <w:pStyle w:val="ListBullet"/>
      </w:pPr>
      <w:r>
        <w:rPr>
          <w:i w:val="0"/>
          <w:sz w:val="21"/>
        </w:rPr>
        <w:t>Industrials carries the book's ceiling — machinery, robotics and solar theme names, with Hans CNC at +232%. SANY at +17% is the exception that proves the rule: it is the mega-cap with genuine global revenue.</w:t>
      </w:r>
    </w:p>
    <w:p>
      <w:pPr>
        <w:pStyle w:val="ListBullet"/>
      </w:pPr>
      <w:r>
        <w:rPr>
          <w:i w:val="0"/>
          <w:sz w:val="21"/>
        </w:rPr>
        <w:t>Healthcare splits by stage: pre-revenue 18A names around +101% (Biocytogen +144%, where a STAR biotech culture meets a thin H float) against CXO/pharma services near +95%.</w:t>
      </w:r>
    </w:p>
    <w:p>
      <w:pPr>
        <w:pStyle w:val="ListBullet"/>
      </w:pPr>
      <w:r>
        <w:rPr>
          <w:i w:val="0"/>
          <w:sz w:val="21"/>
        </w:rPr>
        <w:t>Consumer is the tightest sector in the book — brands international investors understand and can underwrite, with deep Southbound sponsorship.</w:t>
      </w:r>
    </w:p>
    <w:p>
      <w:pPr>
        <w:pStyle w:val="ListBullet"/>
      </w:pPr>
      <w:r>
        <w:rPr>
          <w:i w:val="0"/>
          <w:sz w:val="21"/>
        </w:rPr>
        <w:t>Materials/Energy divides cleanly: chemicals rich (Befar +141%), miners tight (+40%), because miners are priced off globally-quoted commodities.</w:t>
      </w:r>
    </w:p>
    <w:p>
      <w:pPr>
        <w:pStyle w:val="ListBullet"/>
      </w:pPr>
      <w:r>
        <w:rPr>
          <w:i w:val="0"/>
          <w:sz w:val="21"/>
        </w:rPr>
        <w:t>Financials is a single pair in our IPO book and not meaningful on its own; in the wider universe bank pairs sit near the market median despite enormous size — the one place the size rule bends, since A-share bank lines are retail yield favourites while H bank lines are priced as value traps.</w:t>
      </w:r>
    </w:p>
    <w:p>
      <w:pPr/>
      <w:r>
        <w:rPr>
          <w:b/>
          <w:color w:val="111111"/>
          <w:sz w:val="28"/>
        </w:rPr>
        <w:t>8. The outside view: what the literature and the street say</w:t>
      </w:r>
    </w:p>
    <w:p>
      <w:pPr/>
      <w:r>
        <w:rPr>
          <w:sz w:val="21"/>
        </w:rPr>
        <w:t>The external evidence lines up with the size-and-ownership read, and adds one mechanism this note had not priced. Academic work finds the premium widest for smaller, high-beta, low-priced, retail-favoured and state-owned names, with the cap-weighted premium (~45%) far below the equal-weighted (~100%) — size again (Rayliant). Liquidity differences alone explain roughly a third of the cross-section (Liu, Wu &amp; Zhu 2025) — and liquidity is size's twin. NYU's Carpenter, Whitelaw &amp; Zou find the H price is the efficient leg and that the A tends to converge toward the H, not the reverse — which supports pricing A+H IPOs off the H line, and warns against reading the A as fair value. The speculation literature (Emerging Markets Review 2020) is our thematics section in academic form. On 2025's compression, strategists credit record Southbound buying (&gt;HK$730bn net in H1 2025; the Hang Seng AH Premium Index at ~120, a five-year low) and the A+H wave itself listing onshore leaders offshore at near-A valuations.</w:t>
      </w:r>
    </w:p>
    <w:p>
      <w:pPr/>
      <w:r>
        <w:rPr>
          <w:sz w:val="21"/>
        </w:rPr>
        <w:t>The mechanism we had not priced: dividend tax. Southbound investors pay 20% on H-share dividends (28% for red chips), while mainland individuals holding A-shares over a year pay nothing — which is why ~125 on the AH Premium Index was long treated as a structural floor: below it, the H line's yield advantage dies after tax for the marginal mainland buyer. That floor broke in 2025 on the Southbound flood, and a rumoured southbound dividend-tax cut is the standing catalyst that would re-rate high-yield H lines further. For our book this matters most for the bank/high-dividend pairs — it is a floor argument for premiums, not a driver of the growth names.</w:t>
      </w:r>
    </w:p>
    <w:p>
      <w:pPr/>
      <w:r>
        <w:rPr>
          <w:b/>
          <w:color w:val="111111"/>
          <w:sz w:val="28"/>
        </w:rPr>
        <w:t>9. Ingenic (3223 HK): a live test of the framework</w:t>
      </w:r>
    </w:p>
    <w:p>
      <w:pPr/>
      <w:r>
        <w:rPr>
          <w:sz w:val="21"/>
        </w:rPr>
        <w:t>Ingenic Semiconductor — the ChiNext CPU/analogue house whose real asset is ISSI, the US-based automotive and industrial memory franchise it acquired in 2020 — listed its H line on 25 August 2026 at HK$102.80 (73× subscribed), closed day one at HK$95.30, and trades HK$101.10 on day three. Against the A close of RMB140.48 that is an A-over-H premium of roughly +51%, on a market cap around HK$77bn — upper large band, where the book's median is +81%.</w:t>
      </w:r>
    </w:p>
    <w:p>
      <w:pPr/>
      <w:r>
        <w:rPr>
          <w:sz w:val="21"/>
        </w:rPr>
        <w:t>The framework scores it like this. Size says +81%; the chips-lane overseas gradient says much tighter — Ingenic's overseas share is above 60% and, unlike the billing-basis names, it is real end-demand overseas revenue (ISSI sells to global auto and industrial customers against Micron and Infineon comparables). That puts it on the global-ownership side of the lane, between OmniVision (+32%) and the domestic-theme names, and well inside the band median — which is exactly where it opened. Prediction: the H enters Southbound via the A+H route once stabilisation closes (the Midea/CATL path, roughly late September), and the premium settles in the +30–55% range — compression from +51% toward the OmniVision mark as Southbound and global semis money bid the H, but no run at Montage/GigaDevice parity: at HK$77bn it is not a mega, and the A line keeps its domestic-substitution retail bid at ~100× trailing earnings. Two watch-items: the H float (~HK$3.2bn) is far below the HK$20bn fast-track test, so the line will not be shortable before a quarterly designation review at the earliest — early premium stickiness — and the 28 August A-share earnings print moves the A leg, not the H.</w:t>
      </w:r>
    </w:p>
    <w:p>
      <w:pPr/>
      <w:r>
        <w:rPr>
          <w:sz w:val="21"/>
        </w:rPr>
        <w:t>Does a global investor think the H deserves to close the gap? Marked against the books foreigners actually run, the answer is no on arithmetic. At HK$101.10 the whole company is valued at ~HK$51bn off the H line — 76× trailing earnings and 9.0× trailing sales on FY2025 numbers (revenue +23%, net margin 11.9%). The global memory cohort is in a violent earnings upcycle and trades at a fraction of that per unit of profit: Micron at 21× trailing and 6.5× forward with TTM net income up ~700%, Winbond — the closest listed comp to ISSI's specialty-memory niche — at 21× trailing and 4.3× forward after +559% earnings growth, NXP (the auto-semis wallet) at 19×. Ingenic's earnings have not exploded with the cycle, because legacy auto and industrial memory has lagged the AI-driven DRAM squeeze. No global fund will underwrite the H on multiples.</w:t>
      </w:r>
    </w:p>
    <w:tbl>
      <w:tblPr>
        <w:tblStyle w:val="LightGrid-Accent1"/>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b/>
                <w:sz w:val="19"/>
              </w:rPr>
              <w:t>Name</w:t>
            </w:r>
          </w:p>
        </w:tc>
        <w:tc>
          <w:tcPr>
            <w:tcW w:type="dxa" w:w="1399"/>
          </w:tcPr>
          <w:p>
            <w:r/>
            <w:r>
              <w:rPr>
                <w:b/>
                <w:sz w:val="19"/>
              </w:rPr>
              <w:t>Where</w:t>
            </w:r>
          </w:p>
        </w:tc>
        <w:tc>
          <w:tcPr>
            <w:tcW w:type="dxa" w:w="1399"/>
          </w:tcPr>
          <w:p>
            <w:r/>
            <w:r>
              <w:rPr>
                <w:b/>
                <w:sz w:val="19"/>
              </w:rPr>
              <w:t>Mkt cap</w:t>
            </w:r>
          </w:p>
        </w:tc>
        <w:tc>
          <w:tcPr>
            <w:tcW w:type="dxa" w:w="1399"/>
          </w:tcPr>
          <w:p>
            <w:r/>
            <w:r>
              <w:rPr>
                <w:b/>
                <w:sz w:val="19"/>
              </w:rPr>
              <w:t>P/E trl</w:t>
            </w:r>
          </w:p>
        </w:tc>
        <w:tc>
          <w:tcPr>
            <w:tcW w:type="dxa" w:w="1399"/>
          </w:tcPr>
          <w:p>
            <w:r/>
            <w:r>
              <w:rPr>
                <w:b/>
                <w:sz w:val="19"/>
              </w:rPr>
              <w:t>P/E fwd</w:t>
            </w:r>
          </w:p>
        </w:tc>
        <w:tc>
          <w:tcPr>
            <w:tcW w:type="dxa" w:w="1399"/>
          </w:tcPr>
          <w:p>
            <w:r/>
            <w:r>
              <w:rPr>
                <w:b/>
                <w:sz w:val="19"/>
              </w:rPr>
              <w:t>P/S trl</w:t>
            </w:r>
          </w:p>
        </w:tc>
        <w:tc>
          <w:tcPr>
            <w:tcW w:type="dxa" w:w="1399"/>
          </w:tcPr>
          <w:p>
            <w:r/>
            <w:r>
              <w:rPr>
                <w:b/>
                <w:sz w:val="19"/>
              </w:rPr>
              <w:t>Rev growth</w:t>
            </w:r>
          </w:p>
        </w:tc>
      </w:tr>
      <w:tr>
        <w:tc>
          <w:tcPr>
            <w:tcW w:type="dxa" w:w="1399"/>
          </w:tcPr>
          <w:p>
            <w:r/>
            <w:r>
              <w:rPr>
                <w:b w:val="0"/>
                <w:sz w:val="19"/>
              </w:rPr>
              <w:t>INGENIC (at H price)</w:t>
            </w:r>
          </w:p>
        </w:tc>
        <w:tc>
          <w:tcPr>
            <w:tcW w:type="dxa" w:w="1399"/>
          </w:tcPr>
          <w:p>
            <w:r/>
            <w:r>
              <w:rPr>
                <w:b w:val="0"/>
                <w:sz w:val="19"/>
              </w:rPr>
              <w:t>3223 HK</w:t>
            </w:r>
          </w:p>
        </w:tc>
        <w:tc>
          <w:tcPr>
            <w:tcW w:type="dxa" w:w="1399"/>
          </w:tcPr>
          <w:p>
            <w:r/>
            <w:r>
              <w:rPr>
                <w:b w:val="0"/>
                <w:sz w:val="19"/>
              </w:rPr>
              <w:t>HK$51bn</w:t>
            </w:r>
          </w:p>
        </w:tc>
        <w:tc>
          <w:tcPr>
            <w:tcW w:type="dxa" w:w="1399"/>
          </w:tcPr>
          <w:p>
            <w:r/>
            <w:r>
              <w:rPr>
                <w:b w:val="0"/>
                <w:sz w:val="19"/>
              </w:rPr>
              <w:t>76x</w:t>
            </w:r>
          </w:p>
        </w:tc>
        <w:tc>
          <w:tcPr>
            <w:tcW w:type="dxa" w:w="1399"/>
          </w:tcPr>
          <w:p>
            <w:r/>
            <w:r>
              <w:rPr>
                <w:b w:val="0"/>
                <w:sz w:val="19"/>
              </w:rPr>
              <w:t>—</w:t>
            </w:r>
          </w:p>
        </w:tc>
        <w:tc>
          <w:tcPr>
            <w:tcW w:type="dxa" w:w="1399"/>
          </w:tcPr>
          <w:p>
            <w:r/>
            <w:r>
              <w:rPr>
                <w:b w:val="0"/>
                <w:sz w:val="19"/>
              </w:rPr>
              <w:t>9.0x</w:t>
            </w:r>
          </w:p>
        </w:tc>
        <w:tc>
          <w:tcPr>
            <w:tcW w:type="dxa" w:w="1399"/>
          </w:tcPr>
          <w:p>
            <w:r/>
            <w:r>
              <w:rPr>
                <w:b w:val="0"/>
                <w:sz w:val="19"/>
              </w:rPr>
              <w:t>+23% FY25</w:t>
            </w:r>
          </w:p>
        </w:tc>
      </w:tr>
      <w:tr>
        <w:tc>
          <w:tcPr>
            <w:tcW w:type="dxa" w:w="1399"/>
          </w:tcPr>
          <w:p>
            <w:r/>
            <w:r>
              <w:rPr>
                <w:b w:val="0"/>
                <w:sz w:val="19"/>
              </w:rPr>
              <w:t>GigaDevice (H)</w:t>
            </w:r>
          </w:p>
        </w:tc>
        <w:tc>
          <w:tcPr>
            <w:tcW w:type="dxa" w:w="1399"/>
          </w:tcPr>
          <w:p>
            <w:r/>
            <w:r>
              <w:rPr>
                <w:b w:val="0"/>
                <w:sz w:val="19"/>
              </w:rPr>
              <w:t>3986 HK</w:t>
            </w:r>
          </w:p>
        </w:tc>
        <w:tc>
          <w:tcPr>
            <w:tcW w:type="dxa" w:w="1399"/>
          </w:tcPr>
          <w:p>
            <w:r/>
            <w:r>
              <w:rPr>
                <w:b w:val="0"/>
                <w:sz w:val="19"/>
              </w:rPr>
              <w:t>HK$322bn</w:t>
            </w:r>
          </w:p>
        </w:tc>
        <w:tc>
          <w:tcPr>
            <w:tcW w:type="dxa" w:w="1399"/>
          </w:tcPr>
          <w:p>
            <w:r/>
            <w:r>
              <w:rPr>
                <w:b w:val="0"/>
                <w:sz w:val="19"/>
              </w:rPr>
              <w:t>35x</w:t>
            </w:r>
          </w:p>
        </w:tc>
        <w:tc>
          <w:tcPr>
            <w:tcW w:type="dxa" w:w="1399"/>
          </w:tcPr>
          <w:p>
            <w:r/>
            <w:r>
              <w:rPr>
                <w:b w:val="0"/>
                <w:sz w:val="19"/>
              </w:rPr>
              <w:t>25x</w:t>
            </w:r>
          </w:p>
        </w:tc>
        <w:tc>
          <w:tcPr>
            <w:tcW w:type="dxa" w:w="1399"/>
          </w:tcPr>
          <w:p>
            <w:r/>
            <w:r>
              <w:rPr>
                <w:b w:val="0"/>
                <w:sz w:val="19"/>
              </w:rPr>
              <w:t>~32x</w:t>
            </w:r>
          </w:p>
        </w:tc>
        <w:tc>
          <w:tcPr>
            <w:tcW w:type="dxa" w:w="1399"/>
          </w:tcPr>
          <w:p>
            <w:r/>
            <w:r>
              <w:rPr>
                <w:b w:val="0"/>
                <w:sz w:val="19"/>
              </w:rPr>
              <w:t>+25% FY25</w:t>
            </w:r>
          </w:p>
        </w:tc>
      </w:tr>
      <w:tr>
        <w:tc>
          <w:tcPr>
            <w:tcW w:type="dxa" w:w="1399"/>
          </w:tcPr>
          <w:p>
            <w:r/>
            <w:r>
              <w:rPr>
                <w:b w:val="0"/>
                <w:sz w:val="19"/>
              </w:rPr>
              <w:t>Montage (H)</w:t>
            </w:r>
          </w:p>
        </w:tc>
        <w:tc>
          <w:tcPr>
            <w:tcW w:type="dxa" w:w="1399"/>
          </w:tcPr>
          <w:p>
            <w:r/>
            <w:r>
              <w:rPr>
                <w:b w:val="0"/>
                <w:sz w:val="19"/>
              </w:rPr>
              <w:t>6809 HK</w:t>
            </w:r>
          </w:p>
        </w:tc>
        <w:tc>
          <w:tcPr>
            <w:tcW w:type="dxa" w:w="1399"/>
          </w:tcPr>
          <w:p>
            <w:r/>
            <w:r>
              <w:rPr>
                <w:b w:val="0"/>
                <w:sz w:val="19"/>
              </w:rPr>
              <w:t>HK$315bn</w:t>
            </w:r>
          </w:p>
        </w:tc>
        <w:tc>
          <w:tcPr>
            <w:tcW w:type="dxa" w:w="1399"/>
          </w:tcPr>
          <w:p>
            <w:r/>
            <w:r>
              <w:rPr>
                <w:b w:val="0"/>
                <w:sz w:val="19"/>
              </w:rPr>
              <w:t>108x</w:t>
            </w:r>
          </w:p>
        </w:tc>
        <w:tc>
          <w:tcPr>
            <w:tcW w:type="dxa" w:w="1399"/>
          </w:tcPr>
          <w:p>
            <w:r/>
            <w:r>
              <w:rPr>
                <w:b w:val="0"/>
                <w:sz w:val="19"/>
              </w:rPr>
              <w:t>72x</w:t>
            </w:r>
          </w:p>
        </w:tc>
        <w:tc>
          <w:tcPr>
            <w:tcW w:type="dxa" w:w="1399"/>
          </w:tcPr>
          <w:p>
            <w:r/>
            <w:r>
              <w:rPr>
                <w:b w:val="0"/>
                <w:sz w:val="19"/>
              </w:rPr>
              <w:t>~45x</w:t>
            </w:r>
          </w:p>
        </w:tc>
        <w:tc>
          <w:tcPr>
            <w:tcW w:type="dxa" w:w="1399"/>
          </w:tcPr>
          <w:p>
            <w:r/>
            <w:r>
              <w:rPr>
                <w:b w:val="0"/>
                <w:sz w:val="19"/>
              </w:rPr>
              <w:t>+38% TTM</w:t>
            </w:r>
          </w:p>
        </w:tc>
      </w:tr>
      <w:tr>
        <w:tc>
          <w:tcPr>
            <w:tcW w:type="dxa" w:w="1399"/>
          </w:tcPr>
          <w:p>
            <w:r/>
            <w:r>
              <w:rPr>
                <w:b w:val="0"/>
                <w:sz w:val="19"/>
              </w:rPr>
              <w:t>Micron</w:t>
            </w:r>
          </w:p>
        </w:tc>
        <w:tc>
          <w:tcPr>
            <w:tcW w:type="dxa" w:w="1399"/>
          </w:tcPr>
          <w:p>
            <w:r/>
            <w:r>
              <w:rPr>
                <w:b w:val="0"/>
                <w:sz w:val="19"/>
              </w:rPr>
              <w:t>MU US</w:t>
            </w:r>
          </w:p>
        </w:tc>
        <w:tc>
          <w:tcPr>
            <w:tcW w:type="dxa" w:w="1399"/>
          </w:tcPr>
          <w:p>
            <w:r/>
            <w:r>
              <w:rPr>
                <w:b w:val="0"/>
                <w:sz w:val="19"/>
              </w:rPr>
              <w:t>US$1.06tn</w:t>
            </w:r>
          </w:p>
        </w:tc>
        <w:tc>
          <w:tcPr>
            <w:tcW w:type="dxa" w:w="1399"/>
          </w:tcPr>
          <w:p>
            <w:r/>
            <w:r>
              <w:rPr>
                <w:b w:val="0"/>
                <w:sz w:val="19"/>
              </w:rPr>
              <w:t>21x</w:t>
            </w:r>
          </w:p>
        </w:tc>
        <w:tc>
          <w:tcPr>
            <w:tcW w:type="dxa" w:w="1399"/>
          </w:tcPr>
          <w:p>
            <w:r/>
            <w:r>
              <w:rPr>
                <w:b w:val="0"/>
                <w:sz w:val="19"/>
              </w:rPr>
              <w:t>6.5x</w:t>
            </w:r>
          </w:p>
        </w:tc>
        <w:tc>
          <w:tcPr>
            <w:tcW w:type="dxa" w:w="1399"/>
          </w:tcPr>
          <w:p>
            <w:r/>
            <w:r>
              <w:rPr>
                <w:b w:val="0"/>
                <w:sz w:val="19"/>
              </w:rPr>
              <w:t>11.7x</w:t>
            </w:r>
          </w:p>
        </w:tc>
        <w:tc>
          <w:tcPr>
            <w:tcW w:type="dxa" w:w="1399"/>
          </w:tcPr>
          <w:p>
            <w:r/>
            <w:r>
              <w:rPr>
                <w:b w:val="0"/>
                <w:sz w:val="19"/>
              </w:rPr>
              <w:t>+167% TTM</w:t>
            </w:r>
          </w:p>
        </w:tc>
      </w:tr>
      <w:tr>
        <w:tc>
          <w:tcPr>
            <w:tcW w:type="dxa" w:w="1399"/>
          </w:tcPr>
          <w:p>
            <w:r/>
            <w:r>
              <w:rPr>
                <w:b w:val="0"/>
                <w:sz w:val="19"/>
              </w:rPr>
              <w:t>Winbond</w:t>
            </w:r>
          </w:p>
        </w:tc>
        <w:tc>
          <w:tcPr>
            <w:tcW w:type="dxa" w:w="1399"/>
          </w:tcPr>
          <w:p>
            <w:r/>
            <w:r>
              <w:rPr>
                <w:b w:val="0"/>
                <w:sz w:val="19"/>
              </w:rPr>
              <w:t>2344 TT</w:t>
            </w:r>
          </w:p>
        </w:tc>
        <w:tc>
          <w:tcPr>
            <w:tcW w:type="dxa" w:w="1399"/>
          </w:tcPr>
          <w:p>
            <w:r/>
            <w:r>
              <w:rPr>
                <w:b w:val="0"/>
                <w:sz w:val="19"/>
              </w:rPr>
              <w:t>TWD837bn</w:t>
            </w:r>
          </w:p>
        </w:tc>
        <w:tc>
          <w:tcPr>
            <w:tcW w:type="dxa" w:w="1399"/>
          </w:tcPr>
          <w:p>
            <w:r/>
            <w:r>
              <w:rPr>
                <w:b w:val="0"/>
                <w:sz w:val="19"/>
              </w:rPr>
              <w:t>21x</w:t>
            </w:r>
          </w:p>
        </w:tc>
        <w:tc>
          <w:tcPr>
            <w:tcW w:type="dxa" w:w="1399"/>
          </w:tcPr>
          <w:p>
            <w:r/>
            <w:r>
              <w:rPr>
                <w:b w:val="0"/>
                <w:sz w:val="19"/>
              </w:rPr>
              <w:t>4.3x</w:t>
            </w:r>
          </w:p>
        </w:tc>
        <w:tc>
          <w:tcPr>
            <w:tcW w:type="dxa" w:w="1399"/>
          </w:tcPr>
          <w:p>
            <w:r/>
            <w:r>
              <w:rPr>
                <w:b w:val="0"/>
                <w:sz w:val="19"/>
              </w:rPr>
              <w:t>5.7x</w:t>
            </w:r>
          </w:p>
        </w:tc>
        <w:tc>
          <w:tcPr>
            <w:tcW w:type="dxa" w:w="1399"/>
          </w:tcPr>
          <w:p>
            <w:r/>
            <w:r>
              <w:rPr>
                <w:b w:val="0"/>
                <w:sz w:val="19"/>
              </w:rPr>
              <w:t>+81% TTM</w:t>
            </w:r>
          </w:p>
        </w:tc>
      </w:tr>
      <w:tr>
        <w:tc>
          <w:tcPr>
            <w:tcW w:type="dxa" w:w="1399"/>
          </w:tcPr>
          <w:p>
            <w:r/>
            <w:r>
              <w:rPr>
                <w:b w:val="0"/>
                <w:sz w:val="19"/>
              </w:rPr>
              <w:t>NXP</w:t>
            </w:r>
          </w:p>
        </w:tc>
        <w:tc>
          <w:tcPr>
            <w:tcW w:type="dxa" w:w="1399"/>
          </w:tcPr>
          <w:p>
            <w:r/>
            <w:r>
              <w:rPr>
                <w:b w:val="0"/>
                <w:sz w:val="19"/>
              </w:rPr>
              <w:t>NXPI US</w:t>
            </w:r>
          </w:p>
        </w:tc>
        <w:tc>
          <w:tcPr>
            <w:tcW w:type="dxa" w:w="1399"/>
          </w:tcPr>
          <w:p>
            <w:r/>
            <w:r>
              <w:rPr>
                <w:b w:val="0"/>
                <w:sz w:val="19"/>
              </w:rPr>
              <w:t>US$56bn</w:t>
            </w:r>
          </w:p>
        </w:tc>
        <w:tc>
          <w:tcPr>
            <w:tcW w:type="dxa" w:w="1399"/>
          </w:tcPr>
          <w:p>
            <w:r/>
            <w:r>
              <w:rPr>
                <w:b w:val="0"/>
                <w:sz w:val="19"/>
              </w:rPr>
              <w:t>19x</w:t>
            </w:r>
          </w:p>
        </w:tc>
        <w:tc>
          <w:tcPr>
            <w:tcW w:type="dxa" w:w="1399"/>
          </w:tcPr>
          <w:p>
            <w:r/>
            <w:r>
              <w:rPr>
                <w:b w:val="0"/>
                <w:sz w:val="19"/>
              </w:rPr>
              <w:t>13.3x</w:t>
            </w:r>
          </w:p>
        </w:tc>
        <w:tc>
          <w:tcPr>
            <w:tcW w:type="dxa" w:w="1399"/>
          </w:tcPr>
          <w:p>
            <w:r/>
            <w:r>
              <w:rPr>
                <w:b w:val="0"/>
                <w:sz w:val="19"/>
              </w:rPr>
              <w:t>4.3x</w:t>
            </w:r>
          </w:p>
        </w:tc>
        <w:tc>
          <w:tcPr>
            <w:tcW w:type="dxa" w:w="1399"/>
          </w:tcPr>
          <w:p>
            <w:r/>
            <w:r>
              <w:rPr>
                <w:b w:val="0"/>
                <w:sz w:val="19"/>
              </w:rPr>
              <w:t>+9% TTM</w:t>
            </w:r>
          </w:p>
        </w:tc>
      </w:tr>
      <w:tr>
        <w:tc>
          <w:tcPr>
            <w:tcW w:type="dxa" w:w="1399"/>
          </w:tcPr>
          <w:p>
            <w:r/>
            <w:r>
              <w:rPr>
                <w:b w:val="0"/>
                <w:sz w:val="19"/>
              </w:rPr>
              <w:t>Ambarella</w:t>
            </w:r>
          </w:p>
        </w:tc>
        <w:tc>
          <w:tcPr>
            <w:tcW w:type="dxa" w:w="1399"/>
          </w:tcPr>
          <w:p>
            <w:r/>
            <w:r>
              <w:rPr>
                <w:b w:val="0"/>
                <w:sz w:val="19"/>
              </w:rPr>
              <w:t>AMBA US</w:t>
            </w:r>
          </w:p>
        </w:tc>
        <w:tc>
          <w:tcPr>
            <w:tcW w:type="dxa" w:w="1399"/>
          </w:tcPr>
          <w:p>
            <w:r/>
            <w:r>
              <w:rPr>
                <w:b w:val="0"/>
                <w:sz w:val="19"/>
              </w:rPr>
              <w:t>US$3.1bn</w:t>
            </w:r>
          </w:p>
        </w:tc>
        <w:tc>
          <w:tcPr>
            <w:tcW w:type="dxa" w:w="1399"/>
          </w:tcPr>
          <w:p>
            <w:r/>
            <w:r>
              <w:rPr>
                <w:b w:val="0"/>
                <w:sz w:val="19"/>
              </w:rPr>
              <w:t>n.m.</w:t>
            </w:r>
          </w:p>
        </w:tc>
        <w:tc>
          <w:tcPr>
            <w:tcW w:type="dxa" w:w="1399"/>
          </w:tcPr>
          <w:p>
            <w:r/>
            <w:r>
              <w:rPr>
                <w:b w:val="0"/>
                <w:sz w:val="19"/>
              </w:rPr>
              <w:t>—</w:t>
            </w:r>
          </w:p>
        </w:tc>
        <w:tc>
          <w:tcPr>
            <w:tcW w:type="dxa" w:w="1399"/>
          </w:tcPr>
          <w:p>
            <w:r/>
            <w:r>
              <w:rPr>
                <w:b w:val="0"/>
                <w:sz w:val="19"/>
              </w:rPr>
              <w:t>7.8x</w:t>
            </w:r>
          </w:p>
        </w:tc>
        <w:tc>
          <w:tcPr>
            <w:tcW w:type="dxa" w:w="1399"/>
          </w:tcPr>
          <w:p>
            <w:r/>
            <w:r>
              <w:rPr>
                <w:b w:val="0"/>
                <w:sz w:val="19"/>
              </w:rPr>
              <w:t>+37% FY26</w:t>
            </w:r>
          </w:p>
        </w:tc>
      </w:tr>
    </w:tbl>
    <w:p>
      <w:pPr/>
      <w:r>
        <w:rPr>
          <w:i/>
          <w:color w:val="5B5B57"/>
          <w:sz w:val="18"/>
        </w:rPr>
        <w:t>Priced 26–27 August 2026. Ingenic multiples are the whole company valued at the H price (504m shares × HK$101.10 equivalent) on FY2025 financials; A-price equivalents are 114× / 13.5×.</w:t>
      </w:r>
    </w:p>
    <w:p>
      <w:pPr/>
      <w:r>
        <w:rPr>
          <w:sz w:val="21"/>
        </w:rPr>
        <w:t>But that is the wrong benchmark for what actually bids the H — and the right one explains both the discount to A and its floor. The China semis cohort listed in Hong Kong is priced as strategic scarcity, not on arithmetic: Montage at 108× trailing (72× forward) as the “rising China champion for AI” with Bernstein and Goldman initiations, GigaDevice at 35× (25× forward). Inside that cohort Ingenic's 76× with the weakest growth of the three is mid-pack at best — cheaper than Montage, dearer than GigaDevice, and the cheapest of the three on sales (9× vs ~32×/~45×) only because its margin is a third of theirs. So the H premium question resolves to a label: as long as Ingenic is “a China semis name with a US subsidiary”, the H is relative-value inside the HK cohort and the +30–55% settle range stands. The H re-rates toward the A only if ISSI earns the champion label — the bull case being legacy-node consolidation: if Micron and Samsung keep walking away from auto/industrial DRAM while the upcycle broadens beyond AI parts, ISSI's earnings inflect and the H gets underwritten on numbers, the way Montage and GigaDevice were. The 28 August interim print is the first read on whether the cycle has reached ISSI's niche.</w:t>
      </w:r>
    </w:p>
    <w:p>
      <w:pPr>
        <w:spacing w:before="260" w:after="80"/>
      </w:pPr>
      <w:r>
        <w:rPr>
          <w:b/>
          <w:color w:val="5B5B57"/>
          <w:sz w:val="24"/>
        </w:rPr>
        <w:t>Method and provenance</w:t>
      </w:r>
    </w:p>
    <w:p>
      <w:r>
        <w:rPr>
          <w:i w:val="0"/>
          <w:color w:val="5B5B57"/>
          <w:sz w:val="18"/>
        </w:rPr>
        <w:t>Premiums are A-over-H: a_premium_now = A close × CNY→HKD ÷ H close − 1, computed per session so the FX is the same day on both legs. The IPO-date premium uses the A close the day before H pricing against the H offer price. Sample: 61 A+H pairs from the 511-deal Main Board IPO book, priced as of the current build; the market universe is the 202 AAStocks A/H pairs. Market cap is at the IPO offer price. Every figure in this note is generated from the database at build time, so the tables, charts and prose cannot drift apart. Regulatory and Connect facts are sourced to CSRC and exchange notices, HKEX prospectuses and Hang Seng Index methodology; per-name margin and lending balances to mainland market-data providers.</w:t>
      </w:r>
      <w:r>
        <w:rPr>
          <w:color w:val="5B5B57"/>
          <w:sz w:val="18"/>
        </w:rPr>
        <w:t xml:space="preserve"> Short-selling eligibility criteria are from the SEHK Rules of the Exchange, Eleventh Schedule (Short Selling Regulations), Regulation 18.</w:t>
      </w:r>
      <w:r>
        <w:rPr>
          <w:color w:val="5B5B57"/>
          <w:sz w:val="18"/>
        </w:rPr>
        <w:t xml:space="preserve"> Overseas-revenue shares are FY2024/FY2025 geographic-segment disclosures compiled from annual reports, exchange filings and F10 digests for 59 of 61 pairs; the disclosure basis varies (billing location vs end demand) and is flagged where it distorts. Ingenic figures are from listing-day coverage and live quotes, 27 August 2026.</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