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C2B5" w14:textId="77777777" w:rsidR="001779E3" w:rsidRDefault="001779E3" w:rsidP="001779E3">
      <w:pPr>
        <w:rPr>
          <w:rFonts w:ascii="Arial" w:eastAsiaTheme="minorEastAsia" w:hAnsi="Arial" w:cs="Arial"/>
          <w:b/>
          <w:bCs/>
          <w:color w:val="FF0000"/>
          <w:sz w:val="20"/>
          <w:szCs w:val="20"/>
          <w:u w:val="single"/>
        </w:rPr>
        <w:spacing w:before="0" w:after="130" w:line="240" w:lineRule="auto"/>
        <w:keepLines/>
        <w:keepNext/>
      </w:pPr>
      <w:r>
        <w:rPr>
          <w:rFonts w:ascii="Arial" w:hAnsi="Arial" w:cs="Arial"/>
          <w:b/>
          <w:bCs/>
          <w:color w:val="153D63"/>
          <w:sz w:val="28"/>
          <w:szCs w:val="28"/>
          <w:u w:val="single"/>
        </w:rPr>
        <w:t xml:space="preserve">IPO lockup trading brief</w:t>
      </w:r>
    </w:p>
    <w:p w14:paraId="1AF2FA83" w14:textId="77777777" w:rsidR="001779E3" w:rsidRDefault="001779E3" w:rsidP="001779E3">
      <w:pPr>
        <w:rPr>
          <w:rFonts w:ascii="Arial" w:eastAsiaTheme="minorEastAsia" w:hAnsi="Arial" w:cs="Arial"/>
          <w:color w:val="153D63"/>
          <w:sz w:val="20"/>
          <w:szCs w:val="20"/>
        </w:rPr>
        <w:spacing w:before="0" w:after="130" w:line="240" w:lineRule="auto"/>
        <w:keepLines/>
      </w:pPr>
      <w:r>
        <w:rPr>
          <w:rFonts w:ascii="Arial" w:hAnsi="Arial" w:cs="Arial"/>
          <w:color w:val="153D63"/>
          <w:sz w:val="20"/>
          <w:szCs w:val="20"/>
        </w:rPr>
        <w:t xml:space="preserve">2635  /  3317  /  6600  /  6651     •     26 October 2026 close</w:t>
      </w:r>
    </w:p>
    <w:p w14:paraId="1AF2FA83" w14:textId="77777777" w:rsidR="001779E3" w:rsidRDefault="001779E3" w:rsidP="001779E3">
      <w:pPr>
        <w:rPr>
          <w:rFonts w:ascii="Arial" w:eastAsiaTheme="minorEastAsia" w:hAnsi="Arial" w:cs="Arial"/>
          <w:color w:val="153D63"/>
          <w:sz w:val="20"/>
          <w:szCs w:val="20"/>
        </w:rPr>
        <w:spacing w:before="0" w:after="130" w:line="240" w:lineRule="auto"/>
        <w:keepLines/>
      </w:pPr>
      <w:r>
        <w:rPr>
          <w:rFonts w:ascii="Arial" w:hAnsi="Arial" w:cs="Arial"/>
          <w:color w:val="153D63"/>
          <w:sz w:val="20"/>
          <w:szCs w:val="20"/>
          <w:b/>
        </w:rPr>
        <w:t xml:space="preserve">Research priority: Xunce and 51WORLD.</w:t>
      </w:r>
      <w:r>
        <w:rPr>
          <w:rFonts w:ascii="Arial" w:hAnsi="Arial" w:cs="Arial"/>
          <w:color w:val="153D63"/>
          <w:sz w:val="20"/>
          <w:szCs w:val="20"/>
        </w:rPr>
        <w:t xml:space="preserve"> OneRobotics has a valuation concern but difficult short liquidity. Nuobikan needs evidence of collection problems to strengthen the bearish case.</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The four calls</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80"/>
        <w:gridCol w:w="3846"/>
        <w:gridCol w:w="3846"/>
      </w:tblGrid>
      <w:tr>
        <w:trPr>
          <w:cantSplit/>
          <w:tblHeader/>
        </w:trPr>
        <w:tc>
          <w:tcPr>
            <w:tcW w:w="228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Stock and theme</w:t>
            </w:r>
          </w:p>
        </w:tc>
        <w:tc>
          <w:tcPr>
            <w:tcW w:w="3846"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Core concern</w:t>
            </w:r>
          </w:p>
        </w:tc>
        <w:tc>
          <w:tcPr>
            <w:tcW w:w="3846"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Main risk to the short</w:t>
            </w:r>
          </w:p>
        </w:tc>
      </w:tr>
      <w:tr>
        <w:trPr>
          <w:cantSplit/>
        </w:trPr>
        <w:tc>
          <w:tcPr>
            <w:tcW w:w="228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2635 Nuobikan</w:t>
              <w:br/>
              <w:t xml:space="preserve">Infrastructure AI</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Weak cash conversion; receivables exceed annual sales.</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Profitable at 15.4x LTM P/E; compute orders could improve growth.</w:t>
            </w:r>
          </w:p>
        </w:tc>
      </w:tr>
      <w:tr>
        <w:trPr>
          <w:cantSplit/>
        </w:trPr>
        <w:tc>
          <w:tcPr>
            <w:tcW w:w="228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3317 Xunce</w:t>
              <w:br/>
              <w:t xml:space="preserve">Enterprise data</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RMB661m H1 cash outflow; investment gains support profit.</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December HSTECH inclusion is a published analyst possibility.</w:t>
            </w:r>
          </w:p>
        </w:tc>
      </w:tr>
      <w:tr>
        <w:trPr>
          <w:cantSplit/>
        </w:trPr>
        <w:tc>
          <w:tcPr>
            <w:tcW w:w="228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6600 OneRobotics</w:t>
              <w:br/>
              <w:t xml:space="preserve">Home robotics</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Costs outrun growth; 352.5x FY2027E P/E.</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New products and thin turnover can drive a squeeze.</w:t>
            </w:r>
          </w:p>
        </w:tc>
      </w:tr>
      <w:tr>
        <w:trPr>
          <w:cantSplit/>
        </w:trPr>
        <w:tc>
          <w:tcPr>
            <w:tcW w:w="228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6651 51WORLD</w:t>
              <w:br/>
              <w:t xml:space="preserve">Physical AI</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rPr>
              <w:t xml:space="preserve">60.5x FY2025 sales; recurring cash earnings unproven.</w:t>
            </w:r>
          </w:p>
        </w:tc>
        <w:tc>
          <w:tcPr>
            <w:tcW w:w="3846"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rPr>
              <w:t xml:space="preserve">NVIDIA ecosystem news and Aper deliveries support the theme.</w:t>
            </w:r>
          </w:p>
        </w:tc>
      </w:tr>
    </w:tbl>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December supply at a glance</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
        <w:gridCol w:w="1900"/>
        <w:gridCol w:w="2200"/>
        <w:gridCol w:w="2200"/>
        <w:gridCol w:w="2672"/>
      </w:tblGrid>
      <w:tr>
        <w:trPr>
          <w:cantSplit/>
          <w:tblHeader/>
        </w:trPr>
        <w:tc>
          <w:tcPr>
            <w:tcW w:w="100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Code</w:t>
            </w:r>
          </w:p>
        </w:tc>
        <w:tc>
          <w:tcPr>
            <w:tcW w:w="19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First release</w:t>
            </w:r>
          </w:p>
        </w:tc>
        <w:tc>
          <w:tcPr>
            <w:tcW w:w="22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 shares</w:t>
            </w:r>
          </w:p>
        </w:tc>
        <w:tc>
          <w:tcPr>
            <w:tcW w:w="22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 total shares</w:t>
            </w:r>
          </w:p>
        </w:tc>
        <w:tc>
          <w:tcPr>
            <w:tcW w:w="267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Shares / 20d ADV</w:t>
            </w:r>
          </w:p>
        </w:tc>
      </w:tr>
      <w:tr>
        <w:trPr>
          <w:cantSplit/>
        </w:trPr>
        <w:tc>
          <w:tcPr>
            <w:tcW w:w="1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2635</w:t>
            </w:r>
          </w:p>
        </w:tc>
        <w:tc>
          <w:tcPr>
            <w:tcW w:w="19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23 Dec</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266.48m</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67.4%</w:t>
            </w:r>
          </w:p>
        </w:tc>
        <w:tc>
          <w:tcPr>
            <w:tcW w:w="26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51.5x</w:t>
            </w:r>
          </w:p>
        </w:tc>
      </w:tr>
      <w:tr>
        <w:trPr>
          <w:cantSplit/>
        </w:trPr>
        <w:tc>
          <w:tcPr>
            <w:tcW w:w="1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3317</w:t>
            </w:r>
          </w:p>
        </w:tc>
        <w:tc>
          <w:tcPr>
            <w:tcW w:w="19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30 Dec</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244.48m</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73.9%</w:t>
            </w:r>
          </w:p>
        </w:tc>
        <w:tc>
          <w:tcPr>
            <w:tcW w:w="26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223.0x</w:t>
            </w:r>
          </w:p>
        </w:tc>
      </w:tr>
      <w:tr>
        <w:trPr>
          <w:cantSplit/>
        </w:trPr>
        <w:tc>
          <w:tcPr>
            <w:tcW w:w="1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6600</w:t>
            </w:r>
          </w:p>
        </w:tc>
        <w:tc>
          <w:tcPr>
            <w:tcW w:w="19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30 Dec</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156.35m</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69.4%</w:t>
            </w:r>
          </w:p>
        </w:tc>
        <w:tc>
          <w:tcPr>
            <w:tcW w:w="26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688.0x</w:t>
            </w:r>
          </w:p>
        </w:tc>
      </w:tr>
      <w:tr>
        <w:trPr>
          <w:cantSplit/>
        </w:trPr>
        <w:tc>
          <w:tcPr>
            <w:tcW w:w="1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6651</w:t>
            </w:r>
          </w:p>
        </w:tc>
        <w:tc>
          <w:tcPr>
            <w:tcW w:w="19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30 Dec</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363.30m</w:t>
            </w:r>
          </w:p>
        </w:tc>
        <w:tc>
          <w:tcPr>
            <w:tcW w:w="22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86.6%</w:t>
            </w:r>
          </w:p>
        </w:tc>
        <w:tc>
          <w:tcPr>
            <w:tcW w:w="26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90.7x</w:t>
            </w:r>
          </w:p>
        </w:tc>
      </w:tr>
    </w:tbl>
    <w:p w14:paraId="1AF2FA83" w14:textId="77777777" w:rsidR="001779E3" w:rsidRDefault="001779E3" w:rsidP="001779E3">
      <w:pPr>
        <w:rPr>
          <w:rFonts w:ascii="Arial" w:eastAsiaTheme="minorEastAsia" w:hAnsi="Arial" w:cs="Arial"/>
          <w:color w:val="153D63"/>
          <w:sz w:val="20"/>
          <w:szCs w:val="20"/>
        </w:rPr>
        <w:spacing w:before="80" w:after="100" w:line="240" w:lineRule="auto"/>
        <w:keepLines/>
      </w:pPr>
      <w:r>
        <w:rPr>
          <w:rFonts w:ascii="Arial" w:hAnsi="Arial" w:cs="Arial"/>
          <w:color w:val="153D63"/>
          <w:sz w:val="20"/>
          <w:szCs w:val="20"/>
        </w:rPr>
        <w:t xml:space="preserve">Identified original pre-IPO H holdings only. Last locked day is the preceding date. OneRobotics excludes the founder’s extended lock. Supply is potential, not a forecast of selling.</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Dates that matter before taking the short</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00"/>
        <w:gridCol w:w="3400"/>
        <w:gridCol w:w="4472"/>
      </w:tblGrid>
      <w:tr>
        <w:trPr>
          <w:cantSplit/>
          <w:tblHeader/>
        </w:trPr>
        <w:tc>
          <w:tcPr>
            <w:tcW w:w="210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Date</w:t>
            </w:r>
          </w:p>
        </w:tc>
        <w:tc>
          <w:tcPr>
            <w:tcW w:w="34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Event</w:t>
            </w:r>
          </w:p>
        </w:tc>
        <w:tc>
          <w:tcPr>
            <w:tcW w:w="447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Trading relevance</w:t>
            </w:r>
          </w:p>
        </w:tc>
      </w:tr>
      <w:tr>
        <w:trPr>
          <w:cantSplit/>
        </w:trPr>
        <w:tc>
          <w:tcPr>
            <w:tcW w:w="21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29 Oct</w:t>
            </w:r>
          </w:p>
        </w:tc>
        <w:tc>
          <w:tcPr>
            <w:tcW w:w="34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Anker Q3 board meeting</w:t>
            </w:r>
          </w:p>
        </w:tc>
        <w:tc>
          <w:tcPr>
            <w:tcW w:w="44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Early consumer-hardware read-through for 6600.</w:t>
            </w:r>
          </w:p>
        </w:tc>
      </w:tr>
      <w:tr>
        <w:trPr>
          <w:cantSplit/>
        </w:trPr>
        <w:tc>
          <w:tcPr>
            <w:tcW w:w="21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11 Nov / 1 Dec</w:t>
            </w:r>
          </w:p>
        </w:tc>
        <w:tc>
          <w:tcPr>
            <w:tcW w:w="34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MSCI review / effective</w:t>
            </w:r>
          </w:p>
        </w:tc>
        <w:tc>
          <w:tcPr>
            <w:tcW w:w="44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Scheduled; no new addition verified for these four.</w:t>
            </w:r>
          </w:p>
        </w:tc>
      </w:tr>
      <w:tr>
        <w:trPr>
          <w:cantSplit/>
        </w:trPr>
        <w:tc>
          <w:tcPr>
            <w:tcW w:w="21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20 Nov / 7 Dec</w:t>
            </w:r>
          </w:p>
        </w:tc>
        <w:tc>
          <w:tcPr>
            <w:tcW w:w="34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Hang Seng review / HSTECH effective</w:t>
            </w:r>
          </w:p>
        </w:tc>
        <w:tc>
          <w:tcPr>
            <w:tcW w:w="44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rPr>
              <w:t xml:space="preserve">Xunce is an analyst add candidate; inclusion unconfirmed.</w:t>
            </w:r>
          </w:p>
        </w:tc>
      </w:tr>
      <w:tr>
        <w:trPr>
          <w:cantSplit/>
        </w:trPr>
        <w:tc>
          <w:tcPr>
            <w:tcW w:w="21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By 31 Mar 2027</w:t>
            </w:r>
          </w:p>
        </w:tc>
        <w:tc>
          <w:tcPr>
            <w:tcW w:w="34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rPr>
              <w:t xml:space="preserve">FY2026 results deadline</w:t>
            </w:r>
          </w:p>
        </w:tc>
        <w:tc>
          <w:tcPr>
            <w:tcW w:w="44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rPr>
              <w:t xml:space="preserve">Exact dates for all four remain unannounced.</w:t>
            </w:r>
          </w:p>
        </w:tc>
      </w:tr>
    </w:tbl>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Execution matters</w:t>
      </w:r>
    </w:p>
    <w:p w14:paraId="1AF2FA83" w14:textId="77777777" w:rsidR="001779E3" w:rsidRDefault="001779E3" w:rsidP="001779E3">
      <w:pPr>
        <w:rPr>
          <w:rFonts w:ascii="Arial" w:eastAsiaTheme="minorEastAsia" w:hAnsi="Arial" w:cs="Arial"/>
          <w:color w:val="153D63"/>
          <w:sz w:val="20"/>
          <w:szCs w:val="20"/>
        </w:rPr>
        <w:spacing w:before="0" w:after="110" w:line="240" w:lineRule="auto"/>
        <w:keepLines/>
      </w:pPr>
      <w:r>
        <w:rPr>
          <w:rFonts w:ascii="Arial" w:hAnsi="Arial" w:cs="Arial"/>
          <w:color w:val="153D63"/>
          <w:sz w:val="20"/>
          <w:szCs w:val="20"/>
          <w:b/>
        </w:rPr>
        <w:t xml:space="preserve">Southbound:</w:t>
      </w:r>
      <w:r>
        <w:rPr>
          <w:rFonts w:ascii="Arial" w:hAnsi="Arial" w:cs="Arial"/>
          <w:color w:val="153D63"/>
          <w:sz w:val="20"/>
          <w:szCs w:val="20"/>
        </w:rPr>
        <w:t xml:space="preserve"> all four already admitted. </w:t>
      </w:r>
      <w:r>
        <w:rPr>
          <w:rFonts w:ascii="Arial" w:hAnsi="Arial" w:cs="Arial"/>
          <w:color w:val="153D63"/>
          <w:sz w:val="20"/>
          <w:szCs w:val="20"/>
          <w:b/>
        </w:rPr>
        <w:t xml:space="preserve">Borrow:</w:t>
      </w:r>
      <w:r>
        <w:rPr>
          <w:rFonts w:ascii="Arial" w:hAnsi="Arial" w:cs="Arial"/>
          <w:color w:val="153D63"/>
          <w:sz w:val="20"/>
          <w:szCs w:val="20"/>
        </w:rPr>
        <w:t xml:space="preserve"> all are designated short-sale securities, but availability, fee and recall terms are unverified. </w:t>
      </w:r>
      <w:r>
        <w:rPr>
          <w:rFonts w:ascii="Arial" w:hAnsi="Arial" w:cs="Arial"/>
          <w:color w:val="153D63"/>
          <w:sz w:val="20"/>
          <w:szCs w:val="20"/>
          <w:b/>
        </w:rPr>
        <w:t xml:space="preserve">Selling:</w:t>
      </w:r>
      <w:r>
        <w:rPr>
          <w:rFonts w:ascii="Arial" w:hAnsi="Arial" w:cs="Arial"/>
          <w:color w:val="153D63"/>
          <w:sz w:val="20"/>
          <w:szCs w:val="20"/>
        </w:rPr>
        <w:t xml:space="preserve"> recent DI percentage reductions mainly reflect new-share dilution; expiry alone is not evidence of an exit.</w:t>
      </w:r>
    </w:p>
    <w:p w14:paraId="1AF2FA83" w14:textId="77777777" w:rsidR="001779E3" w:rsidRDefault="001779E3" w:rsidP="001779E3">
      <w:pPr>
        <w:rPr>
          <w:rFonts w:ascii="Arial" w:eastAsiaTheme="minorEastAsia" w:hAnsi="Arial" w:cs="Arial"/>
          <w:color w:val="153D63"/>
          <w:sz w:val="20"/>
          <w:szCs w:val="20"/>
        </w:rPr>
        <w:spacing w:before="0" w:after="0" w:line="240" w:lineRule="auto"/>
        <w:keepLines/>
      </w:pPr>
      <w:r>
        <w:rPr>
          <w:rFonts w:ascii="Arial" w:hAnsi="Arial" w:cs="Arial"/>
          <w:color w:val="153D63"/>
          <w:sz w:val="20"/>
          <w:szCs w:val="20"/>
        </w:rPr>
        <w:t xml:space="preserve">Company pages: 2635 p2  •  3317 p3  •  6600 p4  •  6651 p5  |  Sources and definitions p6</w:t>
      </w:r>
    </w:p>
    <w:p w14:paraId="7B14C2B5" w14:textId="77777777" w:rsidR="001779E3" w:rsidRDefault="001779E3" w:rsidP="001779E3">
      <w:pPr>
        <w:rPr>
          <w:rFonts w:ascii="Arial" w:eastAsiaTheme="minorEastAsia" w:hAnsi="Arial" w:cs="Arial"/>
          <w:b/>
          <w:bCs/>
          <w:color w:val="FF0000"/>
          <w:sz w:val="20"/>
          <w:szCs w:val="20"/>
          <w:u w:val="single"/>
        </w:rPr>
        <w:spacing w:before="0" w:after="130" w:line="240" w:lineRule="auto"/>
        <w:keepLines/>
        <w:keepNext/>
        <w:pageBreakBefore/>
      </w:pPr>
      <w:r>
        <w:rPr>
          <w:rFonts w:ascii="Arial" w:hAnsi="Arial" w:cs="Arial" w:eastAsia="Hiragino Sans GB"/>
          <w:b/>
          <w:bCs/>
          <w:color w:val="153D63"/>
          <w:sz w:val="28"/>
          <w:szCs w:val="28"/>
          <w:u w:val="single"/>
        </w:rPr>
        <w:t xml:space="preserve">2635  Nuobikan 諾比侃</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rPr>
        <w:t xml:space="preserve">Rail inspection, power monitoring and urban systems  |  Equity value HK$2.36bn</w:t>
      </w:r>
    </w:p>
    <w:p w14:paraId="1AF2FA83" w14:textId="77777777" w:rsidR="001779E3" w:rsidRDefault="001779E3" w:rsidP="001779E3">
      <w:pPr>
        <w:rPr>
          <w:rFonts w:ascii="Arial" w:eastAsiaTheme="minorEastAsia" w:hAnsi="Arial" w:cs="Arial"/>
          <w:color w:val="153D63"/>
          <w:sz w:val="20"/>
          <w:szCs w:val="20"/>
        </w:rPr>
        <w:spacing w:before="0" w:after="110" w:line="240" w:lineRule="auto"/>
        <w:keepLines/>
      </w:pPr>
      <w:r>
        <w:rPr>
          <w:rFonts w:ascii="Arial" w:hAnsi="Arial" w:cs="Arial"/>
          <w:color w:val="153D63"/>
          <w:sz w:val="20"/>
          <w:szCs w:val="20"/>
          <w:b/>
        </w:rPr>
        <w:t xml:space="preserve">Desk view  Cash collection is the test; valuation alone is a weaker short case.</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72"/>
        <w:gridCol w:w="2000"/>
        <w:gridCol w:w="2000"/>
        <w:gridCol w:w="2000"/>
      </w:tblGrid>
      <w:tr>
        <w:trPr>
          <w:cantSplit/>
          <w:tblHeader/>
        </w:trPr>
        <w:tc>
          <w:tcPr>
            <w:tcW w:w="397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RMBm, except margin</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2026</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Revenue</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498.2</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231.6</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306.0</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Gross margin</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53.4%</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39.2%</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55.0%</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Owner profit / (loss)</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117.8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40.1</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53.7</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Operating cash flow</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85.8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84.4</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27.0</w:t>
            </w:r>
          </w:p>
        </w:tc>
      </w:tr>
    </w:tbl>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Good points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A profitable specialist.</w:t>
      </w:r>
      <w:r>
        <w:rPr>
          <w:rFonts w:ascii="Arial" w:hAnsi="Arial" w:cs="Arial"/>
          <w:color w:val="153D63"/>
          <w:sz w:val="20"/>
          <w:szCs w:val="20"/>
        </w:rPr>
        <w:t xml:space="preserve"> 2024 niche shares were 5.9% in AI rail-power inspection and 1.8% in broader AI rail inspection. Reported LTM owner profit is RMB131.5m; H1 gross margin recovered to 55.0%.</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Compute spending creates upside.</w:t>
      </w:r>
      <w:r>
        <w:rPr>
          <w:rFonts w:ascii="Arial" w:hAnsi="Arial" w:cs="Arial"/>
          <w:color w:val="153D63"/>
          <w:sz w:val="20"/>
          <w:szCs w:val="20"/>
        </w:rPr>
        <w:t xml:space="preserve"> August’s RMB50.8m software contract with a domestic AI chip company is about 10% of FY2025 sales, including VAT. Repeat orders and payment would strengthen the growth case.</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Risks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Earnings are ahead of cash.</w:t>
      </w:r>
      <w:r>
        <w:rPr>
          <w:rFonts w:ascii="Arial" w:hAnsi="Arial" w:cs="Arial"/>
          <w:color w:val="153D63"/>
          <w:sz w:val="20"/>
          <w:szCs w:val="20"/>
        </w:rPr>
        <w:t xml:space="preserve"> June receivables were RMB637.9m versus RMB498.2m FY2025 sales. H1 operating cash covered 50% of profit; city projects were 54% of sales, exposing collections to budgets and acceptance.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Growth is expensive.</w:t>
      </w:r>
      <w:r>
        <w:rPr>
          <w:rFonts w:ascii="Arial" w:hAnsi="Arial" w:cs="Arial"/>
          <w:color w:val="153D63"/>
          <w:sz w:val="20"/>
          <w:szCs w:val="20"/>
        </w:rPr>
        <w:t xml:space="preserve"> H1 R&amp;D rose 165% and selling costs 183%, versus sales growth of 32%. A supplier’s accounting penalty adds diligence risk; it does not establish misconduct by Nuobikan, which disputes any issue with its transactions.</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Valuation versus peers</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2"/>
        <w:gridCol w:w="1620"/>
        <w:gridCol w:w="1620"/>
        <w:gridCol w:w="1620"/>
        <w:gridCol w:w="1620"/>
      </w:tblGrid>
      <w:tr>
        <w:trPr>
          <w:cantSplit/>
          <w:tblHeader/>
        </w:trPr>
        <w:tc>
          <w:tcPr>
            <w:tcW w:w="349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Company</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26 Oct price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 P/S</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FY2026E P/E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FY2027E P/E</w:t>
            </w:r>
          </w:p>
        </w:tc>
      </w:tr>
      <w:tr>
        <w:trPr>
          <w:cantSplit/>
        </w:trPr>
        <w:tc>
          <w:tcPr>
            <w:tcW w:w="349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Nuobikan 2635 HK</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HK$5.975</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4.1x</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n/v</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n/v</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AInnovation 2121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HK$3.705</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1.1x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n/v</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n/v</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SenseTime 20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HK$1.145</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8.3x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PCI Technology 600728 A</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RMB4.620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1.0x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n/v</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n/v</w:t>
            </w:r>
          </w:p>
        </w:tc>
      </w:tr>
    </w:tbl>
    <w:p w14:paraId="1AF2FA83" w14:textId="77777777" w:rsidR="001779E3" w:rsidRDefault="001779E3" w:rsidP="001779E3">
      <w:pPr>
        <w:rPr>
          <w:rFonts w:ascii="Arial" w:eastAsiaTheme="minorEastAsia" w:hAnsi="Arial" w:cs="Arial"/>
          <w:color w:val="153D63"/>
          <w:sz w:val="20"/>
          <w:szCs w:val="20"/>
        </w:rPr>
        <w:spacing w:before="75" w:after="85" w:line="240" w:lineRule="auto"/>
        <w:keepLines/>
      </w:pPr>
      <w:r>
        <w:rPr>
          <w:rFonts w:ascii="Arial" w:hAnsi="Arial" w:cs="Arial"/>
          <w:color w:val="153D63"/>
          <w:sz w:val="20"/>
          <w:szCs w:val="20"/>
          <w:b/>
        </w:rPr>
        <w:t xml:space="preserve">Closest:</w:t>
      </w:r>
      <w:r>
        <w:rPr>
          <w:rFonts w:ascii="Arial" w:hAnsi="Arial" w:cs="Arial"/>
          <w:color w:val="153D63"/>
          <w:sz w:val="20"/>
          <w:szCs w:val="20"/>
        </w:rPr>
        <w:t xml:space="preserve"> AInnovation for H-share project economics; PCI for A-share rail/city exposure. PCI’s hardware mix makes its lower P/S an imperfect target. SenseTime is a broader AI comparison.</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Catalysts and shareholder actions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9 October placing:</w:t>
      </w:r>
      <w:r>
        <w:rPr>
          <w:rFonts w:ascii="Arial" w:hAnsi="Arial" w:cs="Arial"/>
          <w:color w:val="153D63"/>
          <w:sz w:val="20"/>
          <w:szCs w:val="20"/>
        </w:rPr>
        <w:t xml:space="preserve"> 16.49m new H shares at HK$8.19; net HK$131.5m. The close is 27% below the placing price. Reviewed DI changes were dilution, not disclosed disposals.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23 December release:</w:t>
      </w:r>
      <w:r>
        <w:rPr>
          <w:rFonts w:ascii="Arial" w:hAnsi="Arial" w:cs="Arial"/>
          <w:color w:val="153D63"/>
          <w:sz w:val="20"/>
          <w:szCs w:val="20"/>
        </w:rPr>
        <w:t xml:space="preserve"> 266.48m H shares, including 136.90m outside the controller group. FY2026 results are due by March 2027; no verified new index-add call.</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b/>
        </w:rPr>
        <w:t xml:space="preserve">Confirms the short:</w:t>
      </w:r>
      <w:r>
        <w:rPr>
          <w:rFonts w:ascii="Arial" w:hAnsi="Arial" w:cs="Arial"/>
          <w:color w:val="153D63"/>
          <w:sz w:val="20"/>
          <w:szCs w:val="20"/>
        </w:rPr>
        <w:t xml:space="preserve"> ageing receivables or higher provisions.</w:t>
        <w:br/>
        <w:t xml:space="preserve"/>
      </w:r>
      <w:r>
        <w:rPr>
          <w:rFonts w:ascii="Arial" w:hAnsi="Arial" w:cs="Arial"/>
          <w:color w:val="153D63"/>
          <w:sz w:val="20"/>
          <w:szCs w:val="20"/>
          <w:b/>
        </w:rPr>
        <w:t xml:space="preserve">Invalidates it:</w:t>
      </w:r>
      <w:r>
        <w:rPr>
          <w:rFonts w:ascii="Arial" w:hAnsi="Arial" w:cs="Arial"/>
          <w:color w:val="153D63"/>
          <w:sz w:val="20"/>
          <w:szCs w:val="20"/>
        </w:rPr>
        <w:t xml:space="preserve"> strong collections and repeat chip/compute orders.</w:t>
      </w:r>
    </w:p>
    <w:p w14:paraId="1AF2FA83" w14:textId="77777777" w:rsidR="001779E3" w:rsidRDefault="001779E3" w:rsidP="001779E3">
      <w:pPr>
        <w:rPr>
          <w:rFonts w:ascii="Arial" w:eastAsiaTheme="minorEastAsia" w:hAnsi="Arial" w:cs="Arial"/>
          <w:color w:val="153D63"/>
          <w:sz w:val="20"/>
          <w:szCs w:val="20"/>
        </w:rPr>
        <w:spacing w:before="0" w:after="0" w:line="240" w:lineRule="auto"/>
        <w:keepLines/>
      </w:pPr>
      <w:r>
        <w:rPr>
          <w:rFonts w:ascii="Arial" w:hAnsi="Arial" w:cs="Arial"/>
          <w:color w:val="153D63"/>
          <w:sz w:val="20"/>
          <w:szCs w:val="20"/>
        </w:rPr>
        <w:t xml:space="preserve">Forecast unavailable for 2635. NM = loss; n/v = unavailable. Forecast dates and sources: p6.</w:t>
      </w:r>
    </w:p>
    <w:p w14:paraId="7B14C2B5" w14:textId="77777777" w:rsidR="001779E3" w:rsidRDefault="001779E3" w:rsidP="001779E3">
      <w:pPr>
        <w:rPr>
          <w:rFonts w:ascii="Arial" w:eastAsiaTheme="minorEastAsia" w:hAnsi="Arial" w:cs="Arial"/>
          <w:b/>
          <w:bCs/>
          <w:color w:val="FF0000"/>
          <w:sz w:val="20"/>
          <w:szCs w:val="20"/>
          <w:u w:val="single"/>
        </w:rPr>
        <w:spacing w:before="0" w:after="130" w:line="240" w:lineRule="auto"/>
        <w:keepLines/>
        <w:keepNext/>
        <w:pageBreakBefore/>
      </w:pPr>
      <w:r>
        <w:rPr>
          <w:rFonts w:ascii="Arial" w:hAnsi="Arial" w:cs="Arial" w:eastAsia="Hiragino Sans GB"/>
          <w:b/>
          <w:bCs/>
          <w:color w:val="153D63"/>
          <w:sz w:val="28"/>
          <w:szCs w:val="28"/>
          <w:u w:val="single"/>
        </w:rPr>
        <w:t xml:space="preserve">3317  Xunce 迅策</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rPr>
        <w:t xml:space="preserve">Real-time enterprise data and usage-based AI services  |  Equity value HK$21.57bn</w:t>
      </w:r>
    </w:p>
    <w:p w14:paraId="1AF2FA83" w14:textId="77777777" w:rsidR="001779E3" w:rsidRDefault="001779E3" w:rsidP="001779E3">
      <w:pPr>
        <w:rPr>
          <w:rFonts w:ascii="Arial" w:eastAsiaTheme="minorEastAsia" w:hAnsi="Arial" w:cs="Arial"/>
          <w:color w:val="153D63"/>
          <w:sz w:val="20"/>
          <w:szCs w:val="20"/>
        </w:rPr>
        <w:spacing w:before="0" w:after="110" w:line="240" w:lineRule="auto"/>
        <w:keepLines/>
      </w:pPr>
      <w:r>
        <w:rPr>
          <w:rFonts w:ascii="Arial" w:hAnsi="Arial" w:cs="Arial"/>
          <w:color w:val="153D63"/>
          <w:sz w:val="20"/>
          <w:szCs w:val="20"/>
          <w:b/>
        </w:rPr>
        <w:t xml:space="preserve">Desk view  Strongest earnings-quality concern; index buying could arrive before selling.</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72"/>
        <w:gridCol w:w="2000"/>
        <w:gridCol w:w="2000"/>
        <w:gridCol w:w="2000"/>
      </w:tblGrid>
      <w:tr>
        <w:trPr>
          <w:cantSplit/>
          <w:tblHeader/>
        </w:trPr>
        <w:tc>
          <w:tcPr>
            <w:tcW w:w="397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RMBm, except margin</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2026</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Revenue</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1284.7</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197.8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967.0</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Gross margin</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61.7%</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66.7%</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60.1%</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Owner profit / (loss)</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-94.1</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-89.4</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72.5</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Operating cash flow</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-88.8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-128.1</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-661.2</w:t>
            </w:r>
          </w:p>
        </w:tc>
      </w:tr>
    </w:tbl>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Good points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A useful enterprise-AI function.</w:t>
      </w:r>
      <w:r>
        <w:rPr>
          <w:rFonts w:ascii="Arial" w:hAnsi="Arial" w:cs="Arial"/>
          <w:color w:val="153D63"/>
          <w:sz w:val="20"/>
          <w:szCs w:val="20"/>
        </w:rPr>
        <w:t xml:space="preserve"> Prospectus research ranks it first in China’s asset-management real-time data market (11.6% in 2024), but fourth across industries (3.4%). H1 revenue rose 389%.</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Usage billing could improve scalability.</w:t>
      </w:r>
      <w:r>
        <w:rPr>
          <w:rFonts w:ascii="Arial" w:hAnsi="Arial" w:cs="Arial"/>
          <w:color w:val="153D63"/>
          <w:sz w:val="20"/>
          <w:szCs w:val="20"/>
        </w:rPr>
        <w:t xml:space="preserve"> Token revenue exceeded 10%; industries outside asset management contributed 87.6%. Shenton’s October screen also names Xunce as a December HSTECH candidate.</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Risks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Reported profit depends on investment gains.</w:t>
      </w:r>
      <w:r>
        <w:rPr>
          <w:rFonts w:ascii="Arial" w:hAnsi="Arial" w:cs="Arial"/>
          <w:color w:val="153D63"/>
          <w:sz w:val="20"/>
          <w:szCs w:val="20"/>
        </w:rPr>
        <w:t xml:space="preserve"> H1 pretax profit was RMB67.0m, including RMB101.4m fair-value gains. Removing that gain alone gives a RMB34.4m pretax loss. Gross margin fell 6.6 percentage points.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Cash demand is accelerating.</w:t>
      </w:r>
      <w:r>
        <w:rPr>
          <w:rFonts w:ascii="Arial" w:hAnsi="Arial" w:cs="Arial"/>
          <w:color w:val="153D63"/>
          <w:sz w:val="20"/>
          <w:szCs w:val="20"/>
        </w:rPr>
        <w:t xml:space="preserve"> H1 operating outflow was RMB661.2m; transaction-based products remained 90.5% of sales. The proposed RMB12bn project increases execution and funding risk; its budget is not cash already spent.</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Valuation versus peers</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2"/>
        <w:gridCol w:w="1620"/>
        <w:gridCol w:w="1620"/>
        <w:gridCol w:w="1620"/>
        <w:gridCol w:w="1620"/>
      </w:tblGrid>
      <w:tr>
        <w:trPr>
          <w:cantSplit/>
          <w:tblHeader/>
        </w:trPr>
        <w:tc>
          <w:tcPr>
            <w:tcW w:w="349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Company</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26 Oct price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 P/S</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FY2026E P/E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FY2027E P/E</w:t>
            </w:r>
          </w:p>
        </w:tc>
      </w:tr>
      <w:tr>
        <w:trPr>
          <w:cantSplit/>
        </w:trPr>
        <w:tc>
          <w:tcPr>
            <w:tcW w:w="349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Xunce 3317 HK</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HK$65.200</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14.4x</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324.1x†</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62.8x†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Deepexi 1384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HK$12.030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8.7x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76.5x†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24.6x†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Phancy 6682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HK$21.680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1.4x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73.3x†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27.4x†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Hundsun 600570 A</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RMB20.840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6.8x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29.8x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23.6x</w:t>
            </w:r>
          </w:p>
        </w:tc>
      </w:tr>
    </w:tbl>
    <w:p w14:paraId="1AF2FA83" w14:textId="77777777" w:rsidR="001779E3" w:rsidRDefault="001779E3" w:rsidP="001779E3">
      <w:pPr>
        <w:rPr>
          <w:rFonts w:ascii="Arial" w:eastAsiaTheme="minorEastAsia" w:hAnsi="Arial" w:cs="Arial"/>
          <w:color w:val="153D63"/>
          <w:sz w:val="20"/>
          <w:szCs w:val="20"/>
        </w:rPr>
        <w:spacing w:before="75" w:after="85" w:line="240" w:lineRule="auto"/>
        <w:keepLines/>
      </w:pPr>
      <w:r>
        <w:rPr>
          <w:rFonts w:ascii="Arial" w:hAnsi="Arial" w:cs="Arial"/>
          <w:color w:val="153D63"/>
          <w:sz w:val="20"/>
          <w:szCs w:val="20"/>
          <w:b/>
        </w:rPr>
        <w:t xml:space="preserve">Closest:</w:t>
      </w:r>
      <w:r>
        <w:rPr>
          <w:rFonts w:ascii="Arial" w:hAnsi="Arial" w:cs="Arial"/>
          <w:color w:val="153D63"/>
          <w:sz w:val="20"/>
          <w:szCs w:val="20"/>
        </w:rPr>
        <w:t xml:space="preserve"> Deepexi in H enterprise data/AI; Hundsun for A financial software. Phancy is adjacent. Xunce’s premium needs repeat usage and collections. † Indicative vendor forecasts; original broker accounting basis unverified.</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Catalysts and shareholder actions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20 November / 7 December:</w:t>
      </w:r>
      <w:r>
        <w:rPr>
          <w:rFonts w:ascii="Arial" w:hAnsi="Arial" w:cs="Arial"/>
          <w:color w:val="153D63"/>
          <w:sz w:val="20"/>
          <w:szCs w:val="20"/>
        </w:rPr>
        <w:t xml:space="preserve"> HSTECH decision / effective date. </w:t>
      </w:r>
      <w:r>
        <w:rPr>
          <w:rFonts w:ascii="Arial" w:hAnsi="Arial" w:cs="Arial"/>
          <w:color w:val="153D63"/>
          <w:sz w:val="20"/>
          <w:szCs w:val="20"/>
          <w:b/>
        </w:rPr>
        <w:t xml:space="preserve">30 December:</w:t>
      </w:r>
      <w:r>
        <w:rPr>
          <w:rFonts w:ascii="Arial" w:hAnsi="Arial" w:cs="Arial"/>
          <w:color w:val="153D63"/>
          <w:sz w:val="20"/>
          <w:szCs w:val="20"/>
        </w:rPr>
        <w:t xml:space="preserve"> 244.48m H shares release, including 174.41m outside the largest shareholder group. Tencent/GBA DI percentage declines were dilution.</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Financing:</w:t>
      </w:r>
      <w:r>
        <w:rPr>
          <w:rFonts w:ascii="Arial" w:hAnsi="Arial" w:cs="Arial"/>
          <w:color w:val="153D63"/>
          <w:sz w:val="20"/>
          <w:szCs w:val="20"/>
        </w:rPr>
        <w:t xml:space="preserve"> July placed 7.283m shares at HK$107.70 and issued RMB1.36bn zero-coupon bonds. RMB1.268bn remained in September, due July 2027; conversion HK$123.86, redemption 101.75%.</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b/>
        </w:rPr>
        <w:t xml:space="preserve">Confirms the short:</w:t>
      </w:r>
      <w:r>
        <w:rPr>
          <w:rFonts w:ascii="Arial" w:hAnsi="Arial" w:cs="Arial"/>
          <w:color w:val="153D63"/>
          <w:sz w:val="20"/>
          <w:szCs w:val="20"/>
        </w:rPr>
        <w:t xml:space="preserve"> continued cash burn or fresh funding without cash returns.</w:t>
        <w:br/>
        <w:t xml:space="preserve"/>
      </w:r>
      <w:r>
        <w:rPr>
          <w:rFonts w:ascii="Arial" w:hAnsi="Arial" w:cs="Arial"/>
          <w:color w:val="153D63"/>
          <w:sz w:val="20"/>
          <w:szCs w:val="20"/>
          <w:b/>
        </w:rPr>
        <w:t xml:space="preserve">Invalidates it:</w:t>
      </w:r>
      <w:r>
        <w:rPr>
          <w:rFonts w:ascii="Arial" w:hAnsi="Arial" w:cs="Arial"/>
          <w:color w:val="153D63"/>
          <w:sz w:val="20"/>
          <w:szCs w:val="20"/>
        </w:rPr>
        <w:t xml:space="preserve"> sustained token cash generation; index inclusion is a near-term squeeze risk.</w:t>
      </w:r>
    </w:p>
    <w:p w14:paraId="1AF2FA83" w14:textId="77777777" w:rsidR="001779E3" w:rsidRDefault="001779E3" w:rsidP="001779E3">
      <w:pPr>
        <w:rPr>
          <w:rFonts w:ascii="Arial" w:eastAsiaTheme="minorEastAsia" w:hAnsi="Arial" w:cs="Arial"/>
          <w:color w:val="153D63"/>
          <w:sz w:val="20"/>
          <w:szCs w:val="20"/>
        </w:rPr>
        <w:spacing w:before="0" w:after="0" w:line="240" w:lineRule="auto"/>
        <w:keepLines/>
      </w:pPr>
      <w:r>
        <w:rPr>
          <w:rFonts w:ascii="Arial" w:hAnsi="Arial" w:cs="Arial"/>
          <w:color w:val="153D63"/>
          <w:sz w:val="20"/>
          <w:szCs w:val="20"/>
        </w:rPr>
        <w:t xml:space="preserve">FY2026 earnings: date unannounced, due by March 2027. Forecast dates and sources: p6.</w:t>
      </w:r>
    </w:p>
    <w:p w14:paraId="7B14C2B5" w14:textId="77777777" w:rsidR="001779E3" w:rsidRDefault="001779E3" w:rsidP="001779E3">
      <w:pPr>
        <w:rPr>
          <w:rFonts w:ascii="Arial" w:eastAsiaTheme="minorEastAsia" w:hAnsi="Arial" w:cs="Arial"/>
          <w:b/>
          <w:bCs/>
          <w:color w:val="FF0000"/>
          <w:sz w:val="20"/>
          <w:szCs w:val="20"/>
          <w:u w:val="single"/>
        </w:rPr>
        <w:spacing w:before="0" w:after="130" w:line="240" w:lineRule="auto"/>
        <w:keepLines/>
        <w:keepNext/>
        <w:pageBreakBefore/>
      </w:pPr>
      <w:r>
        <w:rPr>
          <w:rFonts w:ascii="Arial" w:hAnsi="Arial" w:cs="Arial" w:eastAsia="Hiragino Sans GB"/>
          <w:b/>
          <w:bCs/>
          <w:color w:val="153D63"/>
          <w:sz w:val="28"/>
          <w:szCs w:val="28"/>
          <w:u w:val="single"/>
        </w:rPr>
        <w:t xml:space="preserve">6600  OneRobotics 臥安機器人</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rPr>
        <w:t xml:space="preserve">SwitchBot smart-home devices and emerging embodied robots  |  Equity value HK$11.53bn</w:t>
      </w:r>
    </w:p>
    <w:p w14:paraId="1AF2FA83" w14:textId="77777777" w:rsidR="001779E3" w:rsidRDefault="001779E3" w:rsidP="001779E3">
      <w:pPr>
        <w:rPr>
          <w:rFonts w:ascii="Arial" w:eastAsiaTheme="minorEastAsia" w:hAnsi="Arial" w:cs="Arial"/>
          <w:color w:val="153D63"/>
          <w:sz w:val="20"/>
          <w:szCs w:val="20"/>
        </w:rPr>
        <w:spacing w:before="0" w:after="110" w:line="240" w:lineRule="auto"/>
        <w:keepLines/>
      </w:pPr>
      <w:r>
        <w:rPr>
          <w:rFonts w:ascii="Arial" w:hAnsi="Arial" w:cs="Arial"/>
          <w:color w:val="153D63"/>
          <w:sz w:val="20"/>
          <w:szCs w:val="20"/>
          <w:b/>
        </w:rPr>
        <w:t xml:space="preserve">Desk view  The growth premium is large; thin turnover makes the short difficult to execute.</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72"/>
        <w:gridCol w:w="2000"/>
        <w:gridCol w:w="2000"/>
        <w:gridCol w:w="2000"/>
      </w:tblGrid>
      <w:tr>
        <w:trPr>
          <w:cantSplit/>
          <w:tblHeader/>
        </w:trPr>
        <w:tc>
          <w:tcPr>
            <w:tcW w:w="397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RMBm, except margin</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2026</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Revenue</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900.6</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396.3</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522.4</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Gross margin</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54.0%</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54.2%</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50.4%</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Owner profit / (loss)</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-24.7</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27.9</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-35.5</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Operating cash flow</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112.9</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29.2</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-164.7</w:t>
            </w:r>
          </w:p>
        </w:tc>
      </w:tr>
    </w:tbl>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Good points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A distribution base for new products.</w:t>
      </w:r>
      <w:r>
        <w:rPr>
          <w:rFonts w:ascii="Arial" w:hAnsi="Arial" w:cs="Arial"/>
          <w:color w:val="153D63"/>
          <w:sz w:val="20"/>
          <w:szCs w:val="20"/>
        </w:rPr>
        <w:t xml:space="preserve"> Prospectus research cites 11.9% of the narrowly defined global home-robotic-system market in 2024. Onero H1, Acemate and Kata produced 13.1% of H1 sales.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Growth has funding.</w:t>
      </w:r>
      <w:r>
        <w:rPr>
          <w:rFonts w:ascii="Arial" w:hAnsi="Arial" w:cs="Arial"/>
          <w:color w:val="153D63"/>
          <w:sz w:val="20"/>
          <w:szCs w:val="20"/>
        </w:rPr>
        <w:t xml:space="preserve"> Europe and North America grew 97.5% and 85.7%; June cash/bank balances plus structured deposits were RMB1.595bn. Much investing outflow was a move into term deposits.</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Risks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Costs outrun sales.</w:t>
      </w:r>
      <w:r>
        <w:rPr>
          <w:rFonts w:ascii="Arial" w:hAnsi="Arial" w:cs="Arial"/>
          <w:color w:val="153D63"/>
          <w:sz w:val="20"/>
          <w:szCs w:val="20"/>
        </w:rPr>
        <w:t xml:space="preserve"> H1 gross margin fell to 50.4%; selling and R&amp;D costs rose 63% and 73%. Forward gains of RMB33.8m offset much of the RMB42.7m FX loss, so FX alone does not explain the earnings reversal.</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Inventory needs to sell through.</w:t>
      </w:r>
      <w:r>
        <w:rPr>
          <w:rFonts w:ascii="Arial" w:hAnsi="Arial" w:cs="Arial"/>
          <w:color w:val="153D63"/>
          <w:sz w:val="20"/>
          <w:szCs w:val="20"/>
        </w:rPr>
        <w:t xml:space="preserve"> It absorbed RMB100.1m of cash; provisions rose to RMB9.8m from RMB5.7m. Great Wall forecasts only RMB28m FY2027 owner profit despite RMB2.045bn sales.</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Valuation versus peers</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2"/>
        <w:gridCol w:w="1620"/>
        <w:gridCol w:w="1620"/>
        <w:gridCol w:w="1620"/>
        <w:gridCol w:w="1620"/>
      </w:tblGrid>
      <w:tr>
        <w:trPr>
          <w:cantSplit/>
          <w:tblHeader/>
        </w:trPr>
        <w:tc>
          <w:tcPr>
            <w:tcW w:w="349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Company</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26 Oct price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 P/S</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FY2026E P/E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FY2027E P/E</w:t>
            </w:r>
          </w:p>
        </w:tc>
      </w:tr>
      <w:tr>
        <w:trPr>
          <w:cantSplit/>
        </w:trPr>
        <w:tc>
          <w:tcPr>
            <w:tcW w:w="349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OneRobotics 6600 HK</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HK$51.150</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11.0x</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352.5x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Anker H 668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HK$107.000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1.8x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15.1x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13.0x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Tuya 2391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HK$12.830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3.1x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15.0x†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13.4x†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UBTech 9880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HK$68.500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14.8x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Anker A 300866 A</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RMB118.820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2.3x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19.6x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16.9x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Roborock 688169 A</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RMB113.500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1.6x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14.6x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12.0x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Ecovacs 603486 A</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RMB47.330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1.4x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13.0x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11.7x</w:t>
            </w:r>
          </w:p>
        </w:tc>
      </w:tr>
    </w:tbl>
    <w:p w14:paraId="1AF2FA83" w14:textId="77777777" w:rsidR="001779E3" w:rsidRDefault="001779E3" w:rsidP="001779E3">
      <w:pPr>
        <w:rPr>
          <w:rFonts w:ascii="Arial" w:eastAsiaTheme="minorEastAsia" w:hAnsi="Arial" w:cs="Arial"/>
          <w:color w:val="153D63"/>
          <w:sz w:val="20"/>
          <w:szCs w:val="20"/>
        </w:rPr>
        <w:spacing w:before="75" w:after="85" w:line="240" w:lineRule="auto"/>
        <w:keepLines/>
      </w:pPr>
      <w:r>
        <w:rPr>
          <w:rFonts w:ascii="Arial" w:hAnsi="Arial" w:cs="Arial"/>
          <w:color w:val="153D63"/>
          <w:sz w:val="20"/>
          <w:szCs w:val="20"/>
          <w:b/>
        </w:rPr>
        <w:t xml:space="preserve">Closest:</w:t>
      </w:r>
      <w:r>
        <w:rPr>
          <w:rFonts w:ascii="Arial" w:hAnsi="Arial" w:cs="Arial"/>
          <w:color w:val="153D63"/>
          <w:sz w:val="20"/>
          <w:szCs w:val="20"/>
        </w:rPr>
        <w:t xml:space="preserve"> Anker H for global smart-home hardware; Roborock/Ecovacs for home robots. Tuya and UBTech are secondary platform/theme references. † Vendor forecast basis unverified.</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Catalysts and shareholder actions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29 October:</w:t>
      </w:r>
      <w:r>
        <w:rPr>
          <w:rFonts w:ascii="Arial" w:hAnsi="Arial" w:cs="Arial"/>
          <w:color w:val="153D63"/>
          <w:sz w:val="20"/>
          <w:szCs w:val="20"/>
        </w:rPr>
        <w:t xml:space="preserve"> Anker Q3 read-through. </w:t>
      </w:r>
      <w:r>
        <w:rPr>
          <w:rFonts w:ascii="Arial" w:hAnsi="Arial" w:cs="Arial"/>
          <w:color w:val="153D63"/>
          <w:sz w:val="20"/>
          <w:szCs w:val="20"/>
          <w:b/>
        </w:rPr>
        <w:t xml:space="preserve">30 December:</w:t>
      </w:r>
      <w:r>
        <w:rPr>
          <w:rFonts w:ascii="Arial" w:hAnsi="Arial" w:cs="Arial"/>
          <w:color w:val="153D63"/>
          <w:sz w:val="20"/>
          <w:szCs w:val="20"/>
        </w:rPr>
        <w:t xml:space="preserve"> 156.35m H shares release; founder Li Zhichen’s 43.65m stay locked through 29 June 2027. Average daily turnover is just 0.227m shares.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Trust buying:</w:t>
      </w:r>
      <w:r>
        <w:rPr>
          <w:rFonts w:ascii="Arial" w:hAnsi="Arial" w:cs="Arial"/>
          <w:color w:val="153D63"/>
          <w:sz w:val="20"/>
          <w:szCs w:val="20"/>
        </w:rPr>
        <w:t xml:space="preserve"> 653,200 shares for HK$39.9m by 14 September; employee-scheme stock, not cancellation. No new July–26 October DI notices found. FY2026 results due by March 2027, date unannounced.</w:t>
      </w:r>
    </w:p>
    <w:p w14:paraId="1AF2FA83" w14:textId="77777777" w:rsidR="001779E3" w:rsidRDefault="001779E3" w:rsidP="001779E3">
      <w:pPr>
        <w:rPr>
          <w:rFonts w:ascii="Arial" w:eastAsiaTheme="minorEastAsia" w:hAnsi="Arial" w:cs="Arial"/>
          <w:color w:val="153D63"/>
          <w:sz w:val="20"/>
          <w:szCs w:val="20"/>
        </w:rPr>
        <w:spacing w:before="0" w:after="0" w:line="240" w:lineRule="auto"/>
        <w:keepLines/>
      </w:pPr>
      <w:r>
        <w:rPr>
          <w:rFonts w:ascii="Arial" w:hAnsi="Arial" w:cs="Arial"/>
          <w:color w:val="153D63"/>
          <w:sz w:val="20"/>
          <w:szCs w:val="20"/>
          <w:b/>
        </w:rPr>
        <w:t xml:space="preserve">Confirms the short:</w:t>
      </w:r>
      <w:r>
        <w:rPr>
          <w:rFonts w:ascii="Arial" w:hAnsi="Arial" w:cs="Arial"/>
          <w:color w:val="153D63"/>
          <w:sz w:val="20"/>
          <w:szCs w:val="20"/>
        </w:rPr>
        <w:t xml:space="preserve"> weak sell-through and continued margin pressure.</w:t>
        <w:br/>
        <w:t xml:space="preserve"/>
      </w:r>
      <w:r>
        <w:rPr>
          <w:rFonts w:ascii="Arial" w:hAnsi="Arial" w:cs="Arial"/>
          <w:color w:val="153D63"/>
          <w:sz w:val="20"/>
          <w:szCs w:val="20"/>
          <w:b/>
        </w:rPr>
        <w:t xml:space="preserve">Invalidates it:</w:t>
      </w:r>
      <w:r>
        <w:rPr>
          <w:rFonts w:ascii="Arial" w:hAnsi="Arial" w:cs="Arial"/>
          <w:color w:val="153D63"/>
          <w:sz w:val="20"/>
          <w:szCs w:val="20"/>
        </w:rPr>
        <w:t xml:space="preserve"> successful Q4 launches, cash conversion and margin recovery.</w:t>
      </w:r>
    </w:p>
    <w:p w14:paraId="7B14C2B5" w14:textId="77777777" w:rsidR="001779E3" w:rsidRDefault="001779E3" w:rsidP="001779E3">
      <w:pPr>
        <w:rPr>
          <w:rFonts w:ascii="Arial" w:eastAsiaTheme="minorEastAsia" w:hAnsi="Arial" w:cs="Arial"/>
          <w:b/>
          <w:bCs/>
          <w:color w:val="FF0000"/>
          <w:sz w:val="20"/>
          <w:szCs w:val="20"/>
          <w:u w:val="single"/>
        </w:rPr>
        <w:spacing w:before="0" w:after="130" w:line="240" w:lineRule="auto"/>
        <w:keepLines/>
        <w:keepNext/>
        <w:pageBreakBefore/>
      </w:pPr>
      <w:r>
        <w:rPr>
          <w:rFonts w:ascii="Arial" w:hAnsi="Arial" w:cs="Arial" w:eastAsia="Hiragino Sans GB"/>
          <w:b/>
          <w:bCs/>
          <w:color w:val="153D63"/>
          <w:sz w:val="28"/>
          <w:szCs w:val="28"/>
          <w:u w:val="single"/>
        </w:rPr>
        <w:t xml:space="preserve">6651  51WORLD 五一視界</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rPr>
        <w:t xml:space="preserve">51Sim simulation, digital twins and physical-AI training infrastructure  |  Equity value HK$24.58bn</w:t>
      </w:r>
    </w:p>
    <w:p w14:paraId="1AF2FA83" w14:textId="77777777" w:rsidR="001779E3" w:rsidRDefault="001779E3" w:rsidP="001779E3">
      <w:pPr>
        <w:rPr>
          <w:rFonts w:ascii="Arial" w:eastAsiaTheme="minorEastAsia" w:hAnsi="Arial" w:cs="Arial"/>
          <w:color w:val="153D63"/>
          <w:sz w:val="20"/>
          <w:szCs w:val="20"/>
        </w:rPr>
        <w:spacing w:before="0" w:after="110" w:line="240" w:lineRule="auto"/>
        <w:keepLines/>
      </w:pPr>
      <w:r>
        <w:rPr>
          <w:rFonts w:ascii="Arial" w:hAnsi="Arial" w:cs="Arial"/>
          <w:color w:val="153D63"/>
          <w:sz w:val="20"/>
          <w:szCs w:val="20"/>
          <w:b/>
        </w:rPr>
        <w:t xml:space="preserve">Desk view  Largest valuation stretch; theme momentum can persist before earnings catch up.</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72"/>
        <w:gridCol w:w="2000"/>
        <w:gridCol w:w="2000"/>
        <w:gridCol w:w="2000"/>
      </w:tblGrid>
      <w:tr>
        <w:trPr>
          <w:cantSplit/>
          <w:tblHeader/>
        </w:trPr>
        <w:tc>
          <w:tcPr>
            <w:tcW w:w="397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RMBm, except margin</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2025</w:t>
            </w:r>
          </w:p>
        </w:tc>
        <w:tc>
          <w:tcPr>
            <w:tcW w:w="200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H1 2026</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Revenue</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347.8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53.8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123.7</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Gross margin</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30.0%</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41.1%</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44.8%</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Owner profit / (loss)</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-181.8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-91.1</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-67.6</w:t>
            </w:r>
          </w:p>
        </w:tc>
      </w:tr>
      <w:tr>
        <w:trPr>
          <w:cantSplit/>
        </w:trPr>
        <w:tc>
          <w:tcPr>
            <w:tcW w:w="3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Operating cash flow</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-91.8</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-41.7</w:t>
            </w:r>
          </w:p>
        </w:tc>
        <w:tc>
          <w:tcPr>
            <w:tcW w:w="2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-43.1</w:t>
            </w:r>
          </w:p>
        </w:tc>
      </w:tr>
    </w:tbl>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Good points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A strong simulation niche.</w:t>
      </w:r>
      <w:r>
        <w:rPr>
          <w:rFonts w:ascii="Arial" w:hAnsi="Arial" w:cs="Arial"/>
          <w:color w:val="153D63"/>
          <w:sz w:val="20"/>
          <w:szCs w:val="20"/>
        </w:rPr>
        <w:t xml:space="preserve"> The FY2025 report cites 53.5% of China’s end-to-end high-level driving simulation/data-platform market. H1 51Sim sales rose 545% to RMB51.2m, or 41.4% of revenue.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Visible physical-AI catalysts.</w:t>
      </w:r>
      <w:r>
        <w:rPr>
          <w:rFonts w:ascii="Arial" w:hAnsi="Arial" w:cs="Arial"/>
          <w:color w:val="153D63"/>
          <w:sz w:val="20"/>
          <w:szCs w:val="20"/>
        </w:rPr>
        <w:t xml:space="preserve"> 51Sim joined NVIDIA’s Halos SAFE ecosystem on 22 October. Aper orders exceeded RMB200m by 16 September, with over 90% targeted for delivery this year.</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Risks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Orders still need to become cash.</w:t>
      </w:r>
      <w:r>
        <w:rPr>
          <w:rFonts w:ascii="Arial" w:hAnsi="Arial" w:cs="Arial"/>
          <w:color w:val="153D63"/>
          <w:sz w:val="20"/>
          <w:szCs w:val="20"/>
        </w:rPr>
        <w:t xml:space="preserve"> Hardware/software delivery, acceptance and collection remain essential. NVIDIA ecosystem participation does not itself establish contracted revenue; initial equipment orders do not prove recurring usage.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The earnings hurdle is high.</w:t>
      </w:r>
      <w:r>
        <w:rPr>
          <w:rFonts w:ascii="Arial" w:hAnsi="Arial" w:cs="Arial"/>
          <w:color w:val="153D63"/>
          <w:sz w:val="20"/>
          <w:szCs w:val="20"/>
        </w:rPr>
        <w:t xml:space="preserve"> H1 losses and cash outflow continued. Guosheng’s newer forecasts imply 28.1x / 13.8x FY2026/27 sales, but only -RMB110m / +RMB10m adjusted profit; this is not reported breakeven.</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Valuation versus peers</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2"/>
        <w:gridCol w:w="1620"/>
        <w:gridCol w:w="1620"/>
        <w:gridCol w:w="1620"/>
        <w:gridCol w:w="1620"/>
      </w:tblGrid>
      <w:tr>
        <w:trPr>
          <w:cantSplit/>
          <w:tblHeader/>
        </w:trPr>
        <w:tc>
          <w:tcPr>
            <w:tcW w:w="3492"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Company</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26 Oct price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FY2025 P/S</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FY2026E P/E</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b/>
              </w:rPr>
              <w:t xml:space="preserve">FY2027E P/E</w:t>
            </w:r>
          </w:p>
        </w:tc>
      </w:tr>
      <w:tr>
        <w:trPr>
          <w:cantSplit/>
        </w:trPr>
        <w:tc>
          <w:tcPr>
            <w:tcW w:w="349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51WORLD 6651 HK</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HK$58.600</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60.5x</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c>
          <w:tcPr>
            <w:tcW w:w="162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NM†</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Saimo 2571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HK$16.200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7.0x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n/v</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n/v</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Manycore 68 HK</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HK$3.095</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5.6x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34.9x†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keepNext/>
            </w:pPr>
            <w:r>
              <w:rPr>
                <w:rFonts w:ascii="Arial" w:hAnsi="Arial" w:cs="Arial"/>
                <w:color w:val="153D63"/>
                <w:sz w:val="20"/>
                <w:szCs w:val="20"/>
              </w:rPr>
              <w:t xml:space="preserve">36.0x†</w:t>
            </w:r>
          </w:p>
        </w:tc>
      </w:tr>
      <w:tr>
        <w:trPr>
          <w:cantSplit/>
        </w:trPr>
        <w:tc>
          <w:tcPr>
            <w:tcW w:w="349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SuperMap 300036 A</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RMB10.660</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3.5x</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n/v</w:t>
            </w:r>
          </w:p>
        </w:tc>
        <w:tc>
          <w:tcPr>
            <w:tcW w:w="162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center"/>
            </w:pPr>
            <w:r>
              <w:rPr>
                <w:rFonts w:ascii="Arial" w:hAnsi="Arial" w:cs="Arial"/>
                <w:color w:val="153D63"/>
                <w:sz w:val="20"/>
                <w:szCs w:val="20"/>
              </w:rPr>
              <w:t xml:space="preserve">n/v</w:t>
            </w:r>
          </w:p>
        </w:tc>
      </w:tr>
    </w:tbl>
    <w:p w14:paraId="1AF2FA83" w14:textId="77777777" w:rsidR="001779E3" w:rsidRDefault="001779E3" w:rsidP="001779E3">
      <w:pPr>
        <w:rPr>
          <w:rFonts w:ascii="Arial" w:eastAsiaTheme="minorEastAsia" w:hAnsi="Arial" w:cs="Arial"/>
          <w:color w:val="153D63"/>
          <w:sz w:val="20"/>
          <w:szCs w:val="20"/>
        </w:rPr>
        <w:spacing w:before="75" w:after="85" w:line="240" w:lineRule="auto"/>
        <w:keepLines/>
      </w:pPr>
      <w:r>
        <w:rPr>
          <w:rFonts w:ascii="Arial" w:hAnsi="Arial" w:cs="Arial"/>
          <w:color w:val="153D63"/>
          <w:sz w:val="20"/>
          <w:szCs w:val="20"/>
          <w:b/>
        </w:rPr>
        <w:t xml:space="preserve">Closest:</w:t>
      </w:r>
      <w:r>
        <w:rPr>
          <w:rFonts w:ascii="Arial" w:hAnsi="Arial" w:cs="Arial"/>
          <w:color w:val="153D63"/>
          <w:sz w:val="20"/>
          <w:szCs w:val="20"/>
        </w:rPr>
        <w:t xml:space="preserve"> Saimo for H simulation/testing; SuperMap for A digital twins. Manycore is adjacent spatial software. Saimo had zero volume on 26 October. † Vendor forecast basis unverified; Huatai expects reported losses in both years.</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Catalysts and shareholder actions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Year-end Aper deliveries</w:t>
      </w:r>
      <w:r>
        <w:rPr>
          <w:rFonts w:ascii="Arial" w:hAnsi="Arial" w:cs="Arial"/>
          <w:color w:val="153D63"/>
          <w:sz w:val="20"/>
          <w:szCs w:val="20"/>
        </w:rPr>
        <w:t xml:space="preserve"> are the next operating test. </w:t>
      </w:r>
      <w:r>
        <w:rPr>
          <w:rFonts w:ascii="Arial" w:hAnsi="Arial" w:cs="Arial"/>
          <w:color w:val="153D63"/>
          <w:sz w:val="20"/>
          <w:szCs w:val="20"/>
          <w:b/>
        </w:rPr>
        <w:t xml:space="preserve">30 December:</w:t>
      </w:r>
      <w:r>
        <w:rPr>
          <w:rFonts w:ascii="Arial" w:hAnsi="Arial" w:cs="Arial"/>
          <w:color w:val="153D63"/>
          <w:sz w:val="20"/>
          <w:szCs w:val="20"/>
        </w:rPr>
        <w:t xml:space="preserve"> 363.30m original H shares release, including 79.26m held by LS51World Holding Limited and Sky9 51World Limited.</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before="0" w:after="75" w:line="240" w:lineRule="auto"/>
        <w:keepLines/>
      </w:pPr>
      <w:r>
        <w:rPr>
          <w:rFonts w:ascii="Arial" w:hAnsi="Arial" w:cs="Arial"/>
          <w:color w:val="153D63"/>
          <w:sz w:val="20"/>
          <w:szCs w:val="20"/>
          <w:b/>
        </w:rPr>
        <w:t xml:space="preserve">10 July placing:</w:t>
      </w:r>
      <w:r>
        <w:rPr>
          <w:rFonts w:ascii="Arial" w:hAnsi="Arial" w:cs="Arial"/>
          <w:color w:val="153D63"/>
          <w:sz w:val="20"/>
          <w:szCs w:val="20"/>
        </w:rPr>
        <w:t xml:space="preserve"> 5.466m shares at HK$73.20; net HK$394.5m. The close is 20% lower. Li Yi/LS51World DI changes were dilution; September RSUs are incentives. FY2026 results due by March 2027; no verified new index-add call.</w:t>
      </w:r>
    </w:p>
    <w:p w14:paraId="1AF2FA83" w14:textId="77777777" w:rsidR="001779E3" w:rsidRDefault="001779E3" w:rsidP="001779E3">
      <w:pPr>
        <w:rPr>
          <w:rFonts w:ascii="Arial" w:eastAsiaTheme="minorEastAsia" w:hAnsi="Arial" w:cs="Arial"/>
          <w:color w:val="153D63"/>
          <w:sz w:val="20"/>
          <w:szCs w:val="20"/>
        </w:rPr>
        <w:spacing w:before="0" w:after="90" w:line="240" w:lineRule="auto"/>
        <w:keepLines/>
      </w:pPr>
      <w:r>
        <w:rPr>
          <w:rFonts w:ascii="Arial" w:hAnsi="Arial" w:cs="Arial"/>
          <w:color w:val="153D63"/>
          <w:sz w:val="20"/>
          <w:szCs w:val="20"/>
          <w:b/>
        </w:rPr>
        <w:t xml:space="preserve">Confirms the short:</w:t>
      </w:r>
      <w:r>
        <w:rPr>
          <w:rFonts w:ascii="Arial" w:hAnsi="Arial" w:cs="Arial"/>
          <w:color w:val="153D63"/>
          <w:sz w:val="20"/>
          <w:szCs w:val="20"/>
        </w:rPr>
        <w:t xml:space="preserve"> missed acceptance, margin dilution or weak repeat orders.</w:t>
        <w:br/>
        <w:t xml:space="preserve"/>
      </w:r>
      <w:r>
        <w:rPr>
          <w:rFonts w:ascii="Arial" w:hAnsi="Arial" w:cs="Arial"/>
          <w:color w:val="153D63"/>
          <w:sz w:val="20"/>
          <w:szCs w:val="20"/>
          <w:b/>
        </w:rPr>
        <w:t xml:space="preserve">Invalidates it:</w:t>
      </w:r>
      <w:r>
        <w:rPr>
          <w:rFonts w:ascii="Arial" w:hAnsi="Arial" w:cs="Arial"/>
          <w:color w:val="153D63"/>
          <w:sz w:val="20"/>
          <w:szCs w:val="20"/>
        </w:rPr>
        <w:t xml:space="preserve"> paid deployments and recurring usage at improving margins.</w:t>
      </w:r>
    </w:p>
    <w:p w14:paraId="1AF2FA83" w14:textId="77777777" w:rsidR="001779E3" w:rsidRDefault="001779E3" w:rsidP="001779E3">
      <w:pPr>
        <w:rPr>
          <w:rFonts w:ascii="Arial" w:eastAsiaTheme="minorEastAsia" w:hAnsi="Arial" w:cs="Arial"/>
          <w:color w:val="153D63"/>
          <w:sz w:val="20"/>
          <w:szCs w:val="20"/>
        </w:rPr>
        <w:spacing w:before="0" w:after="0" w:line="240" w:lineRule="auto"/>
        <w:keepLines/>
      </w:pPr>
      <w:r>
        <w:rPr>
          <w:rFonts w:ascii="Arial" w:hAnsi="Arial" w:cs="Arial"/>
          <w:color w:val="153D63"/>
          <w:sz w:val="20"/>
          <w:szCs w:val="20"/>
        </w:rPr>
        <w:t xml:space="preserve">Market-share claims use narrow commissioned definitions. Forecast dates and sources: p6.</w:t>
      </w:r>
    </w:p>
    <w:p w14:paraId="7B14C2B5" w14:textId="77777777" w:rsidR="001779E3" w:rsidRDefault="001779E3" w:rsidP="001779E3">
      <w:pPr>
        <w:rPr>
          <w:rFonts w:ascii="Arial" w:eastAsiaTheme="minorEastAsia" w:hAnsi="Arial" w:cs="Arial"/>
          <w:b/>
          <w:bCs/>
          <w:color w:val="FF0000"/>
          <w:sz w:val="20"/>
          <w:szCs w:val="20"/>
          <w:u w:val="single"/>
        </w:rPr>
        <w:spacing w:before="0" w:after="130" w:line="240" w:lineRule="auto"/>
        <w:keepLines/>
        <w:keepNext/>
        <w:pageBreakBefore/>
      </w:pPr>
      <w:r>
        <w:rPr>
          <w:rFonts w:ascii="Arial" w:hAnsi="Arial" w:cs="Arial"/>
          <w:b/>
          <w:bCs/>
          <w:color w:val="153D63"/>
          <w:sz w:val="28"/>
          <w:szCs w:val="28"/>
          <w:u w:val="single"/>
        </w:rPr>
        <w:t xml:space="preserve">Sources and valuation basis</w:t>
      </w:r>
    </w:p>
    <w:p w14:paraId="1AF2FA83" w14:textId="77777777" w:rsidR="001779E3" w:rsidRDefault="001779E3" w:rsidP="001779E3">
      <w:pPr>
        <w:rPr>
          <w:rFonts w:ascii="Arial" w:eastAsiaTheme="minorEastAsia" w:hAnsi="Arial" w:cs="Arial"/>
          <w:color w:val="153D63"/>
          <w:sz w:val="20"/>
          <w:szCs w:val="20"/>
        </w:rPr>
        <w:spacing w:before="0" w:after="100" w:line="240" w:lineRule="auto"/>
        <w:keepLines/>
      </w:pPr>
      <w:r>
        <w:rPr>
          <w:rFonts w:ascii="Arial" w:hAnsi="Arial" w:cs="Arial"/>
          <w:color w:val="153D63"/>
          <w:sz w:val="20"/>
          <w:szCs w:val="20"/>
        </w:rPr>
        <w:t xml:space="preserve">Prices are dated 26 October 2026. Forecast dates and accounting conventions are listed below.</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How to read the numbers</w:t>
      </w:r>
    </w:p>
    <w:p w14:paraId="1AF2FA83" w14:textId="77777777" w:rsidR="001779E3" w:rsidRDefault="001779E3" w:rsidP="001779E3">
      <w:pPr>
        <w:rPr>
          <w:rFonts w:ascii="Arial" w:eastAsiaTheme="minorEastAsia" w:hAnsi="Arial" w:cs="Arial"/>
          <w:color w:val="153D63"/>
          <w:sz w:val="20"/>
          <w:szCs w:val="20"/>
        </w:rPr>
        <w:spacing w:before="0" w:after="85" w:line="240" w:lineRule="auto"/>
        <w:keepLines/>
      </w:pPr>
      <w:r>
        <w:rPr>
          <w:rFonts w:ascii="Arial" w:hAnsi="Arial" w:cs="Arial"/>
          <w:color w:val="153D63"/>
          <w:sz w:val="20"/>
          <w:szCs w:val="20"/>
          <w:b/>
        </w:rPr>
        <w:t xml:space="preserve">P/S:</w:t>
      </w:r>
      <w:r>
        <w:rPr>
          <w:rFonts w:ascii="Arial" w:hAnsi="Arial" w:cs="Arial"/>
          <w:color w:val="153D63"/>
          <w:sz w:val="20"/>
          <w:szCs w:val="20"/>
        </w:rPr>
        <w:t xml:space="preserve"> FY2025 actual sales. </w:t>
      </w:r>
      <w:r>
        <w:rPr>
          <w:rFonts w:ascii="Arial" w:hAnsi="Arial" w:cs="Arial"/>
          <w:color w:val="153D63"/>
          <w:sz w:val="20"/>
          <w:szCs w:val="20"/>
          <w:b/>
        </w:rPr>
        <w:t xml:space="preserve">P/E:</w:t>
      </w:r>
      <w:r>
        <w:rPr>
          <w:rFonts w:ascii="Arial" w:hAnsi="Arial" w:cs="Arial"/>
          <w:color w:val="153D63"/>
          <w:sz w:val="20"/>
          <w:szCs w:val="20"/>
        </w:rPr>
        <w:t xml:space="preserve"> dated full-year owner-profit forecasts; no interim annualisation. </w:t>
      </w:r>
      <w:r>
        <w:rPr>
          <w:rFonts w:ascii="Arial" w:hAnsi="Arial" w:cs="Arial"/>
          <w:color w:val="153D63"/>
          <w:sz w:val="20"/>
          <w:szCs w:val="20"/>
          <w:b/>
        </w:rPr>
        <w:t xml:space="preserve">NM:</w:t>
      </w:r>
      <w:r>
        <w:rPr>
          <w:rFonts w:ascii="Arial" w:hAnsi="Arial" w:cs="Arial"/>
          <w:color w:val="153D63"/>
          <w:sz w:val="20"/>
          <w:szCs w:val="20"/>
        </w:rPr>
        <w:t xml:space="preserve"> forecast loss. </w:t>
      </w:r>
      <w:r>
        <w:rPr>
          <w:rFonts w:ascii="Arial" w:hAnsi="Arial" w:cs="Arial"/>
          <w:color w:val="153D63"/>
          <w:sz w:val="20"/>
          <w:szCs w:val="20"/>
          <w:b/>
        </w:rPr>
        <w:t xml:space="preserve">n/v:</w:t>
      </w:r>
      <w:r>
        <w:rPr>
          <w:rFonts w:ascii="Arial" w:hAnsi="Arial" w:cs="Arial"/>
          <w:color w:val="153D63"/>
          <w:sz w:val="20"/>
          <w:szCs w:val="20"/>
        </w:rPr>
        <w:t xml:space="preserve"> no verified exact forecast. </w:t>
      </w:r>
      <w:r>
        <w:rPr>
          <w:rFonts w:ascii="Arial" w:hAnsi="Arial" w:cs="Arial"/>
          <w:color w:val="153D63"/>
          <w:sz w:val="20"/>
          <w:szCs w:val="20"/>
          <w:b/>
        </w:rPr>
        <w:t xml:space="preserve">†:</w:t>
      </w:r>
      <w:r>
        <w:rPr>
          <w:rFonts w:ascii="Arial" w:hAnsi="Arial" w:cs="Arial"/>
          <w:color w:val="153D63"/>
          <w:sz w:val="20"/>
          <w:szCs w:val="20"/>
        </w:rPr>
        <w:t xml:space="preserve"> EtNet owner-profit field; the original broker adjustment basis is unverified. These are selected estimates, not consensus.</w:t>
      </w:r>
    </w:p>
    <w:p w14:paraId="1AF2FA83" w14:textId="77777777" w:rsidR="001779E3" w:rsidRDefault="001779E3" w:rsidP="001779E3">
      <w:pPr>
        <w:rPr>
          <w:rFonts w:ascii="Arial" w:eastAsiaTheme="minorEastAsia" w:hAnsi="Arial" w:cs="Arial"/>
          <w:color w:val="153D63"/>
          <w:sz w:val="20"/>
          <w:szCs w:val="20"/>
        </w:rPr>
        <w:spacing w:before="0" w:after="85" w:line="240" w:lineRule="auto"/>
        <w:keepLines/>
      </w:pPr>
      <w:r>
        <w:rPr>
          <w:rFonts w:ascii="Arial" w:hAnsi="Arial" w:cs="Arial"/>
          <w:color w:val="153D63"/>
          <w:sz w:val="20"/>
          <w:szCs w:val="20"/>
        </w:rPr>
        <w:t xml:space="preserve">H-share values apply H price to total ordinary shares. FX: RMB0.85634/HKD and RMB6.7162/USD, SAFE central parity. Anker A/H use identical shares and earnings; their line-implied values are separate, with a 22.9% H discount. Target capital counts use filings; most peer market caps use the dated quote feeds.</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Forecast source key</w:t>
      </w:r>
    </w:p>
    <w:tbl>
      <w:tblPr>
        <w:tblW w:w="9972" w:type="dxa"/>
        <w:tblCellMar>
          <w:left w:w="65" w:type="dxa"/>
          <w:right w:w="65"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000"/>
        <w:gridCol w:w="5972"/>
      </w:tblGrid>
      <w:tr>
        <w:trPr>
          <w:cantSplit/>
          <w:tblHeader/>
        </w:trPr>
        <w:tc>
          <w:tcPr>
            <w:tcW w:w="400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Stock</w:t>
            </w:r>
          </w:p>
        </w:tc>
        <w:tc>
          <w:tcPr>
            <w:tcW w:w="5972"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Broker and 2026 forecast date</w:t>
            </w:r>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3317</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17">
              <w:r>
                <w:rPr>
                  <w:rFonts w:ascii="Arial" w:hAnsi="Arial" w:cs="Arial"/>
                  <w:color w:val="153D63"/>
                  <w:sz w:val="20"/>
                  <w:szCs w:val="20"/>
                  <w:u w:val="single"/>
                </w:rPr>
                <w:t xml:space="preserve">GTJ / EtNet · 28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6600</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18">
              <w:r>
                <w:rPr>
                  <w:rFonts w:ascii="Arial" w:hAnsi="Arial" w:cs="Arial"/>
                  <w:color w:val="153D63"/>
                  <w:sz w:val="20"/>
                  <w:szCs w:val="20"/>
                  <w:u w:val="single"/>
                </w:rPr>
                <w:t xml:space="preserve">Great Wall · 20 Oct</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6651</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19">
              <w:r>
                <w:rPr>
                  <w:rFonts w:ascii="Arial" w:hAnsi="Arial" w:cs="Arial"/>
                  <w:color w:val="153D63"/>
                  <w:sz w:val="20"/>
                  <w:szCs w:val="20"/>
                  <w:u w:val="single"/>
                </w:rPr>
                <w:t xml:space="preserve">Huatai / EtNet · 15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SenseTime 20</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0">
              <w:r>
                <w:rPr>
                  <w:rFonts w:ascii="Arial" w:hAnsi="Arial" w:cs="Arial"/>
                  <w:color w:val="153D63"/>
                  <w:sz w:val="20"/>
                  <w:szCs w:val="20"/>
                  <w:u w:val="single"/>
                </w:rPr>
                <w:t xml:space="preserve">GTHT · 10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Deepexi 1384</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1">
              <w:r>
                <w:rPr>
                  <w:rFonts w:ascii="Arial" w:hAnsi="Arial" w:cs="Arial"/>
                  <w:color w:val="153D63"/>
                  <w:sz w:val="20"/>
                  <w:szCs w:val="20"/>
                  <w:u w:val="single"/>
                </w:rPr>
                <w:t xml:space="preserve">GTJ / EtNet · 20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Phancy 6682</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2">
              <w:r>
                <w:rPr>
                  <w:rFonts w:ascii="Arial" w:hAnsi="Arial" w:cs="Arial"/>
                  <w:color w:val="153D63"/>
                  <w:sz w:val="20"/>
                  <w:szCs w:val="20"/>
                  <w:u w:val="single"/>
                </w:rPr>
                <w:t xml:space="preserve">JPM / EtNet · 23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Manycore 68</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3">
              <w:r>
                <w:rPr>
                  <w:rFonts w:ascii="Arial" w:hAnsi="Arial" w:cs="Arial"/>
                  <w:color w:val="153D63"/>
                  <w:sz w:val="20"/>
                  <w:szCs w:val="20"/>
                  <w:u w:val="single"/>
                </w:rPr>
                <w:t xml:space="preserve">JPM / EtNet · 23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Hundsun 600570</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4">
              <w:r>
                <w:rPr>
                  <w:rFonts w:ascii="Arial" w:hAnsi="Arial" w:cs="Arial"/>
                  <w:color w:val="153D63"/>
                  <w:sz w:val="20"/>
                  <w:szCs w:val="20"/>
                  <w:u w:val="single"/>
                </w:rPr>
                <w:t xml:space="preserve">Soochow · 25 Aug</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Anker H 668 / A 300866</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5">
              <w:r>
                <w:rPr>
                  <w:rFonts w:ascii="Arial" w:hAnsi="Arial" w:cs="Arial"/>
                  <w:color w:val="153D63"/>
                  <w:sz w:val="20"/>
                  <w:szCs w:val="20"/>
                  <w:u w:val="single"/>
                </w:rPr>
                <w:t xml:space="preserve">Kaiyuan · 1 Sep</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Roborock 688169</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6">
              <w:r>
                <w:rPr>
                  <w:rFonts w:ascii="Arial" w:hAnsi="Arial" w:cs="Arial"/>
                  <w:color w:val="153D63"/>
                  <w:sz w:val="20"/>
                  <w:szCs w:val="20"/>
                  <w:u w:val="single"/>
                </w:rPr>
                <w:t xml:space="preserve">Guosen · 12 Oct</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Ecovacs 603486</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7">
              <w:r>
                <w:rPr>
                  <w:rFonts w:ascii="Arial" w:hAnsi="Arial" w:cs="Arial"/>
                  <w:color w:val="153D63"/>
                  <w:sz w:val="20"/>
                  <w:szCs w:val="20"/>
                  <w:u w:val="single"/>
                </w:rPr>
                <w:t xml:space="preserve">Guosen · 13 Oct</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r>
              <w:rPr>
                <w:rFonts w:ascii="Arial" w:hAnsi="Arial" w:cs="Arial"/>
                <w:color w:val="153D63"/>
                <w:sz w:val="20"/>
                <w:szCs w:val="20"/>
                <w:b/>
              </w:rPr>
              <w:t xml:space="preserve">Tuya 2391</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keepNext/>
            </w:pPr>
            <w:hyperlink r:id="rId28">
              <w:r>
                <w:rPr>
                  <w:rFonts w:ascii="Arial" w:hAnsi="Arial" w:cs="Arial"/>
                  <w:color w:val="153D63"/>
                  <w:sz w:val="20"/>
                  <w:szCs w:val="20"/>
                  <w:u w:val="single"/>
                </w:rPr>
                <w:t xml:space="preserve">CICC / EtNet · 29 Aug†</w:t>
              </w:r>
            </w:hyperlink>
          </w:p>
        </w:tc>
      </w:tr>
      <w:tr>
        <w:trPr>
          <w:cantSplit/>
        </w:trPr>
        <w:tc>
          <w:tcPr>
            <w:tcW w:w="4000"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r>
              <w:rPr>
                <w:rFonts w:ascii="Arial" w:hAnsi="Arial" w:cs="Arial"/>
                <w:color w:val="153D63"/>
                <w:sz w:val="20"/>
                <w:szCs w:val="20"/>
                <w:b/>
              </w:rPr>
              <w:t xml:space="preserve">UBTech 9880</w:t>
            </w:r>
          </w:p>
        </w:tc>
        <w:tc>
          <w:tcPr>
            <w:tcW w:w="5972" w:type="dxa"/>
            <w:hideMark/>
            <w:vAlign w:val="center"/>
          </w:tcPr>
          <w:p w14:paraId="1AF2FA83" w14:textId="77777777" w:rsidR="001779E3" w:rsidRDefault="001779E3" w:rsidP="001779E3">
            <w:pPr>
              <w:rPr>
                <w:rFonts w:ascii="Arial" w:eastAsiaTheme="minorEastAsia" w:hAnsi="Arial" w:cs="Arial"/>
                <w:color w:val="153D63"/>
                <w:sz w:val="20"/>
                <w:szCs w:val="20"/>
              </w:rPr>
              <w:spacing w:before="0" w:after="0" w:line="240" w:lineRule="auto"/>
              <w:keepLines/>
              <w:jc w:val="left"/>
            </w:pPr>
            <w:hyperlink r:id="rId29">
              <w:r>
                <w:rPr>
                  <w:rFonts w:ascii="Arial" w:hAnsi="Arial" w:cs="Arial"/>
                  <w:color w:val="153D63"/>
                  <w:sz w:val="20"/>
                  <w:szCs w:val="20"/>
                  <w:u w:val="single"/>
                </w:rPr>
                <w:t xml:space="preserve">CICC · 29 Aug</w:t>
              </w:r>
            </w:hyperlink>
          </w:p>
        </w:tc>
      </w:tr>
    </w:tbl>
    <w:p w14:paraId="1AF2FA83" w14:textId="77777777" w:rsidR="001779E3" w:rsidRDefault="001779E3" w:rsidP="001779E3">
      <w:pPr>
        <w:rPr>
          <w:rFonts w:ascii="Arial" w:eastAsiaTheme="minorEastAsia" w:hAnsi="Arial" w:cs="Arial"/>
          <w:color w:val="153D63"/>
          <w:sz w:val="20"/>
          <w:szCs w:val="20"/>
        </w:rPr>
        <w:spacing w:before="75" w:after="85" w:line="240" w:lineRule="auto"/>
        <w:keepLines/>
      </w:pPr>
      <w:r>
        <w:rPr>
          <w:rFonts w:ascii="Arial" w:hAnsi="Arial" w:cs="Arial"/>
          <w:color w:val="153D63"/>
          <w:sz w:val="20"/>
          <w:szCs w:val="20"/>
          <w:b/>
        </w:rPr>
        <w:t xml:space="preserve">51WORLD reconciliation:</w:t>
      </w:r>
      <w:r>
        <w:rPr>
          <w:rFonts w:ascii="Arial" w:hAnsi="Arial" w:cs="Arial"/>
          <w:color w:val="153D63"/>
          <w:sz w:val="20"/>
          <w:szCs w:val="20"/>
        </w:rPr>
        <w:t xml:space="preserve"> Huatai sales RMB623m / RMB1,172m imply 33.8x / 18.0x FY2026/27 P/S, with reported losses. Guosheng sales RMB750m / RMB1,530m imply 28.1x / 13.8x; its profit estimates are adjusted. They are not mixed in the P/E table.</w:t>
      </w:r>
    </w:p>
    <w:p w14:paraId="52FB51E6" w14:textId="77777777" w:rsidR="001779E3" w:rsidRDefault="001779E3" w:rsidP="001779E3">
      <w:pPr>
        <w:rPr>
          <w:rFonts w:ascii="Arial" w:hAnsi="Arial" w:cs="Arial"/>
          <w:color w:val="FF0000"/>
          <w:sz w:val="20"/>
          <w:szCs w:val="20"/>
        </w:rPr>
        <w:spacing w:before="90" w:after="80" w:line="240" w:lineRule="auto"/>
        <w:keepLines/>
        <w:keepNext/>
      </w:pPr>
      <w:r>
        <w:rPr>
          <w:rFonts w:ascii="Arial" w:hAnsi="Arial" w:cs="Arial"/>
          <w:b/>
          <w:bCs/>
          <w:color w:val="FF0000"/>
          <w:sz w:val="20"/>
          <w:szCs w:val="20"/>
        </w:rPr>
        <w:t xml:space="preserve">Primary filings and supporting research</w:t>
      </w:r>
    </w:p>
    <w:p w14:paraId="1AF2FA83" w14:textId="77777777" w:rsidR="001779E3" w:rsidRDefault="001779E3" w:rsidP="001779E3">
      <w:pPr>
        <w:rPr>
          <w:rFonts w:ascii="Arial" w:eastAsiaTheme="minorEastAsia" w:hAnsi="Arial" w:cs="Arial"/>
          <w:color w:val="153D63"/>
          <w:sz w:val="20"/>
          <w:szCs w:val="20"/>
        </w:rPr>
        <w:spacing w:before="0" w:after="55" w:line="240" w:lineRule="auto"/>
        <w:keepLines/>
      </w:pPr>
      <w:r>
        <w:rPr>
          <w:rFonts w:ascii="Arial" w:hAnsi="Arial" w:cs="Arial"/>
          <w:color w:val="153D63"/>
          <w:sz w:val="20"/>
          <w:szCs w:val="20"/>
          <w:b/>
        </w:rPr>
        <w:t xml:space="preserve">2635  </w:t>
      </w:r>
      <w:hyperlink r:id="rId30">
        <w:r>
          <w:rPr>
            <w:rFonts w:ascii="Arial" w:hAnsi="Arial" w:cs="Arial"/>
            <w:color w:val="153D63"/>
            <w:sz w:val="20"/>
            <w:szCs w:val="20"/>
            <w:u w:val="single"/>
          </w:rPr>
          <w:t xml:space="preserve">H1 results</w:t>
        </w:r>
      </w:hyperlink>
      <w:r>
        <w:rPr>
          <w:rFonts w:ascii="Arial" w:hAnsi="Arial" w:cs="Arial"/>
          <w:color w:val="153D63"/>
          <w:sz w:val="20"/>
          <w:szCs w:val="20"/>
        </w:rPr>
        <w:t xml:space="preserve">; </w:t>
      </w:r>
      <w:hyperlink r:id="rId31">
        <w:r>
          <w:rPr>
            <w:rFonts w:ascii="Arial" w:hAnsi="Arial" w:cs="Arial"/>
            <w:color w:val="153D63"/>
            <w:sz w:val="20"/>
            <w:szCs w:val="20"/>
            <w:u w:val="single"/>
          </w:rPr>
          <w:t xml:space="preserve">FY2025</w:t>
        </w:r>
      </w:hyperlink>
      <w:r>
        <w:rPr>
          <w:rFonts w:ascii="Arial" w:hAnsi="Arial" w:cs="Arial"/>
          <w:color w:val="153D63"/>
          <w:sz w:val="20"/>
          <w:szCs w:val="20"/>
        </w:rPr>
        <w:t xml:space="preserve">; </w:t>
      </w:r>
      <w:hyperlink r:id="rId32">
        <w:r>
          <w:rPr>
            <w:rFonts w:ascii="Arial" w:hAnsi="Arial" w:cs="Arial"/>
            <w:color w:val="153D63"/>
            <w:sz w:val="20"/>
            <w:szCs w:val="20"/>
            <w:u w:val="single"/>
          </w:rPr>
          <w:t xml:space="preserve">lockup</w:t>
        </w:r>
      </w:hyperlink>
      <w:r>
        <w:rPr>
          <w:rFonts w:ascii="Arial" w:hAnsi="Arial" w:cs="Arial"/>
          <w:color w:val="153D63"/>
          <w:sz w:val="20"/>
          <w:szCs w:val="20"/>
        </w:rPr>
        <w:t xml:space="preserve">; </w:t>
      </w:r>
      <w:hyperlink r:id="rId33">
        <w:r>
          <w:rPr>
            <w:rFonts w:ascii="Arial" w:hAnsi="Arial" w:cs="Arial"/>
            <w:color w:val="153D63"/>
            <w:sz w:val="20"/>
            <w:szCs w:val="20"/>
            <w:u w:val="single"/>
          </w:rPr>
          <w:t xml:space="preserve">placing</w:t>
        </w:r>
      </w:hyperlink>
      <w:r>
        <w:rPr>
          <w:rFonts w:ascii="Arial" w:hAnsi="Arial" w:cs="Arial"/>
          <w:color w:val="153D63"/>
          <w:sz w:val="20"/>
          <w:szCs w:val="20"/>
        </w:rPr>
        <w:t xml:space="preserve">; </w:t>
      </w:r>
      <w:hyperlink r:id="rId34">
        <w:r>
          <w:rPr>
            <w:rFonts w:ascii="Arial" w:hAnsi="Arial" w:cs="Arial"/>
            <w:color w:val="153D63"/>
            <w:sz w:val="20"/>
            <w:szCs w:val="20"/>
            <w:u w:val="single"/>
          </w:rPr>
          <w:t xml:space="preserve">supplier clarification</w:t>
        </w:r>
      </w:hyperlink>
    </w:p>
    <w:p w14:paraId="1AF2FA83" w14:textId="77777777" w:rsidR="001779E3" w:rsidRDefault="001779E3" w:rsidP="001779E3">
      <w:pPr>
        <w:rPr>
          <w:rFonts w:ascii="Arial" w:eastAsiaTheme="minorEastAsia" w:hAnsi="Arial" w:cs="Arial"/>
          <w:color w:val="153D63"/>
          <w:sz w:val="20"/>
          <w:szCs w:val="20"/>
        </w:rPr>
        <w:spacing w:before="0" w:after="55" w:line="240" w:lineRule="auto"/>
        <w:keepLines/>
      </w:pPr>
      <w:r>
        <w:rPr>
          <w:rFonts w:ascii="Arial" w:hAnsi="Arial" w:cs="Arial"/>
          <w:color w:val="153D63"/>
          <w:sz w:val="20"/>
          <w:szCs w:val="20"/>
          <w:b/>
        </w:rPr>
        <w:t xml:space="preserve">3317  </w:t>
      </w:r>
      <w:hyperlink r:id="rId35">
        <w:r>
          <w:rPr>
            <w:rFonts w:ascii="Arial" w:hAnsi="Arial" w:cs="Arial"/>
            <w:color w:val="153D63"/>
            <w:sz w:val="20"/>
            <w:szCs w:val="20"/>
            <w:u w:val="single"/>
          </w:rPr>
          <w:t xml:space="preserve">H1 results</w:t>
        </w:r>
      </w:hyperlink>
      <w:r>
        <w:rPr>
          <w:rFonts w:ascii="Arial" w:hAnsi="Arial" w:cs="Arial"/>
          <w:color w:val="153D63"/>
          <w:sz w:val="20"/>
          <w:szCs w:val="20"/>
        </w:rPr>
        <w:t xml:space="preserve">; </w:t>
      </w:r>
      <w:hyperlink r:id="rId36">
        <w:r>
          <w:rPr>
            <w:rFonts w:ascii="Arial" w:hAnsi="Arial" w:cs="Arial"/>
            <w:color w:val="153D63"/>
            <w:sz w:val="20"/>
            <w:szCs w:val="20"/>
            <w:u w:val="single"/>
          </w:rPr>
          <w:t xml:space="preserve">lockup</w:t>
        </w:r>
      </w:hyperlink>
      <w:r>
        <w:rPr>
          <w:rFonts w:ascii="Arial" w:hAnsi="Arial" w:cs="Arial"/>
          <w:color w:val="153D63"/>
          <w:sz w:val="20"/>
          <w:szCs w:val="20"/>
        </w:rPr>
        <w:t xml:space="preserve">; </w:t>
      </w:r>
      <w:hyperlink r:id="rId37">
        <w:r>
          <w:rPr>
            <w:rFonts w:ascii="Arial" w:hAnsi="Arial" w:cs="Arial"/>
            <w:color w:val="153D63"/>
            <w:sz w:val="20"/>
            <w:szCs w:val="20"/>
            <w:u w:val="single"/>
          </w:rPr>
          <w:t xml:space="preserve">project</w:t>
        </w:r>
      </w:hyperlink>
      <w:r>
        <w:rPr>
          <w:rFonts w:ascii="Arial" w:hAnsi="Arial" w:cs="Arial"/>
          <w:color w:val="153D63"/>
          <w:sz w:val="20"/>
          <w:szCs w:val="20"/>
        </w:rPr>
        <w:t xml:space="preserve">; </w:t>
      </w:r>
      <w:hyperlink r:id="rId38">
        <w:r>
          <w:rPr>
            <w:rFonts w:ascii="Arial" w:hAnsi="Arial" w:cs="Arial"/>
            <w:color w:val="153D63"/>
            <w:sz w:val="20"/>
            <w:szCs w:val="20"/>
            <w:u w:val="single"/>
          </w:rPr>
          <w:t xml:space="preserve">financing</w:t>
        </w:r>
      </w:hyperlink>
      <w:r>
        <w:rPr>
          <w:rFonts w:ascii="Arial" w:hAnsi="Arial" w:cs="Arial"/>
          <w:color w:val="153D63"/>
          <w:sz w:val="20"/>
          <w:szCs w:val="20"/>
        </w:rPr>
        <w:t xml:space="preserve">; </w:t>
      </w:r>
      <w:hyperlink r:id="rId39">
        <w:r>
          <w:rPr>
            <w:rFonts w:ascii="Arial" w:hAnsi="Arial" w:cs="Arial"/>
            <w:color w:val="153D63"/>
            <w:sz w:val="20"/>
            <w:szCs w:val="20"/>
            <w:u w:val="single"/>
          </w:rPr>
          <w:t xml:space="preserve">index forecast</w:t>
        </w:r>
      </w:hyperlink>
    </w:p>
    <w:p w14:paraId="1AF2FA83" w14:textId="77777777" w:rsidR="001779E3" w:rsidRDefault="001779E3" w:rsidP="001779E3">
      <w:pPr>
        <w:rPr>
          <w:rFonts w:ascii="Arial" w:eastAsiaTheme="minorEastAsia" w:hAnsi="Arial" w:cs="Arial"/>
          <w:color w:val="153D63"/>
          <w:sz w:val="20"/>
          <w:szCs w:val="20"/>
        </w:rPr>
        <w:spacing w:before="0" w:after="55" w:line="240" w:lineRule="auto"/>
        <w:keepLines/>
      </w:pPr>
      <w:r>
        <w:rPr>
          <w:rFonts w:ascii="Arial" w:hAnsi="Arial" w:cs="Arial"/>
          <w:color w:val="153D63"/>
          <w:sz w:val="20"/>
          <w:szCs w:val="20"/>
          <w:b/>
        </w:rPr>
        <w:t xml:space="preserve">6600  </w:t>
      </w:r>
      <w:hyperlink r:id="rId40">
        <w:r>
          <w:rPr>
            <w:rFonts w:ascii="Arial" w:hAnsi="Arial" w:cs="Arial"/>
            <w:color w:val="153D63"/>
            <w:sz w:val="20"/>
            <w:szCs w:val="20"/>
            <w:u w:val="single"/>
          </w:rPr>
          <w:t xml:space="preserve">H1 results</w:t>
        </w:r>
      </w:hyperlink>
      <w:r>
        <w:rPr>
          <w:rFonts w:ascii="Arial" w:hAnsi="Arial" w:cs="Arial"/>
          <w:color w:val="153D63"/>
          <w:sz w:val="20"/>
          <w:szCs w:val="20"/>
        </w:rPr>
        <w:t xml:space="preserve">; </w:t>
      </w:r>
      <w:hyperlink r:id="rId41">
        <w:r>
          <w:rPr>
            <w:rFonts w:ascii="Arial" w:hAnsi="Arial" w:cs="Arial"/>
            <w:color w:val="153D63"/>
            <w:sz w:val="20"/>
            <w:szCs w:val="20"/>
            <w:u w:val="single"/>
          </w:rPr>
          <w:t xml:space="preserve">lockup</w:t>
        </w:r>
      </w:hyperlink>
      <w:r>
        <w:rPr>
          <w:rFonts w:ascii="Arial" w:hAnsi="Arial" w:cs="Arial"/>
          <w:color w:val="153D63"/>
          <w:sz w:val="20"/>
          <w:szCs w:val="20"/>
        </w:rPr>
        <w:t xml:space="preserve">; </w:t>
      </w:r>
      <w:hyperlink r:id="rId42">
        <w:r>
          <w:rPr>
            <w:rFonts w:ascii="Arial" w:hAnsi="Arial" w:cs="Arial"/>
            <w:color w:val="153D63"/>
            <w:sz w:val="20"/>
            <w:szCs w:val="20"/>
            <w:u w:val="single"/>
          </w:rPr>
          <w:t xml:space="preserve">founder extension</w:t>
        </w:r>
      </w:hyperlink>
      <w:r>
        <w:rPr>
          <w:rFonts w:ascii="Arial" w:hAnsi="Arial" w:cs="Arial"/>
          <w:color w:val="153D63"/>
          <w:sz w:val="20"/>
          <w:szCs w:val="20"/>
        </w:rPr>
        <w:t xml:space="preserve">; </w:t>
      </w:r>
      <w:hyperlink r:id="rId43">
        <w:r>
          <w:rPr>
            <w:rFonts w:ascii="Arial" w:hAnsi="Arial" w:cs="Arial"/>
            <w:color w:val="153D63"/>
            <w:sz w:val="20"/>
            <w:szCs w:val="20"/>
            <w:u w:val="single"/>
          </w:rPr>
          <w:t xml:space="preserve">trust purchases</w:t>
        </w:r>
      </w:hyperlink>
    </w:p>
    <w:p w14:paraId="1AF2FA83" w14:textId="77777777" w:rsidR="001779E3" w:rsidRDefault="001779E3" w:rsidP="001779E3">
      <w:pPr>
        <w:rPr>
          <w:rFonts w:ascii="Arial" w:eastAsiaTheme="minorEastAsia" w:hAnsi="Arial" w:cs="Arial"/>
          <w:color w:val="153D63"/>
          <w:sz w:val="20"/>
          <w:szCs w:val="20"/>
        </w:rPr>
        <w:spacing w:before="0" w:after="55" w:line="240" w:lineRule="auto"/>
        <w:keepLines/>
      </w:pPr>
      <w:r>
        <w:rPr>
          <w:rFonts w:ascii="Arial" w:hAnsi="Arial" w:cs="Arial"/>
          <w:color w:val="153D63"/>
          <w:sz w:val="20"/>
          <w:szCs w:val="20"/>
          <w:b/>
        </w:rPr>
        <w:t xml:space="preserve">6651  </w:t>
      </w:r>
      <w:hyperlink r:id="rId44">
        <w:r>
          <w:rPr>
            <w:rFonts w:ascii="Arial" w:hAnsi="Arial" w:cs="Arial"/>
            <w:color w:val="153D63"/>
            <w:sz w:val="20"/>
            <w:szCs w:val="20"/>
            <w:u w:val="single"/>
          </w:rPr>
          <w:t xml:space="preserve">H1 results</w:t>
        </w:r>
      </w:hyperlink>
      <w:r>
        <w:rPr>
          <w:rFonts w:ascii="Arial" w:hAnsi="Arial" w:cs="Arial"/>
          <w:color w:val="153D63"/>
          <w:sz w:val="20"/>
          <w:szCs w:val="20"/>
        </w:rPr>
        <w:t xml:space="preserve">; </w:t>
      </w:r>
      <w:hyperlink r:id="rId45">
        <w:r>
          <w:rPr>
            <w:rFonts w:ascii="Arial" w:hAnsi="Arial" w:cs="Arial"/>
            <w:color w:val="153D63"/>
            <w:sz w:val="20"/>
            <w:szCs w:val="20"/>
            <w:u w:val="single"/>
          </w:rPr>
          <w:t xml:space="preserve">lockup</w:t>
        </w:r>
      </w:hyperlink>
      <w:r>
        <w:rPr>
          <w:rFonts w:ascii="Arial" w:hAnsi="Arial" w:cs="Arial"/>
          <w:color w:val="153D63"/>
          <w:sz w:val="20"/>
          <w:szCs w:val="20"/>
        </w:rPr>
        <w:t xml:space="preserve">; </w:t>
      </w:r>
      <w:hyperlink r:id="rId46">
        <w:r>
          <w:rPr>
            <w:rFonts w:ascii="Arial" w:hAnsi="Arial" w:cs="Arial"/>
            <w:color w:val="153D63"/>
            <w:sz w:val="20"/>
            <w:szCs w:val="20"/>
            <w:u w:val="single"/>
          </w:rPr>
          <w:t xml:space="preserve">Aper orders</w:t>
        </w:r>
      </w:hyperlink>
      <w:r>
        <w:rPr>
          <w:rFonts w:ascii="Arial" w:hAnsi="Arial" w:cs="Arial"/>
          <w:color w:val="153D63"/>
          <w:sz w:val="20"/>
          <w:szCs w:val="20"/>
        </w:rPr>
        <w:t xml:space="preserve">; </w:t>
      </w:r>
      <w:hyperlink r:id="rId47">
        <w:r>
          <w:rPr>
            <w:rFonts w:ascii="Arial" w:hAnsi="Arial" w:cs="Arial"/>
            <w:color w:val="153D63"/>
            <w:sz w:val="20"/>
            <w:szCs w:val="20"/>
            <w:u w:val="single"/>
          </w:rPr>
          <w:t xml:space="preserve">NVIDIA</w:t>
        </w:r>
      </w:hyperlink>
      <w:r>
        <w:rPr>
          <w:rFonts w:ascii="Arial" w:hAnsi="Arial" w:cs="Arial"/>
          <w:color w:val="153D63"/>
          <w:sz w:val="20"/>
          <w:szCs w:val="20"/>
        </w:rPr>
        <w:t xml:space="preserve">; </w:t>
      </w:r>
      <w:hyperlink r:id="rId48">
        <w:r>
          <w:rPr>
            <w:rFonts w:ascii="Arial" w:hAnsi="Arial" w:cs="Arial"/>
            <w:color w:val="153D63"/>
            <w:sz w:val="20"/>
            <w:szCs w:val="20"/>
            <w:u w:val="single"/>
          </w:rPr>
          <w:t xml:space="preserve">Guosheng</w:t>
        </w:r>
      </w:hyperlink>
      <w:r>
        <w:rPr>
          <w:rFonts w:ascii="Arial" w:hAnsi="Arial" w:cs="Arial"/>
          <w:color w:val="153D63"/>
          <w:sz w:val="20"/>
          <w:szCs w:val="20"/>
        </w:rPr>
        <w:t xml:space="preserve">; </w:t>
      </w:r>
      <w:hyperlink r:id="rId49">
        <w:r>
          <w:rPr>
            <w:rFonts w:ascii="Arial" w:hAnsi="Arial" w:cs="Arial"/>
            <w:color w:val="153D63"/>
            <w:sz w:val="20"/>
            <w:szCs w:val="20"/>
            <w:u w:val="single"/>
          </w:rPr>
          <w:t xml:space="preserve">Xueqiu</w:t>
        </w:r>
      </w:hyperlink>
    </w:p>
    <w:p w14:paraId="1AF2FA83" w14:textId="77777777" w:rsidR="001779E3" w:rsidRDefault="001779E3" w:rsidP="001779E3">
      <w:pPr>
        <w:rPr>
          <w:rFonts w:ascii="Arial" w:eastAsiaTheme="minorEastAsia" w:hAnsi="Arial" w:cs="Arial"/>
          <w:color w:val="153D63"/>
          <w:sz w:val="20"/>
          <w:szCs w:val="20"/>
        </w:rPr>
        <w:spacing w:before="0" w:after="55" w:line="240" w:lineRule="auto"/>
        <w:keepLines/>
      </w:pPr>
      <w:r>
        <w:rPr>
          <w:rFonts w:ascii="Arial" w:hAnsi="Arial" w:cs="Arial"/>
          <w:color w:val="153D63"/>
          <w:sz w:val="20"/>
          <w:szCs w:val="20"/>
          <w:b/>
        </w:rPr>
        <w:t xml:space="preserve">Events  </w:t>
      </w:r>
      <w:hyperlink r:id="rId50">
        <w:r>
          <w:rPr>
            <w:rFonts w:ascii="Arial" w:hAnsi="Arial" w:cs="Arial"/>
            <w:color w:val="153D63"/>
            <w:sz w:val="20"/>
            <w:szCs w:val="20"/>
            <w:u w:val="single"/>
          </w:rPr>
          <w:t xml:space="preserve">HSTECH rules</w:t>
        </w:r>
      </w:hyperlink>
      <w:r>
        <w:rPr>
          <w:rFonts w:ascii="Arial" w:hAnsi="Arial" w:cs="Arial"/>
          <w:color w:val="153D63"/>
          <w:sz w:val="20"/>
          <w:szCs w:val="20"/>
        </w:rPr>
        <w:t xml:space="preserve">; </w:t>
      </w:r>
      <w:hyperlink r:id="rId51">
        <w:r>
          <w:rPr>
            <w:rFonts w:ascii="Arial" w:hAnsi="Arial" w:cs="Arial"/>
            <w:color w:val="153D63"/>
            <w:sz w:val="20"/>
            <w:szCs w:val="20"/>
            <w:u w:val="single"/>
          </w:rPr>
          <w:t xml:space="preserve">Hang Seng dates</w:t>
        </w:r>
      </w:hyperlink>
      <w:r>
        <w:rPr>
          <w:rFonts w:ascii="Arial" w:hAnsi="Arial" w:cs="Arial"/>
          <w:color w:val="153D63"/>
          <w:sz w:val="20"/>
          <w:szCs w:val="20"/>
        </w:rPr>
        <w:t xml:space="preserve">; </w:t>
      </w:r>
      <w:hyperlink r:id="rId52">
        <w:r>
          <w:rPr>
            <w:rFonts w:ascii="Arial" w:hAnsi="Arial" w:cs="Arial"/>
            <w:color w:val="153D63"/>
            <w:sz w:val="20"/>
            <w:szCs w:val="20"/>
            <w:u w:val="single"/>
          </w:rPr>
          <w:t xml:space="preserve">MSCI dates</w:t>
        </w:r>
      </w:hyperlink>
      <w:r>
        <w:rPr>
          <w:rFonts w:ascii="Arial" w:hAnsi="Arial" w:cs="Arial"/>
          <w:color w:val="153D63"/>
          <w:sz w:val="20"/>
          <w:szCs w:val="20"/>
        </w:rPr>
        <w:t xml:space="preserve">; </w:t>
      </w:r>
      <w:hyperlink r:id="rId53">
        <w:r>
          <w:rPr>
            <w:rFonts w:ascii="Arial" w:hAnsi="Arial" w:cs="Arial"/>
            <w:color w:val="153D63"/>
            <w:sz w:val="20"/>
            <w:szCs w:val="20"/>
            <w:u w:val="single"/>
          </w:rPr>
          <w:t xml:space="preserve">Anker meeting</w:t>
        </w:r>
      </w:hyperlink>
      <w:r>
        <w:rPr>
          <w:rFonts w:ascii="Arial" w:hAnsi="Arial" w:cs="Arial"/>
          <w:color w:val="153D63"/>
          <w:sz w:val="20"/>
          <w:szCs w:val="20"/>
        </w:rPr>
        <w:t xml:space="preserve">; </w:t>
      </w:r>
      <w:hyperlink r:id="rId54">
        <w:r>
          <w:rPr>
            <w:rFonts w:ascii="Arial" w:hAnsi="Arial" w:cs="Arial"/>
            <w:color w:val="153D63"/>
            <w:sz w:val="20"/>
            <w:szCs w:val="20"/>
            <w:u w:val="single"/>
          </w:rPr>
          <w:t xml:space="preserve">Connect April</w:t>
        </w:r>
      </w:hyperlink>
      <w:r>
        <w:rPr>
          <w:rFonts w:ascii="Arial" w:hAnsi="Arial" w:cs="Arial"/>
          <w:color w:val="153D63"/>
          <w:sz w:val="20"/>
          <w:szCs w:val="20"/>
        </w:rPr>
        <w:t xml:space="preserve">; </w:t>
      </w:r>
      <w:hyperlink r:id="rId55">
        <w:r>
          <w:rPr>
            <w:rFonts w:ascii="Arial" w:hAnsi="Arial" w:cs="Arial"/>
            <w:color w:val="153D63"/>
            <w:sz w:val="20"/>
            <w:szCs w:val="20"/>
            <w:u w:val="single"/>
          </w:rPr>
          <w:t xml:space="preserve">Connect March</w:t>
        </w:r>
      </w:hyperlink>
    </w:p>
    <w:p w14:paraId="1AF2FA83" w14:textId="77777777" w:rsidR="001779E3" w:rsidRDefault="001779E3" w:rsidP="001779E3">
      <w:pPr>
        <w:rPr>
          <w:rFonts w:ascii="Arial" w:eastAsiaTheme="minorEastAsia" w:hAnsi="Arial" w:cs="Arial"/>
          <w:color w:val="153D63"/>
          <w:sz w:val="20"/>
          <w:szCs w:val="20"/>
        </w:rPr>
        <w:spacing w:before="75" w:after="0" w:line="240" w:lineRule="auto"/>
        <w:keepLines/>
      </w:pPr>
      <w:r>
        <w:rPr>
          <w:rFonts w:ascii="Arial" w:hAnsi="Arial" w:cs="Arial"/>
          <w:color w:val="153D63"/>
          <w:sz w:val="20"/>
          <w:szCs w:val="20"/>
          <w:b/>
        </w:rPr>
        <w:t xml:space="preserve">Lockup scope:</w:t>
      </w:r>
      <w:r>
        <w:rPr>
          <w:rFonts w:ascii="Arial" w:hAnsi="Arial" w:cs="Arial"/>
          <w:color w:val="153D63"/>
          <w:sz w:val="20"/>
          <w:szCs w:val="20"/>
        </w:rPr>
        <w:t xml:space="preserve"> identified IPO restrictions only; excludes unlisted shares, post-IPO options and the 6600 founder extension. Other insider rules may apply. ADV covers 25 September–26 October. Full disclosure links, source hashes, shareholder reconciliation and limitations are in the repository audit.</w:t>
      </w:r>
    </w:p>
    <w:sectPr w:rsidR="001779E3" w:rsidRPr="001779E3"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CE49E4"/>
    <w:multiLevelType w:val="hybridMultilevel"/>
    <w:tmpl w:val="87B829EE"/>
    <w:lvl w:ilvl="0" w:tplc="6E682264">
      <w:start w:val="2"/>
      <w:numFmt w:val="bullet"/>
      <w:lvlText w:val="-"/>
      <w:lvlJc w:val="left"/>
      <w:pPr>
        <w:ind w:left="720" w:hanging="360"/>
      </w:pPr>
      <w:rPr>
        <w:rFonts w:ascii="Arial" w:eastAsia="DengXi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75659386">
    <w:abstractNumId w:val="8"/>
  </w:num>
  <w:num w:numId="2" w16cid:durableId="248775921">
    <w:abstractNumId w:val="6"/>
  </w:num>
  <w:num w:numId="3" w16cid:durableId="1014383259">
    <w:abstractNumId w:val="5"/>
  </w:num>
  <w:num w:numId="4" w16cid:durableId="223570614">
    <w:abstractNumId w:val="4"/>
  </w:num>
  <w:num w:numId="5" w16cid:durableId="1252543603">
    <w:abstractNumId w:val="7"/>
  </w:num>
  <w:num w:numId="6" w16cid:durableId="1064109539">
    <w:abstractNumId w:val="3"/>
  </w:num>
  <w:num w:numId="7" w16cid:durableId="2063360551">
    <w:abstractNumId w:val="2"/>
  </w:num>
  <w:num w:numId="8" w16cid:durableId="732773102">
    <w:abstractNumId w:val="1"/>
  </w:num>
  <w:num w:numId="9" w16cid:durableId="1621374489">
    <w:abstractNumId w:val="0"/>
  </w:num>
  <w:num w:numId="10" w16cid:durableId="1662268595">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5EC"/>
    <w:rsid w:val="0015074B"/>
    <w:rsid w:val="001779E3"/>
    <w:rsid w:val="0029639D"/>
    <w:rsid w:val="00326F90"/>
    <w:rsid w:val="00AA1D8D"/>
    <w:rsid w:val="00AD06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8ACF3"/>
  <w14:defaultImageDpi w14:val="300"/>
  <w15:docId w15:val="{19D0C469-DB53-4FEC-B251-DC57C00C4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Microsoft JhengHe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779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ueqiu.com/3075122481/410597135" TargetMode="External"/><Relationship Id="rId13" Type="http://schemas.openxmlformats.org/officeDocument/2006/relationships/hyperlink" Target="https://www.xueqiu.com/3075122481/411479979" TargetMode="External"/><Relationship Id="rId3" Type="http://schemas.openxmlformats.org/officeDocument/2006/relationships/styles" Target="styles.xml"/><Relationship Id="rId7" Type="http://schemas.openxmlformats.org/officeDocument/2006/relationships/hyperlink" Target="https://www.xueqiu.com/3075122481/411316419" TargetMode="External"/><Relationship Id="rId12" Type="http://schemas.openxmlformats.org/officeDocument/2006/relationships/hyperlink" Target="https://www.xueqiu.com/4649754500/41178360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xueqiu.com/5710624967/411734921" TargetMode="External"/><Relationship Id="rId11" Type="http://schemas.openxmlformats.org/officeDocument/2006/relationships/hyperlink" Target="https://www.huxiu.com/article/4881452.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xueqiu.com/8991898356/365806522" TargetMode="External"/><Relationship Id="rId4" Type="http://schemas.openxmlformats.org/officeDocument/2006/relationships/settings" Target="settings.xml"/><Relationship Id="rId9" Type="http://schemas.openxmlformats.org/officeDocument/2006/relationships/hyperlink" Target="https://www.xueqiu.com/3773859662/392911431" TargetMode="External"/><Relationship Id="rId14" Type="http://schemas.openxmlformats.org/officeDocument/2006/relationships/hyperlink" Target="https://www.xueqiu.com/3338215700/357866037" TargetMode="External"/><Relationship Id="rId17" Type="http://schemas.openxmlformats.org/officeDocument/2006/relationships/hyperlink" Target="https://www.etnet.com.hk/www/tc/stocks/realtime/quote_profit.php?code=3317" TargetMode="External"/><Relationship Id="rId18" Type="http://schemas.openxmlformats.org/officeDocument/2006/relationships/hyperlink" Target="https://www.gelonghui.com/news/5327914" TargetMode="External"/><Relationship Id="rId19" Type="http://schemas.openxmlformats.org/officeDocument/2006/relationships/hyperlink" Target="https://news.futunn.com/post/79329214/wuyi-shijie-6651-hk-physical-ai-platform-accelerates-its-rise" TargetMode="External"/><Relationship Id="rId20" Type="http://schemas.openxmlformats.org/officeDocument/2006/relationships/hyperlink" Target="https://news.futunn.com/post/79129799/sensetime-00020-hk-h1-2026-commentary-system-level-ai-capability" TargetMode="External"/><Relationship Id="rId21" Type="http://schemas.openxmlformats.org/officeDocument/2006/relationships/hyperlink" Target="https://www.etnet.com.hk/www/tc/stocks/realtime/quote_profit.php?code=1384" TargetMode="External"/><Relationship Id="rId22" Type="http://schemas.openxmlformats.org/officeDocument/2006/relationships/hyperlink" Target="https://www.etnet.com.hk/www/tc/stocks/realtime/quote_profit.php?code=6682" TargetMode="External"/><Relationship Id="rId23" Type="http://schemas.openxmlformats.org/officeDocument/2006/relationships/hyperlink" Target="https://www.etnet.com.hk/www/tc/stocks/realtime/quote_profit.php?code=68" TargetMode="External"/><Relationship Id="rId24" Type="http://schemas.openxmlformats.org/officeDocument/2006/relationships/hyperlink" Target="https://pdf.dfcfw.com/pdf/H3_AP202608261828436963_1.pdf" TargetMode="External"/><Relationship Id="rId25" Type="http://schemas.openxmlformats.org/officeDocument/2006/relationships/hyperlink" Target="https://data.eastmoney.com/report/info/AP202609011828867218.html" TargetMode="External"/><Relationship Id="rId26" Type="http://schemas.openxmlformats.org/officeDocument/2006/relationships/hyperlink" Target="https://pdf.dfcfw.com/pdf/H3_AP202610121830372456_1.pdf" TargetMode="External"/><Relationship Id="rId27" Type="http://schemas.openxmlformats.org/officeDocument/2006/relationships/hyperlink" Target="https://m.hibor.com.cn/wap_detail.aspx?id=d910e1901e2dcd8b5ba7cbdd03a0cd67" TargetMode="External"/><Relationship Id="rId28" Type="http://schemas.openxmlformats.org/officeDocument/2006/relationships/hyperlink" Target="https://www.etnet.com.hk/www/tc/stocks/realtime/quote_profit.php?code=2391" TargetMode="External"/><Relationship Id="rId29" Type="http://schemas.openxmlformats.org/officeDocument/2006/relationships/hyperlink" Target="https://news.futunn.com/post/78497794/ubtech-robotics-09880-hk-humanoid-robots-are-ramping-up-production" TargetMode="External"/><Relationship Id="rId30" Type="http://schemas.openxmlformats.org/officeDocument/2006/relationships/hyperlink" Target="https://www1.hkexnews.hk/listedco/listconews/sehk/2026/0916/2026091600183.pdf" TargetMode="External"/><Relationship Id="rId31" Type="http://schemas.openxmlformats.org/officeDocument/2006/relationships/hyperlink" Target="https://www1.hkexnews.hk/listedco/listconews/sehk/2026/0428/2026042805085.pdf" TargetMode="External"/><Relationship Id="rId32" Type="http://schemas.openxmlformats.org/officeDocument/2006/relationships/hyperlink" Target="https://www1.hkexnews.hk/listedco/listconews/sehk/2025/1222/2025122201578.pdf" TargetMode="External"/><Relationship Id="rId33" Type="http://schemas.openxmlformats.org/officeDocument/2006/relationships/hyperlink" Target="https://www1.hkexnews.hk/listedco/listconews/sehk/2026/1009/2026100901015.pdf" TargetMode="External"/><Relationship Id="rId34" Type="http://schemas.openxmlformats.org/officeDocument/2006/relationships/hyperlink" Target="https://www1.hkexnews.hk/listedco/listconews/sehk/2026/0511/2026051101486.pdf" TargetMode="External"/><Relationship Id="rId35" Type="http://schemas.openxmlformats.org/officeDocument/2006/relationships/hyperlink" Target="https://www1.hkexnews.hk/listedco/listconews/sehk/2026/0921/2026092100985.pdf" TargetMode="External"/><Relationship Id="rId36" Type="http://schemas.openxmlformats.org/officeDocument/2006/relationships/hyperlink" Target="https://www1.hkexnews.hk/listedco/listconews/sehk/2025/1229/2025122902057.pdf" TargetMode="External"/><Relationship Id="rId37" Type="http://schemas.openxmlformats.org/officeDocument/2006/relationships/hyperlink" Target="https://www1.hkexnews.hk/listedco/listconews/sehk/2026/0909/2026090900997.pdf" TargetMode="External"/><Relationship Id="rId38" Type="http://schemas.openxmlformats.org/officeDocument/2006/relationships/hyperlink" Target="https://www1.hkexnews.hk/listedco/listconews/sehk/2026/0703/2026070300105.pdf" TargetMode="External"/><Relationship Id="rId39" Type="http://schemas.openxmlformats.org/officeDocument/2006/relationships/hyperlink" Target="https://shentonresearch.com/research/hs-tech-dec-2026-index-rebalance-forecast.html" TargetMode="External"/><Relationship Id="rId40" Type="http://schemas.openxmlformats.org/officeDocument/2006/relationships/hyperlink" Target="https://www1.hkexnews.hk/listedco/listconews/sehk/2026/0918/2026091800725.pdf" TargetMode="External"/><Relationship Id="rId41" Type="http://schemas.openxmlformats.org/officeDocument/2006/relationships/hyperlink" Target="https://www1.hkexnews.hk/listedco/listconews/sehk/2025/1229/2025122902399.pdf" TargetMode="External"/><Relationship Id="rId42" Type="http://schemas.openxmlformats.org/officeDocument/2006/relationships/hyperlink" Target="https://www1.hkexnews.hk/listedco/listconews/sehk/2026/0630/2026063002277.pdf" TargetMode="External"/><Relationship Id="rId43" Type="http://schemas.openxmlformats.org/officeDocument/2006/relationships/hyperlink" Target="https://www1.hkexnews.hk/listedco/listconews/sehk/2026/0914/2026091401199.pdf" TargetMode="External"/><Relationship Id="rId44" Type="http://schemas.openxmlformats.org/officeDocument/2006/relationships/hyperlink" Target="https://www1.hkexnews.hk/listedco/listconews/sehk/2026/0921/2026092100462.pdf" TargetMode="External"/><Relationship Id="rId45" Type="http://schemas.openxmlformats.org/officeDocument/2006/relationships/hyperlink" Target="https://www1.hkexnews.hk/listedco/listconews/sehk/2025/1229/2025122902393.pdf" TargetMode="External"/><Relationship Id="rId46" Type="http://schemas.openxmlformats.org/officeDocument/2006/relationships/hyperlink" Target="https://www1.hkexnews.hk/listedco/listconews/sehk/2026/0916/2026091601231.pdf" TargetMode="External"/><Relationship Id="rId47" Type="http://schemas.openxmlformats.org/officeDocument/2006/relationships/hyperlink" Target="https://www1.hkexnews.hk/listedco/listconews/sehk/2026/1022/2026102200055.pdf" TargetMode="External"/><Relationship Id="rId48" Type="http://schemas.openxmlformats.org/officeDocument/2006/relationships/hyperlink" Target="https://news.futunn.com/post/1001662516/wuyi-shijie-6651-hk-from-digital-twins-to-physical-ai" TargetMode="External"/><Relationship Id="rId49" Type="http://schemas.openxmlformats.org/officeDocument/2006/relationships/hyperlink" Target="https://www.xueqiu.com/3798919683/409680011" TargetMode="External"/><Relationship Id="rId50" Type="http://schemas.openxmlformats.org/officeDocument/2006/relationships/hyperlink" Target="https://www.hsi.com.hk/content/dam/wpb/hsil/index/methodologies/zh_hk/hstech/IM_hstech.pdf" TargetMode="External"/><Relationship Id="rId51" Type="http://schemas.openxmlformats.org/officeDocument/2006/relationships/hyperlink" Target="https://www.aastocks.com/en/mobile/News.aspx?NewsID=NOW.1547566&amp;NewsSource=HK6&amp;NewsType=" TargetMode="External"/><Relationship Id="rId52" Type="http://schemas.openxmlformats.org/officeDocument/2006/relationships/hyperlink" Target="https://www.msci.com/eqb/pressreleases/archive/ir_dates.pdf" TargetMode="External"/><Relationship Id="rId53" Type="http://schemas.openxmlformats.org/officeDocument/2006/relationships/hyperlink" Target="https://www1.hkexnews.hk/listedco/listconews/sehk/2026/1016/2026101600304.pdf" TargetMode="External"/><Relationship Id="rId54" Type="http://schemas.openxmlformats.org/officeDocument/2006/relationships/hyperlink" Target="https://www.sse.com.cn/services/hkexsc/disclo/announ/c/c_20260417_10815535.shtml" TargetMode="External"/><Relationship Id="rId55" Type="http://schemas.openxmlformats.org/officeDocument/2006/relationships/hyperlink" Target="https://www.nbd.com.cn/articles/2026-03-09/428457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9133a70-897c-4909-bbcd-cb29bcf187fc}" enabled="1" method="Standard" siteId="{4f5ffafc-2407-4998-9cda-2524c60b9014}" contentBits="0" removed="0"/>
</clbl:labelList>
</file>

<file path=docProps/app.xml><?xml version="1.0" encoding="utf-8"?>
<Properties xmlns="http://schemas.openxmlformats.org/officeDocument/2006/extended-properties" xmlns:vt="http://schemas.openxmlformats.org/officeDocument/2006/docPropsVTypes">
  <Template>Normal</Template>
  <TotalTime>234</TotalTime>
  <Pages>5</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Kenny (GM/HK)</cp:lastModifiedBy>
  <cp:revision>2</cp:revision>
  <dcterms:created xsi:type="dcterms:W3CDTF">2026-10-13T09:37:00Z</dcterms:created>
  <dcterms:modified xsi:type="dcterms:W3CDTF">2026-10-13T09:37:00Z</dcterms:modified>
  <cp:category/>
</cp:coreProperties>
</file>