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t xml:space="preserve">Cornerstones take </w:t>
      </w:r>
      <w:r>
        <w:rPr>
          <w:b/>
        </w:rPr>
        <w:t>64% of the deal</w:t>
      </w:r>
      <w:r>
        <w:t xml:space="preserve"> — Baillie Gifford leads with US$60m, alongside Taikang, Jane Street, E Fund and a </w:t>
      </w:r>
      <w:r>
        <w:rPr>
          <w:b/>
        </w:rPr>
        <w:t>BYD subsidiary</w:t>
      </w:r>
      <w:r>
        <w:t xml:space="preserve"> (a customer putting money in the book, which is worth more than any broker note). After cornerstones, free float is roughly </w:t>
      </w:r>
      <w:r>
        <w:rPr>
          <w:b/>
        </w:rPr>
        <w:t>7% of market cap</w:t>
      </w:r>
      <w:r>
        <w:t>.</w:t>
      </w:r>
    </w:p>
    <w:p>
      <w:pPr>
        <w:pStyle w:val="ListBullet"/>
      </w:pPr>
      <w:r>
        <w:t xml:space="preserve">Retail is already all over it: margin book </w:t>
      </w:r>
      <w:r>
        <w:rPr>
          <w:b/>
        </w:rPr>
        <w:t>518x covered</w:t>
      </w:r>
      <w:r>
        <w:t xml:space="preserve"> with a day still to run.</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65%</w:t>
      </w:r>
      <w:r>
        <w:t xml:space="preserve"> — software economics, where the hardware robot names run 20–40%.</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w:t>
      </w:r>
      <w:r>
        <w:rPr>
          <w:b/>
        </w:rPr>
        <w:t>triple Rokae's gross margin</w:t>
      </w:r>
      <w:r>
        <w:t xml:space="preserve">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Heading2"/>
      </w:pPr>
      <w:r>
        <w:t>Dates to watch</w:t>
      </w:r>
    </w:p>
    <w:p>
      <w:pPr>
        <w:pStyle w:val="ListBullet"/>
      </w:pPr>
      <w:r>
        <w:t>28 Aug noon — Mech-Mind final price · 31 Aug — SHEIN formal price, allotments, grey market 16:15–18:30 · 1 Sep — debuts · ~mid-Sep — SHEIN HSCI fast entry · H2-26 earnings prints · Mar 2027 — Mech-Mind unlock + both names'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