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Why these IPOs popped: the placing was kept just under 1x</w:t>
      </w:r>
    </w:p>
    <w:p>
      <w:pPr>
        <w:spacing w:after="160"/>
      </w:pPr>
      <w:r>
        <w:rPr>
          <w:b w:val="0"/>
          <w:i/>
          <w:sz w:val="19"/>
        </w:rPr>
        <w:t>27 deals checked against the full book of 519 Hong Kong Main Board IPOs, 2021 to 2026. Data as of 2026-09-24. Every figure is from the filings or the price feed.</w:t>
      </w:r>
    </w:p>
    <w:p>
      <w:pPr>
        <w:spacing w:after="80"/>
      </w:pPr>
      <w:r>
        <w:rPr>
          <w:b/>
          <w:i w:val="0"/>
          <w:sz w:val="25"/>
        </w:rPr>
        <w:t>Answer in five lines</w:t>
      </w:r>
    </w:p>
    <w:p>
      <w:pPr>
        <w:pStyle w:val="ListBullet"/>
        <w:spacing w:after="60"/>
      </w:pPr>
      <w:r>
        <w:rPr>
          <w:sz w:val="21"/>
        </w:rPr>
        <w:t>Your reading is right for 25 of the 27. Their placing was filled to between 0.85x and 0.99x. Across the whole book only 27 deals are in that band.</w:t>
      </w:r>
    </w:p>
    <w:p>
      <w:pPr>
        <w:pStyle w:val="ListBullet"/>
        <w:spacing w:after="60"/>
      </w:pPr>
      <w:r>
        <w:rPr>
          <w:sz w:val="21"/>
        </w:rPr>
        <w:t>Just under 1x switches off the clawback. The rule only applies if the placing is fully covered, so retail keeps a small slice and roughly 100 to 170 placees keep the rest.</w:t>
      </w:r>
    </w:p>
    <w:p>
      <w:pPr>
        <w:pStyle w:val="ListBullet"/>
        <w:spacing w:after="60"/>
      </w:pPr>
      <w:r>
        <w:rPr>
          <w:sz w:val="21"/>
        </w:rPr>
        <w:t>Those deals give retail a median 15.1% of the offer and open at a median +35.5%. Deals with ten times the demand open at +30.8%.</w:t>
      </w:r>
    </w:p>
    <w:p>
      <w:pPr>
        <w:pStyle w:val="ListBullet"/>
        <w:spacing w:after="60"/>
      </w:pPr>
      <w:r>
        <w:rPr>
          <w:sz w:val="21"/>
        </w:rPr>
        <w:t>Fundamentals do not explain it. The market on the day does not explain it. The float does.</w:t>
      </w:r>
    </w:p>
    <w:p>
      <w:pPr>
        <w:pStyle w:val="ListBullet"/>
        <w:spacing w:after="60"/>
      </w:pPr>
      <w:r>
        <w:rPr>
          <w:sz w:val="21"/>
        </w:rPr>
        <w:t>Two of the 27 are not this: Midea (its placing was covered 8.06x) and CentralChina (a weak deal that fell).</w:t>
      </w:r>
    </w:p>
    <w:p>
      <w:pPr>
        <w:spacing w:after="80"/>
      </w:pPr>
      <w:r>
        <w:rPr>
          <w:b/>
          <w:i w:val="0"/>
          <w:sz w:val="25"/>
        </w:rPr>
        <w:t>Words used here</w:t>
      </w:r>
    </w:p>
    <w:p>
      <w:pPr>
        <w:pStyle w:val="ListBullet"/>
        <w:spacing w:after="60"/>
      </w:pPr>
      <w:r>
        <w:rPr>
          <w:sz w:val="21"/>
        </w:rPr>
        <w:t>Placing = the international tranche, sold to institutions. Retail = the Hong Kong public offer.</w:t>
      </w:r>
    </w:p>
    <w:p>
      <w:pPr>
        <w:pStyle w:val="ListBullet"/>
        <w:spacing w:after="60"/>
      </w:pPr>
      <w:r>
        <w:rPr>
          <w:sz w:val="21"/>
        </w:rPr>
        <w:t>Placing 0.95x = only 95% of the placing was taken up, so 5% was unsold.</w:t>
      </w:r>
    </w:p>
    <w:p>
      <w:pPr>
        <w:pStyle w:val="ListBullet"/>
        <w:spacing w:after="60"/>
      </w:pPr>
      <w:r>
        <w:rPr>
          <w:sz w:val="21"/>
        </w:rPr>
        <w:t>Clawback = the rule that moves shares from the placing to retail when retail demand is high.</w:t>
      </w:r>
    </w:p>
    <w:p>
      <w:pPr>
        <w:pStyle w:val="ListBullet"/>
        <w:spacing w:after="60"/>
      </w:pPr>
      <w:r>
        <w:rPr>
          <w:sz w:val="21"/>
        </w:rPr>
        <w:t>Retail % = the share of the whole deal retail actually received, as stated in the allotment notice.</w:t>
      </w:r>
    </w:p>
    <w:p>
      <w:pPr>
        <w:pStyle w:val="ListBullet"/>
        <w:spacing w:after="60"/>
      </w:pPr>
      <w:r>
        <w:rPr>
          <w:sz w:val="21"/>
        </w:rPr>
        <w:t>Pop = the opening price against the offer price. Day-1 = the closing price against the offer price.</w:t>
      </w:r>
    </w:p>
    <w:p>
      <w:pPr>
        <w:spacing w:after="80"/>
      </w:pPr>
      <w:r>
        <w:rPr>
          <w:b/>
          <w:i w:val="0"/>
          <w:sz w:val="25"/>
        </w:rPr>
        <w:t>1. How serious was the wrong subscription number, and is anything else wrong?</w:t>
      </w:r>
    </w:p>
    <w:p>
      <w:pPr>
        <w:spacing w:after="120"/>
      </w:pPr>
      <w:r>
        <w:rPr>
          <w:b w:val="0"/>
          <w:i w:val="0"/>
          <w:sz w:val="21"/>
        </w:rPr>
        <w:t>Serious enough that the analysis could not start until it was fixed, but it did not spread. Here is exactly what was wrong and what was checked.</w:t>
      </w:r>
    </w:p>
    <w:p>
      <w:pPr>
        <w:spacing w:after="120"/>
      </w:pPr>
      <w:r>
        <w:rPr>
          <w:b w:val="0"/>
          <w:i w:val="0"/>
          <w:sz w:val="21"/>
        </w:rPr>
        <w:t>What was wrong: the parser took the subscription level from the retail table and stored it for both tranches. The stored evidence next to the number showed this for 20 of your 27 deals, so no placing number could be trusted without re-reading the filing.</w:t>
      </w:r>
    </w:p>
    <w:p>
      <w:pPr>
        <w:spacing w:after="120"/>
      </w:pPr>
      <w:r>
        <w:rPr>
          <w:b w:val="0"/>
          <w:i w:val="0"/>
          <w:sz w:val="21"/>
        </w:rPr>
        <w:t>What was done: every allotment notice in the book (519 deals) was re-read from its own INTERNATIONAL OFFERING section, anchored on the placee count, which cannot be confused with the retail table. The result was compared with the numbers that shipped last week.</w:t>
      </w:r>
    </w:p>
    <w:tbl>
      <w:tblPr>
        <w:tblStyle w:val="TableGrid"/>
        <w:tblW w:type="auto" w:w="0"/>
        <w:tblLook w:firstColumn="1" w:firstRow="1" w:lastColumn="0" w:lastRow="0" w:noHBand="0" w:noVBand="1" w:val="04A0"/>
      </w:tblPr>
      <w:tblGrid>
        <w:gridCol w:w="4986"/>
        <w:gridCol w:w="4986"/>
      </w:tblGrid>
      <w:tr>
        <w:tc>
          <w:tcPr>
            <w:tcW w:type="dxa" w:w="3969"/>
          </w:tcPr>
          <w:p>
            <w:r/>
            <w:r>
              <w:rPr>
                <w:b/>
                <w:sz w:val="17"/>
              </w:rPr>
              <w:t>Check</w:t>
            </w:r>
          </w:p>
        </w:tc>
        <w:tc>
          <w:tcPr>
            <w:tcW w:type="dxa" w:w="5102"/>
          </w:tcPr>
          <w:p>
            <w:r/>
            <w:r>
              <w:rPr>
                <w:b/>
                <w:sz w:val="17"/>
              </w:rPr>
              <w:t>Result</w:t>
            </w:r>
          </w:p>
        </w:tc>
      </w:tr>
      <w:tr>
        <w:tc>
          <w:tcPr>
            <w:tcW w:type="dxa" w:w="3969"/>
          </w:tcPr>
          <w:p>
            <w:r/>
            <w:r>
              <w:rPr>
                <w:sz w:val="17"/>
              </w:rPr>
              <w:t>Placing multiple, deals unchanged</w:t>
            </w:r>
          </w:p>
        </w:tc>
        <w:tc>
          <w:tcPr>
            <w:tcW w:type="dxa" w:w="5102"/>
          </w:tcPr>
          <w:p>
            <w:pPr>
              <w:jc w:val="right"/>
            </w:pPr>
            <w:r/>
            <w:r>
              <w:rPr>
                <w:sz w:val="17"/>
              </w:rPr>
              <w:t>508</w:t>
            </w:r>
          </w:p>
        </w:tc>
      </w:tr>
      <w:tr>
        <w:tc>
          <w:tcPr>
            <w:tcW w:type="dxa" w:w="3969"/>
          </w:tcPr>
          <w:p>
            <w:r/>
            <w:r>
              <w:rPr>
                <w:sz w:val="17"/>
              </w:rPr>
              <w:t>Placing multiple, deals corrected</w:t>
            </w:r>
          </w:p>
        </w:tc>
        <w:tc>
          <w:tcPr>
            <w:tcW w:type="dxa" w:w="5102"/>
          </w:tcPr>
          <w:p>
            <w:pPr>
              <w:jc w:val="right"/>
            </w:pPr>
            <w:r/>
            <w:r>
              <w:rPr>
                <w:sz w:val="17"/>
              </w:rPr>
              <w:t>2</w:t>
            </w:r>
          </w:p>
        </w:tc>
      </w:tr>
      <w:tr>
        <w:tc>
          <w:tcPr>
            <w:tcW w:type="dxa" w:w="3969"/>
          </w:tcPr>
          <w:p>
            <w:r/>
            <w:r>
              <w:rPr>
                <w:sz w:val="17"/>
              </w:rPr>
              <w:t>Midea (0300)</w:t>
            </w:r>
          </w:p>
        </w:tc>
        <w:tc>
          <w:tcPr>
            <w:tcW w:type="dxa" w:w="5102"/>
          </w:tcPr>
          <w:p>
            <w:pPr>
              <w:jc w:val="right"/>
            </w:pPr>
            <w:r/>
            <w:r>
              <w:rPr>
                <w:sz w:val="17"/>
              </w:rPr>
              <w:t>0.11x → 8.06x. The old value was a rule threshold, not a result.</w:t>
            </w:r>
          </w:p>
        </w:tc>
      </w:tr>
      <w:tr>
        <w:tc>
          <w:tcPr>
            <w:tcW w:type="dxa" w:w="3969"/>
          </w:tcPr>
          <w:p>
            <w:r/>
            <w:r>
              <w:rPr>
                <w:sz w:val="17"/>
              </w:rPr>
              <w:t>Longsys (9976)</w:t>
            </w:r>
          </w:p>
        </w:tc>
        <w:tc>
          <w:tcPr>
            <w:tcW w:type="dxa" w:w="5102"/>
          </w:tcPr>
          <w:p>
            <w:pPr>
              <w:jc w:val="right"/>
            </w:pPr>
            <w:r/>
            <w:r>
              <w:rPr>
                <w:sz w:val="17"/>
              </w:rPr>
              <w:t>40.32x → 3.88x. The old value was the retail number.</w:t>
            </w:r>
          </w:p>
        </w:tc>
      </w:tr>
      <w:tr>
        <w:tc>
          <w:tcPr>
            <w:tcW w:type="dxa" w:w="3969"/>
          </w:tcPr>
          <w:p>
            <w:r/>
            <w:r>
              <w:rPr>
                <w:sz w:val="17"/>
              </w:rPr>
              <w:t>Retail multiple, deals changed</w:t>
            </w:r>
          </w:p>
        </w:tc>
        <w:tc>
          <w:tcPr>
            <w:tcW w:type="dxa" w:w="5102"/>
          </w:tcPr>
          <w:p>
            <w:pPr>
              <w:jc w:val="right"/>
            </w:pPr>
            <w:r/>
            <w:r>
              <w:rPr>
                <w:sz w:val="17"/>
              </w:rPr>
              <w:t>0</w:t>
            </w:r>
          </w:p>
        </w:tc>
      </w:tr>
      <w:tr>
        <w:tc>
          <w:tcPr>
            <w:tcW w:type="dxa" w:w="3969"/>
          </w:tcPr>
          <w:p>
            <w:r/>
            <w:r>
              <w:rPr>
                <w:sz w:val="17"/>
              </w:rPr>
              <w:t>Notices too old to re-read (2021–23 prose)</w:t>
            </w:r>
          </w:p>
        </w:tc>
        <w:tc>
          <w:tcPr>
            <w:tcW w:type="dxa" w:w="5102"/>
          </w:tcPr>
          <w:p>
            <w:pPr>
              <w:jc w:val="right"/>
            </w:pPr>
            <w:r/>
            <w:r>
              <w:rPr>
                <w:sz w:val="17"/>
              </w:rPr>
              <w:t>3: Deyun, Huaibei, CentralChina — they keep their old value</w:t>
            </w:r>
          </w:p>
        </w:tc>
      </w:tr>
    </w:tbl>
    <w:p>
      <w:pPr>
        <w:spacing w:after="40"/>
      </w:pPr>
    </w:p>
    <w:p>
      <w:pPr>
        <w:spacing w:after="120"/>
      </w:pPr>
      <w:r>
        <w:rPr>
          <w:b w:val="0"/>
          <w:i w:val="0"/>
          <w:sz w:val="21"/>
        </w:rPr>
        <w:t>Other errors found and fixed this month, in the same spirit of checking rather than assuming:</w:t>
      </w:r>
    </w:p>
    <w:p>
      <w:pPr>
        <w:pStyle w:val="ListBullet"/>
        <w:spacing w:after="60"/>
      </w:pPr>
      <w:r>
        <w:rPr>
          <w:sz w:val="21"/>
        </w:rPr>
        <w:t>Transwarp (6727): the book had an offer price of HK$57.08. The allotment cover says HK$49.00. The parser had matched a figure inside a listing-expenses sentence. The deal's own arithmetic settles it: 14,010,800 shares × HK$49.00 = HK$686.53m, which is the gross proceeds the same filing states.</w:t>
      </w:r>
    </w:p>
    <w:p>
      <w:pPr>
        <w:pStyle w:val="ListBullet"/>
        <w:spacing w:after="60"/>
      </w:pPr>
      <w:r>
        <w:rPr>
          <w:sz w:val="21"/>
        </w:rPr>
        <w:t>Forms Syntron (6700): the expected P/E was built on a market cap that was the H tranche only, not the company. It read 8.7x; against its own A-share line the same earnings price at 15.7x.</w:t>
      </w:r>
    </w:p>
    <w:p>
      <w:pPr>
        <w:pStyle w:val="ListBullet"/>
        <w:spacing w:after="60"/>
      </w:pPr>
      <w:r>
        <w:rPr>
          <w:sz w:val="21"/>
        </w:rPr>
        <w:t>Red Avenue (9607): revenue was read as zero. A zero beside a positive profit is a failed parse.</w:t>
      </w:r>
    </w:p>
    <w:p>
      <w:pPr>
        <w:pStyle w:val="ListBullet"/>
        <w:spacing w:after="60"/>
      </w:pPr>
      <w:r>
        <w:rPr>
          <w:sz w:val="21"/>
        </w:rPr>
        <w:t>Excelland (3231): the book had it as a Standard listing. Its allotment notice cites Chapter 18C.</w:t>
      </w:r>
    </w:p>
    <w:p>
      <w:pPr>
        <w:pStyle w:val="ListBullet"/>
        <w:spacing w:after="60"/>
      </w:pPr>
      <w:r>
        <w:rPr>
          <w:sz w:val="21"/>
        </w:rPr>
        <w:t>A price is now rejected if a magnitude word follows it ("HK$57.08 million" is not a share price), and every price in the book was swept against the identity shares × price = gross proceeds.</w:t>
      </w:r>
    </w:p>
    <w:p>
      <w:pPr>
        <w:spacing w:after="80"/>
      </w:pPr>
      <w:r>
        <w:rPr>
          <w:b/>
          <w:i w:val="0"/>
          <w:sz w:val="25"/>
        </w:rPr>
        <w:t>2. Why the pop happens</w:t>
      </w:r>
    </w:p>
    <w:p>
      <w:pPr>
        <w:spacing w:after="40"/>
      </w:pPr>
      <w:r>
        <w:rPr>
          <w:b w:val="0"/>
          <w:i w:val="0"/>
          <w:sz w:val="21"/>
        </w:rPr>
        <w:t>The rule is in every prospectus. This is AB&amp;B Bio-Tech (2627), section "Reallocation and clawback":</w:t>
      </w:r>
    </w:p>
    <w:p>
      <w:pPr>
        <w:spacing w:after="120"/>
      </w:pPr>
      <w:r>
        <w:rPr>
          <w:b w:val="0"/>
          <w:i/>
          <w:sz w:val="19"/>
        </w:rPr>
        <w:t>"If the International Offering is fully subscribed or oversubscribed and the number of Offer Shares validly applied for under the Hong Kong Public Offering represents … 100 times or more … then Offer Shares will be reallocated to the Hong Kong Public Offering from the International Offering … representing approximately 50.0% of the total number of Offer Shares."</w:t>
      </w:r>
    </w:p>
    <w:p>
      <w:pPr>
        <w:spacing w:after="120"/>
      </w:pPr>
      <w:r>
        <w:rPr>
          <w:b w:val="0"/>
          <w:i w:val="0"/>
          <w:sz w:val="21"/>
        </w:rPr>
        <w:t>Read the first nine words. The clawback only bites if the placing is fully covered. At 0.99x it is not. The coordinators then hand retail only the unsold placing shares, "in such proportions as they deem appropriate". A retail book of 100x that should have received half the deal receives 12% to 20%.</w:t>
      </w:r>
    </w:p>
    <w:p>
      <w:pPr>
        <w:spacing w:after="120"/>
      </w:pPr>
      <w:r>
        <w:rPr>
          <w:b w:val="0"/>
          <w:i w:val="0"/>
          <w:sz w:val="21"/>
        </w:rPr>
        <w:t>AB&amp;B is the clearest case. Retail demand was 4,007.64x. The placing was 0.99x with 152 placees. Retail received 3,996,000 shares out of 33,442,600 — 11.95%, not 50%. It opened +155.8%.</w:t>
      </w:r>
    </w:p>
    <w:p>
      <w:pPr>
        <w:spacing w:after="40"/>
      </w:pPr>
      <w:r>
        <w:rPr>
          <w:b w:val="0"/>
          <w:i w:val="0"/>
          <w:sz w:val="21"/>
        </w:rPr>
        <w:t>Across every deal in the book with a retail book of 100x or more: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4195"/>
          </w:tcPr>
          <w:p>
            <w:r/>
            <w:r>
              <w:rPr>
                <w:b/>
                <w:sz w:val="17"/>
              </w:rPr>
              <w:t>Rules and placing</w:t>
            </w:r>
          </w:p>
        </w:tc>
        <w:tc>
          <w:tcPr>
            <w:tcW w:type="dxa" w:w="907"/>
          </w:tcPr>
          <w:p>
            <w:r/>
            <w:r>
              <w:rPr>
                <w:b/>
                <w:sz w:val="17"/>
              </w:rPr>
              <w:t>Deals</w:t>
            </w:r>
          </w:p>
        </w:tc>
        <w:tc>
          <w:tcPr>
            <w:tcW w:type="dxa" w:w="1587"/>
          </w:tcPr>
          <w:p>
            <w:r/>
            <w:r>
              <w:rPr>
                <w:b/>
                <w:sz w:val="17"/>
              </w:rPr>
              <w:t>Retail % (median)</w:t>
            </w:r>
          </w:p>
        </w:tc>
        <w:tc>
          <w:tcPr>
            <w:tcW w:type="dxa" w:w="1361"/>
          </w:tcPr>
          <w:p>
            <w:r/>
            <w:r>
              <w:rPr>
                <w:b/>
                <w:sz w:val="17"/>
              </w:rPr>
              <w:t>Pop (median)</w:t>
            </w:r>
          </w:p>
        </w:tc>
        <w:tc>
          <w:tcPr>
            <w:tcW w:type="dxa" w:w="1361"/>
          </w:tcPr>
          <w:p>
            <w:r/>
            <w:r>
              <w:rPr>
                <w:b/>
                <w:sz w:val="17"/>
              </w:rPr>
              <w:t>Day-1 (median)</w:t>
            </w:r>
          </w:p>
        </w:tc>
      </w:tr>
      <w:tr>
        <w:tc>
          <w:tcPr>
            <w:tcW w:type="dxa" w:w="4195"/>
          </w:tcPr>
          <w:p>
            <w:r/>
            <w:r>
              <w:rPr>
                <w:sz w:val="17"/>
              </w:rPr>
              <w:t>Old rules, placing covered (1x or more)</w:t>
            </w:r>
          </w:p>
        </w:tc>
        <w:tc>
          <w:tcPr>
            <w:tcW w:type="dxa" w:w="907"/>
          </w:tcPr>
          <w:p>
            <w:pPr>
              <w:jc w:val="right"/>
            </w:pPr>
            <w:r/>
            <w:r>
              <w:rPr>
                <w:sz w:val="17"/>
              </w:rPr>
              <w:t>72</w:t>
            </w:r>
          </w:p>
        </w:tc>
        <w:tc>
          <w:tcPr>
            <w:tcW w:type="dxa" w:w="1587"/>
          </w:tcPr>
          <w:p>
            <w:pPr>
              <w:jc w:val="right"/>
            </w:pPr>
            <w:r/>
            <w:r>
              <w:rPr>
                <w:sz w:val="17"/>
              </w:rPr>
              <w:t>50.0%</w:t>
            </w:r>
          </w:p>
        </w:tc>
        <w:tc>
          <w:tcPr>
            <w:tcW w:type="dxa" w:w="1361"/>
          </w:tcPr>
          <w:p>
            <w:pPr>
              <w:jc w:val="right"/>
            </w:pPr>
            <w:r/>
            <w:r>
              <w:rPr>
                <w:sz w:val="17"/>
              </w:rPr>
              <w:t>+2.7%</w:t>
            </w:r>
          </w:p>
        </w:tc>
        <w:tc>
          <w:tcPr>
            <w:tcW w:type="dxa" w:w="1361"/>
          </w:tcPr>
          <w:p>
            <w:pPr>
              <w:jc w:val="right"/>
            </w:pPr>
            <w:r/>
            <w:r>
              <w:rPr>
                <w:sz w:val="17"/>
              </w:rPr>
              <w:t>+4.3%</w:t>
            </w:r>
          </w:p>
        </w:tc>
      </w:tr>
      <w:tr>
        <w:tc>
          <w:tcPr>
            <w:tcW w:type="dxa" w:w="4195"/>
          </w:tcPr>
          <w:p>
            <w:r/>
            <w:r>
              <w:rPr>
                <w:sz w:val="17"/>
              </w:rPr>
              <w:t>Old rules, placing 0.85–0.99x</w:t>
            </w:r>
          </w:p>
        </w:tc>
        <w:tc>
          <w:tcPr>
            <w:tcW w:type="dxa" w:w="907"/>
          </w:tcPr>
          <w:p>
            <w:pPr>
              <w:jc w:val="right"/>
            </w:pPr>
            <w:r/>
            <w:r>
              <w:rPr>
                <w:sz w:val="17"/>
              </w:rPr>
              <w:t>10</w:t>
            </w:r>
          </w:p>
        </w:tc>
        <w:tc>
          <w:tcPr>
            <w:tcW w:type="dxa" w:w="1587"/>
          </w:tcPr>
          <w:p>
            <w:pPr>
              <w:jc w:val="right"/>
            </w:pPr>
            <w:r/>
            <w:r>
              <w:rPr>
                <w:sz w:val="17"/>
              </w:rPr>
              <w:t>16.7%</w:t>
            </w:r>
          </w:p>
        </w:tc>
        <w:tc>
          <w:tcPr>
            <w:tcW w:type="dxa" w:w="1361"/>
          </w:tcPr>
          <w:p>
            <w:pPr>
              <w:jc w:val="right"/>
            </w:pPr>
            <w:r/>
            <w:r>
              <w:rPr>
                <w:sz w:val="17"/>
              </w:rPr>
              <w:t>+53.3%</w:t>
            </w:r>
          </w:p>
        </w:tc>
        <w:tc>
          <w:tcPr>
            <w:tcW w:type="dxa" w:w="1361"/>
          </w:tcPr>
          <w:p>
            <w:pPr>
              <w:jc w:val="right"/>
            </w:pPr>
            <w:r/>
            <w:r>
              <w:rPr>
                <w:sz w:val="17"/>
              </w:rPr>
              <w:t>+32.3%</w:t>
            </w:r>
          </w:p>
        </w:tc>
      </w:tr>
      <w:tr>
        <w:tc>
          <w:tcPr>
            <w:tcW w:type="dxa" w:w="4195"/>
          </w:tcPr>
          <w:p>
            <w:r/>
            <w:r>
              <w:rPr>
                <w:sz w:val="17"/>
              </w:rPr>
              <w:t>New rules (Aug-2025 on), placing covered</w:t>
            </w:r>
          </w:p>
        </w:tc>
        <w:tc>
          <w:tcPr>
            <w:tcW w:type="dxa" w:w="907"/>
          </w:tcPr>
          <w:p>
            <w:pPr>
              <w:jc w:val="right"/>
            </w:pPr>
            <w:r/>
            <w:r>
              <w:rPr>
                <w:sz w:val="17"/>
              </w:rPr>
              <w:t>138</w:t>
            </w:r>
          </w:p>
        </w:tc>
        <w:tc>
          <w:tcPr>
            <w:tcW w:type="dxa" w:w="1587"/>
          </w:tcPr>
          <w:p>
            <w:pPr>
              <w:jc w:val="right"/>
            </w:pPr>
            <w:r/>
            <w:r>
              <w:rPr>
                <w:sz w:val="17"/>
              </w:rPr>
              <w:t>10.0%</w:t>
            </w:r>
          </w:p>
        </w:tc>
        <w:tc>
          <w:tcPr>
            <w:tcW w:type="dxa" w:w="1361"/>
          </w:tcPr>
          <w:p>
            <w:pPr>
              <w:jc w:val="right"/>
            </w:pPr>
            <w:r/>
            <w:r>
              <w:rPr>
                <w:sz w:val="17"/>
              </w:rPr>
              <w:t>+36.4%</w:t>
            </w:r>
          </w:p>
        </w:tc>
        <w:tc>
          <w:tcPr>
            <w:tcW w:type="dxa" w:w="1361"/>
          </w:tcPr>
          <w:p>
            <w:pPr>
              <w:jc w:val="right"/>
            </w:pPr>
            <w:r/>
            <w:r>
              <w:rPr>
                <w:sz w:val="17"/>
              </w:rPr>
              <w:t>+32.0%</w:t>
            </w:r>
          </w:p>
        </w:tc>
      </w:tr>
      <w:tr>
        <w:tc>
          <w:tcPr>
            <w:tcW w:type="dxa" w:w="4195"/>
          </w:tcPr>
          <w:p>
            <w:r/>
            <w:r>
              <w:rPr>
                <w:sz w:val="17"/>
              </w:rPr>
              <w:t>New rules, placing 0.85–0.99x</w:t>
            </w:r>
          </w:p>
        </w:tc>
        <w:tc>
          <w:tcPr>
            <w:tcW w:type="dxa" w:w="907"/>
          </w:tcPr>
          <w:p>
            <w:pPr>
              <w:jc w:val="right"/>
            </w:pPr>
            <w:r/>
            <w:r>
              <w:rPr>
                <w:sz w:val="17"/>
              </w:rPr>
              <w:t>3</w:t>
            </w:r>
          </w:p>
        </w:tc>
        <w:tc>
          <w:tcPr>
            <w:tcW w:type="dxa" w:w="1587"/>
          </w:tcPr>
          <w:p>
            <w:pPr>
              <w:jc w:val="right"/>
            </w:pPr>
            <w:r/>
            <w:r>
              <w:rPr>
                <w:sz w:val="17"/>
              </w:rPr>
              <w:t>11.9%</w:t>
            </w:r>
          </w:p>
        </w:tc>
        <w:tc>
          <w:tcPr>
            <w:tcW w:type="dxa" w:w="1361"/>
          </w:tcPr>
          <w:p>
            <w:pPr>
              <w:jc w:val="right"/>
            </w:pPr>
            <w:r/>
            <w:r>
              <w:rPr>
                <w:sz w:val="17"/>
              </w:rPr>
              <w:t>+142.2%</w:t>
            </w:r>
          </w:p>
        </w:tc>
        <w:tc>
          <w:tcPr>
            <w:tcW w:type="dxa" w:w="1361"/>
          </w:tcPr>
          <w:p>
            <w:pPr>
              <w:jc w:val="right"/>
            </w:pPr>
            <w:r/>
            <w:r>
              <w:rPr>
                <w:sz w:val="17"/>
              </w:rPr>
              <w:t>+153.8%</w:t>
            </w:r>
          </w:p>
        </w:tc>
      </w:tr>
    </w:tbl>
    <w:p>
      <w:pPr>
        <w:spacing w:after="40"/>
      </w:pPr>
    </w:p>
    <w:p>
      <w:pPr>
        <w:spacing w:after="120"/>
      </w:pPr>
      <w:r>
        <w:rPr>
          <w:b w:val="0"/>
          <w:i w:val="0"/>
          <w:sz w:val="21"/>
        </w:rPr>
        <w:t>The first two rows are the proof. Same demand. Placing covered: retail got half the deal and the stock opened +2.7%. Placing left a little short: retail got a sixth and it opened +53.3%.</w:t>
      </w:r>
    </w:p>
    <w:p>
      <w:pPr>
        <w:spacing w:after="120"/>
      </w:pPr>
      <w:r>
        <w:rPr>
          <w:b w:val="0"/>
          <w:i w:val="0"/>
          <w:sz w:val="21"/>
        </w:rPr>
        <w:t>The market had a name for it at the time. 證券之星 wrote about Easou (2550) in June 2024 and called it 套路回撥, distinguishing it from the rule working normally, and named Easou, EDA (2505) and Autostreets (2443) — three of your deals. HKET's headline on AB&amp;B was 「怪象令回撥由50%變12%？」. HKET on Shougang Lanza: 「國際配售認購不足、公開發售佔比增至15%」. Those match the filings exactly.</w:t>
      </w:r>
    </w:p>
    <w:p>
      <w:pPr>
        <w:spacing w:after="80"/>
      </w:pPr>
      <w:r>
        <w:rPr>
          <w:b/>
          <w:i w:val="0"/>
          <w:sz w:val="24"/>
        </w:rPr>
        <w:t>3. Is retail now fixed at 10%? And why did Excelland give retail only 6.18%?</w:t>
      </w:r>
    </w:p>
    <w:p>
      <w:pPr>
        <w:spacing w:after="120"/>
      </w:pPr>
      <w:r>
        <w:rPr>
          <w:b w:val="0"/>
          <w:i w:val="0"/>
          <w:sz w:val="21"/>
        </w:rPr>
        <w:t>No, 10% is not a floor. Since 4 August 2025 an issuer picks one of two mechanisms, and they behave differently:</w:t>
      </w:r>
    </w:p>
    <w:p>
      <w:pPr>
        <w:pStyle w:val="ListBullet"/>
        <w:spacing w:after="60"/>
      </w:pPr>
      <w:r>
        <w:rPr>
          <w:sz w:val="21"/>
        </w:rPr>
        <w:t>Mechanism A: retail starts at 5% of the deal. The clawback can lift it to 15%, 25% or 35% — but again only if the placing is covered.</w:t>
      </w:r>
    </w:p>
    <w:p>
      <w:pPr>
        <w:pStyle w:val="ListBullet"/>
        <w:spacing w:after="60"/>
      </w:pPr>
      <w:r>
        <w:rPr>
          <w:sz w:val="21"/>
        </w:rPr>
        <w:t>Mechanism B: retail is fixed between 10% and 60% and there is no clawback at all.</w:t>
      </w:r>
    </w:p>
    <w:p>
      <w:pPr>
        <w:spacing w:after="120"/>
      </w:pPr>
      <w:r>
        <w:rPr>
          <w:b w:val="0"/>
          <w:i w:val="0"/>
          <w:sz w:val="21"/>
        </w:rPr>
        <w:t>Excelland chose Mechanism A. Its allotment notice states every step: 2,250,000 shares initially for retail, which is 5.0% of the 45,000,000 offered; retail demand 140.0x; "Claw-back triggered: No"; 531,800 shares reallocated from the placing, which is the 0.99x shortfall; final retail 2,781,800 shares = 6.2%.</w:t>
      </w:r>
    </w:p>
    <w:p>
      <w:pPr>
        <w:spacing w:after="120"/>
      </w:pPr>
      <w:r>
        <w:rPr>
          <w:b w:val="0"/>
          <w:i w:val="0"/>
          <w:sz w:val="21"/>
        </w:rPr>
        <w:t>So 6.18% is 5% plus the placing shortfall, and nothing more. It is not because the company is 18C. Chapter 18C governs who may list (unprofitable specialist technology companies) and sets lock-ups and disclosure. It does not set the retail split. The split came from Mechanism A plus a placing held at 0.99x. Excelland opened +142.2%.</w:t>
      </w:r>
    </w:p>
    <w:p>
      <w:pPr>
        <w:spacing w:after="120"/>
      </w:pPr>
      <w:r>
        <w:rPr>
          <w:b w:val="0"/>
          <w:i w:val="0"/>
          <w:sz w:val="21"/>
        </w:rPr>
        <w:t>Ligent (9856), which listed two weeks later, is the contrast. It chose Mechanism B: placing 4.67x covered, 192 placees, retail 10.0%, no clawback by design. Under Mechanism B an issuer keeps retail at 10% legally with a fully covered book. That is why the new-rules row in the table above reads 10% and still opens +36.4%: what used to need the trick is now simply allowed.</w:t>
      </w:r>
    </w:p>
    <w:p>
      <w:pPr>
        <w:spacing w:after="120"/>
      </w:pPr>
      <w:r>
        <w:rPr>
          <w:b w:val="0"/>
          <w:i w:val="0"/>
          <w:sz w:val="21"/>
        </w:rPr>
        <w:t>Cluster deals by year: 2021 1 of 90, 2022 0 of 72, 2023 1 of 68, 2024 14 of 66, 2025 9 of 109, 2026 2 of 106. It was a 2024–25 pattern. Mechanism B made it unnecessary for most issuers, but Mechanism A issuers can still do it, and Excelland did in September 2026.</w:t>
      </w:r>
    </w:p>
    <w:p>
      <w:pPr>
        <w:spacing w:after="80"/>
      </w:pPr>
      <w:r>
        <w:rPr>
          <w:b/>
          <w:i w:val="0"/>
          <w:sz w:val="25"/>
        </w:rPr>
        <w:t>4. The 27 deals, checked line by line</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1871"/>
          </w:tcPr>
          <w:p>
            <w:r/>
            <w:r>
              <w:rPr>
                <w:b/>
                <w:sz w:val="15"/>
              </w:rPr>
              <w:t>Deal</w:t>
            </w:r>
          </w:p>
        </w:tc>
        <w:tc>
          <w:tcPr>
            <w:tcW w:type="dxa" w:w="1020"/>
          </w:tcPr>
          <w:p>
            <w:r/>
            <w:r>
              <w:rPr>
                <w:b/>
                <w:sz w:val="15"/>
              </w:rPr>
              <w:t>Listed</w:t>
            </w:r>
          </w:p>
        </w:tc>
        <w:tc>
          <w:tcPr>
            <w:tcW w:type="dxa" w:w="794"/>
          </w:tcPr>
          <w:p>
            <w:r/>
            <w:r>
              <w:rPr>
                <w:b/>
                <w:sz w:val="15"/>
              </w:rPr>
              <w:t>Size HK$m</w:t>
            </w:r>
          </w:p>
        </w:tc>
        <w:tc>
          <w:tcPr>
            <w:tcW w:type="dxa" w:w="850"/>
          </w:tcPr>
          <w:p>
            <w:r/>
            <w:r>
              <w:rPr>
                <w:b/>
                <w:sz w:val="15"/>
              </w:rPr>
              <w:t>Retail book</w:t>
            </w:r>
          </w:p>
        </w:tc>
        <w:tc>
          <w:tcPr>
            <w:tcW w:type="dxa" w:w="680"/>
          </w:tcPr>
          <w:p>
            <w:r/>
            <w:r>
              <w:rPr>
                <w:b/>
                <w:sz w:val="15"/>
              </w:rPr>
              <w:t>Placing</w:t>
            </w:r>
          </w:p>
        </w:tc>
        <w:tc>
          <w:tcPr>
            <w:tcW w:type="dxa" w:w="680"/>
          </w:tcPr>
          <w:p>
            <w:r/>
            <w:r>
              <w:rPr>
                <w:b/>
                <w:sz w:val="15"/>
              </w:rPr>
              <w:t>Placees</w:t>
            </w:r>
          </w:p>
        </w:tc>
        <w:tc>
          <w:tcPr>
            <w:tcW w:type="dxa" w:w="737"/>
          </w:tcPr>
          <w:p>
            <w:r/>
            <w:r>
              <w:rPr>
                <w:b/>
                <w:sz w:val="15"/>
              </w:rPr>
              <w:t>Retail %</w:t>
            </w:r>
          </w:p>
        </w:tc>
        <w:tc>
          <w:tcPr>
            <w:tcW w:type="dxa" w:w="737"/>
          </w:tcPr>
          <w:p>
            <w:r/>
            <w:r>
              <w:rPr>
                <w:b/>
                <w:sz w:val="15"/>
              </w:rPr>
              <w:t>Grey</w:t>
            </w:r>
          </w:p>
        </w:tc>
        <w:tc>
          <w:tcPr>
            <w:tcW w:type="dxa" w:w="737"/>
          </w:tcPr>
          <w:p>
            <w:r/>
            <w:r>
              <w:rPr>
                <w:b/>
                <w:sz w:val="15"/>
              </w:rPr>
              <w:t>Pop</w:t>
            </w:r>
          </w:p>
        </w:tc>
        <w:tc>
          <w:tcPr>
            <w:tcW w:type="dxa" w:w="737"/>
          </w:tcPr>
          <w:p>
            <w:r/>
            <w:r>
              <w:rPr>
                <w:b/>
                <w:sz w:val="15"/>
              </w:rPr>
              <w:t>Day-1</w:t>
            </w:r>
          </w:p>
        </w:tc>
        <w:tc>
          <w:tcPr>
            <w:tcW w:type="dxa" w:w="850"/>
          </w:tcPr>
          <w:p>
            <w:r/>
            <w:r>
              <w:rPr>
                <w:b/>
                <w:sz w:val="15"/>
              </w:rPr>
              <w:t>Pop→close</w:t>
            </w:r>
          </w:p>
        </w:tc>
        <w:tc>
          <w:tcPr>
            <w:tcW w:type="dxa" w:w="794"/>
          </w:tcPr>
          <w:p>
            <w:r/>
            <w:r>
              <w:rPr>
                <w:b/>
                <w:sz w:val="15"/>
              </w:rPr>
              <w:t>Vol÷retail</w:t>
            </w:r>
          </w:p>
        </w:tc>
      </w:tr>
      <w:tr>
        <w:tc>
          <w:tcPr>
            <w:tcW w:type="dxa" w:w="1871"/>
          </w:tcPr>
          <w:p>
            <w:r/>
            <w:r>
              <w:rPr>
                <w:sz w:val="15"/>
              </w:rPr>
              <w:t>9982 CENTRALCHINA M</w:t>
            </w:r>
          </w:p>
        </w:tc>
        <w:tc>
          <w:tcPr>
            <w:tcW w:type="dxa" w:w="1020"/>
          </w:tcPr>
          <w:p>
            <w:pPr>
              <w:jc w:val="right"/>
            </w:pPr>
            <w:r/>
            <w:r>
              <w:rPr>
                <w:sz w:val="15"/>
              </w:rPr>
              <w:t>2021-05-31</w:t>
            </w:r>
          </w:p>
        </w:tc>
        <w:tc>
          <w:tcPr>
            <w:tcW w:type="dxa" w:w="794"/>
          </w:tcPr>
          <w:p>
            <w:pPr>
              <w:jc w:val="right"/>
            </w:pPr>
            <w:r/>
            <w:r>
              <w:rPr>
                <w:sz w:val="15"/>
              </w:rPr>
              <w:t>984</w:t>
            </w:r>
          </w:p>
        </w:tc>
        <w:tc>
          <w:tcPr>
            <w:tcW w:type="dxa" w:w="850"/>
          </w:tcPr>
          <w:p>
            <w:pPr>
              <w:jc w:val="right"/>
            </w:pPr>
            <w:r/>
            <w:r>
              <w:rPr>
                <w:sz w:val="15"/>
              </w:rPr>
              <w:t>5.0x</w:t>
            </w:r>
          </w:p>
        </w:tc>
        <w:tc>
          <w:tcPr>
            <w:tcW w:type="dxa" w:w="680"/>
          </w:tcPr>
          <w:p>
            <w:pPr>
              <w:jc w:val="right"/>
            </w:pPr>
            <w:r/>
            <w:r>
              <w:rPr>
                <w:sz w:val="15"/>
              </w:rPr>
              <w:t>0.72x</w:t>
            </w:r>
          </w:p>
        </w:tc>
        <w:tc>
          <w:tcPr>
            <w:tcW w:type="dxa" w:w="680"/>
          </w:tcPr>
          <w:p>
            <w:pPr>
              <w:jc w:val="right"/>
            </w:pPr>
            <w:r/>
            <w:r>
              <w:rPr>
                <w:sz w:val="15"/>
              </w:rPr>
              <w:t>137</w:t>
            </w:r>
          </w:p>
        </w:tc>
        <w:tc>
          <w:tcPr>
            <w:tcW w:type="dxa" w:w="737"/>
          </w:tcPr>
          <w:p>
            <w:pPr>
              <w:jc w:val="right"/>
            </w:pPr>
            <w:r/>
            <w:r>
              <w:rPr>
                <w:sz w:val="15"/>
              </w:rPr>
              <w:t>—</w:t>
            </w:r>
          </w:p>
        </w:tc>
        <w:tc>
          <w:tcPr>
            <w:tcW w:type="dxa" w:w="737"/>
          </w:tcPr>
          <w:p>
            <w:pPr>
              <w:jc w:val="right"/>
            </w:pPr>
            <w:r/>
            <w:r>
              <w:rPr>
                <w:sz w:val="15"/>
              </w:rPr>
              <w:t>-14.0%</w:t>
            </w:r>
          </w:p>
        </w:tc>
        <w:tc>
          <w:tcPr>
            <w:tcW w:type="dxa" w:w="737"/>
          </w:tcPr>
          <w:p>
            <w:pPr>
              <w:jc w:val="right"/>
            </w:pPr>
            <w:r/>
            <w:r>
              <w:rPr>
                <w:sz w:val="15"/>
              </w:rPr>
              <w:t>-16.7%</w:t>
            </w:r>
          </w:p>
        </w:tc>
        <w:tc>
          <w:tcPr>
            <w:tcW w:type="dxa" w:w="737"/>
          </w:tcPr>
          <w:p>
            <w:pPr>
              <w:jc w:val="right"/>
            </w:pPr>
            <w:r/>
            <w:r>
              <w:rPr>
                <w:sz w:val="15"/>
              </w:rPr>
              <w:t>-12.0%</w:t>
            </w:r>
          </w:p>
        </w:tc>
        <w:tc>
          <w:tcPr>
            <w:tcW w:type="dxa" w:w="850"/>
          </w:tcPr>
          <w:p>
            <w:pPr>
              <w:jc w:val="right"/>
            </w:pPr>
            <w:r/>
            <w:r>
              <w:rPr>
                <w:sz w:val="15"/>
              </w:rPr>
              <w:t>+5.6%</w:t>
            </w:r>
          </w:p>
        </w:tc>
        <w:tc>
          <w:tcPr>
            <w:tcW w:type="dxa" w:w="794"/>
          </w:tcPr>
          <w:p>
            <w:pPr>
              <w:jc w:val="right"/>
            </w:pPr>
            <w:r/>
            <w:r>
              <w:rPr>
                <w:sz w:val="15"/>
              </w:rPr>
              <w:t>—</w:t>
            </w:r>
          </w:p>
        </w:tc>
      </w:tr>
      <w:tr>
        <w:tc>
          <w:tcPr>
            <w:tcW w:type="dxa" w:w="1871"/>
          </w:tcPr>
          <w:p>
            <w:r/>
            <w:r>
              <w:rPr>
                <w:sz w:val="15"/>
              </w:rPr>
              <w:t>2881 WUHAN YOUJI</w:t>
            </w:r>
          </w:p>
        </w:tc>
        <w:tc>
          <w:tcPr>
            <w:tcW w:type="dxa" w:w="1020"/>
          </w:tcPr>
          <w:p>
            <w:pPr>
              <w:jc w:val="right"/>
            </w:pPr>
            <w:r/>
            <w:r>
              <w:rPr>
                <w:sz w:val="15"/>
              </w:rPr>
              <w:t>2024-06-18</w:t>
            </w:r>
          </w:p>
        </w:tc>
        <w:tc>
          <w:tcPr>
            <w:tcW w:type="dxa" w:w="794"/>
          </w:tcPr>
          <w:p>
            <w:pPr>
              <w:jc w:val="right"/>
            </w:pPr>
            <w:r/>
            <w:r>
              <w:rPr>
                <w:sz w:val="15"/>
              </w:rPr>
              <w:t>101</w:t>
            </w:r>
          </w:p>
        </w:tc>
        <w:tc>
          <w:tcPr>
            <w:tcW w:type="dxa" w:w="850"/>
          </w:tcPr>
          <w:p>
            <w:pPr>
              <w:jc w:val="right"/>
            </w:pPr>
            <w:r/>
            <w:r>
              <w:rPr>
                <w:sz w:val="15"/>
              </w:rPr>
              <w:t>337.6x</w:t>
            </w:r>
          </w:p>
        </w:tc>
        <w:tc>
          <w:tcPr>
            <w:tcW w:type="dxa" w:w="680"/>
          </w:tcPr>
          <w:p>
            <w:pPr>
              <w:jc w:val="right"/>
            </w:pPr>
            <w:r/>
            <w:r>
              <w:rPr>
                <w:sz w:val="15"/>
              </w:rPr>
              <w:t>0.92x</w:t>
            </w:r>
          </w:p>
        </w:tc>
        <w:tc>
          <w:tcPr>
            <w:tcW w:type="dxa" w:w="680"/>
          </w:tcPr>
          <w:p>
            <w:pPr>
              <w:jc w:val="right"/>
            </w:pPr>
            <w:r/>
            <w:r>
              <w:rPr>
                <w:sz w:val="15"/>
              </w:rPr>
              <w:t>120</w:t>
            </w:r>
          </w:p>
        </w:tc>
        <w:tc>
          <w:tcPr>
            <w:tcW w:type="dxa" w:w="737"/>
          </w:tcPr>
          <w:p>
            <w:pPr>
              <w:jc w:val="right"/>
            </w:pPr>
            <w:r/>
            <w:r>
              <w:rPr>
                <w:sz w:val="15"/>
              </w:rPr>
              <w:t>17.8%</w:t>
            </w:r>
          </w:p>
        </w:tc>
        <w:tc>
          <w:tcPr>
            <w:tcW w:type="dxa" w:w="737"/>
          </w:tcPr>
          <w:p>
            <w:pPr>
              <w:jc w:val="right"/>
            </w:pPr>
            <w:r/>
            <w:r>
              <w:rPr>
                <w:sz w:val="15"/>
              </w:rPr>
              <w:t>+71.6%</w:t>
            </w:r>
          </w:p>
        </w:tc>
        <w:tc>
          <w:tcPr>
            <w:tcW w:type="dxa" w:w="737"/>
          </w:tcPr>
          <w:p>
            <w:pPr>
              <w:jc w:val="right"/>
            </w:pPr>
            <w:r/>
            <w:r>
              <w:rPr>
                <w:sz w:val="15"/>
              </w:rPr>
              <w:t>+79.6%</w:t>
            </w:r>
          </w:p>
        </w:tc>
        <w:tc>
          <w:tcPr>
            <w:tcW w:type="dxa" w:w="737"/>
          </w:tcPr>
          <w:p>
            <w:pPr>
              <w:jc w:val="right"/>
            </w:pPr>
            <w:r/>
            <w:r>
              <w:rPr>
                <w:sz w:val="15"/>
              </w:rPr>
              <w:t>+27.6%</w:t>
            </w:r>
          </w:p>
        </w:tc>
        <w:tc>
          <w:tcPr>
            <w:tcW w:type="dxa" w:w="850"/>
          </w:tcPr>
          <w:p>
            <w:pPr>
              <w:jc w:val="right"/>
            </w:pPr>
            <w:r/>
            <w:r>
              <w:rPr>
                <w:sz w:val="15"/>
              </w:rPr>
              <w:t>-28.9%</w:t>
            </w:r>
          </w:p>
        </w:tc>
        <w:tc>
          <w:tcPr>
            <w:tcW w:type="dxa" w:w="794"/>
          </w:tcPr>
          <w:p>
            <w:pPr>
              <w:jc w:val="right"/>
            </w:pPr>
            <w:r/>
            <w:r>
              <w:rPr>
                <w:sz w:val="15"/>
              </w:rPr>
              <w:t>2.9x</w:t>
            </w:r>
          </w:p>
        </w:tc>
      </w:tr>
      <w:tr>
        <w:tc>
          <w:tcPr>
            <w:tcW w:type="dxa" w:w="1871"/>
          </w:tcPr>
          <w:p>
            <w:r/>
            <w:r>
              <w:rPr>
                <w:sz w:val="15"/>
              </w:rPr>
              <w:t>1333 BRETON</w:t>
            </w:r>
          </w:p>
        </w:tc>
        <w:tc>
          <w:tcPr>
            <w:tcW w:type="dxa" w:w="1020"/>
          </w:tcPr>
          <w:p>
            <w:pPr>
              <w:jc w:val="right"/>
            </w:pPr>
            <w:r/>
            <w:r>
              <w:rPr>
                <w:sz w:val="15"/>
              </w:rPr>
              <w:t>2025-05-07</w:t>
            </w:r>
          </w:p>
        </w:tc>
        <w:tc>
          <w:tcPr>
            <w:tcW w:type="dxa" w:w="794"/>
          </w:tcPr>
          <w:p>
            <w:pPr>
              <w:jc w:val="right"/>
            </w:pPr>
            <w:r/>
            <w:r>
              <w:rPr>
                <w:sz w:val="15"/>
              </w:rPr>
              <w:t>234</w:t>
            </w:r>
          </w:p>
        </w:tc>
        <w:tc>
          <w:tcPr>
            <w:tcW w:type="dxa" w:w="850"/>
          </w:tcPr>
          <w:p>
            <w:pPr>
              <w:jc w:val="right"/>
            </w:pPr>
            <w:r/>
            <w:r>
              <w:rPr>
                <w:sz w:val="15"/>
              </w:rPr>
              <w:t>198.7x</w:t>
            </w:r>
          </w:p>
        </w:tc>
        <w:tc>
          <w:tcPr>
            <w:tcW w:type="dxa" w:w="680"/>
          </w:tcPr>
          <w:p>
            <w:pPr>
              <w:jc w:val="right"/>
            </w:pPr>
            <w:r/>
            <w:r>
              <w:rPr>
                <w:sz w:val="15"/>
              </w:rPr>
              <w:t>0.92x</w:t>
            </w:r>
          </w:p>
        </w:tc>
        <w:tc>
          <w:tcPr>
            <w:tcW w:type="dxa" w:w="680"/>
          </w:tcPr>
          <w:p>
            <w:pPr>
              <w:jc w:val="right"/>
            </w:pPr>
            <w:r/>
            <w:r>
              <w:rPr>
                <w:sz w:val="15"/>
              </w:rPr>
              <w:t>108</w:t>
            </w:r>
          </w:p>
        </w:tc>
        <w:tc>
          <w:tcPr>
            <w:tcW w:type="dxa" w:w="737"/>
          </w:tcPr>
          <w:p>
            <w:pPr>
              <w:jc w:val="right"/>
            </w:pPr>
            <w:r/>
            <w:r>
              <w:rPr>
                <w:sz w:val="15"/>
              </w:rPr>
              <w:t>20.0%</w:t>
            </w:r>
          </w:p>
        </w:tc>
        <w:tc>
          <w:tcPr>
            <w:tcW w:type="dxa" w:w="737"/>
          </w:tcPr>
          <w:p>
            <w:pPr>
              <w:jc w:val="right"/>
            </w:pPr>
            <w:r/>
            <w:r>
              <w:rPr>
                <w:sz w:val="15"/>
              </w:rPr>
              <w:t>+43.3%</w:t>
            </w:r>
          </w:p>
        </w:tc>
        <w:tc>
          <w:tcPr>
            <w:tcW w:type="dxa" w:w="737"/>
          </w:tcPr>
          <w:p>
            <w:pPr>
              <w:jc w:val="right"/>
            </w:pPr>
            <w:r/>
            <w:r>
              <w:rPr>
                <w:sz w:val="15"/>
              </w:rPr>
              <w:t>+61.1%</w:t>
            </w:r>
          </w:p>
        </w:tc>
        <w:tc>
          <w:tcPr>
            <w:tcW w:type="dxa" w:w="737"/>
          </w:tcPr>
          <w:p>
            <w:pPr>
              <w:jc w:val="right"/>
            </w:pPr>
            <w:r/>
            <w:r>
              <w:rPr>
                <w:sz w:val="15"/>
              </w:rPr>
              <w:t>+38.3%</w:t>
            </w:r>
          </w:p>
        </w:tc>
        <w:tc>
          <w:tcPr>
            <w:tcW w:type="dxa" w:w="850"/>
          </w:tcPr>
          <w:p>
            <w:pPr>
              <w:jc w:val="right"/>
            </w:pPr>
            <w:r/>
            <w:r>
              <w:rPr>
                <w:sz w:val="15"/>
              </w:rPr>
              <w:t>-14.1%</w:t>
            </w:r>
          </w:p>
        </w:tc>
        <w:tc>
          <w:tcPr>
            <w:tcW w:type="dxa" w:w="794"/>
          </w:tcPr>
          <w:p>
            <w:pPr>
              <w:jc w:val="right"/>
            </w:pPr>
            <w:r/>
            <w:r>
              <w:rPr>
                <w:sz w:val="15"/>
              </w:rPr>
              <w:t>3.2x</w:t>
            </w:r>
          </w:p>
        </w:tc>
      </w:tr>
      <w:tr>
        <w:tc>
          <w:tcPr>
            <w:tcW w:type="dxa" w:w="1871"/>
          </w:tcPr>
          <w:p>
            <w:r/>
            <w:r>
              <w:rPr>
                <w:sz w:val="15"/>
              </w:rPr>
              <w:t>2625 JIANGSU HORIZO</w:t>
            </w:r>
          </w:p>
        </w:tc>
        <w:tc>
          <w:tcPr>
            <w:tcW w:type="dxa" w:w="1020"/>
          </w:tcPr>
          <w:p>
            <w:pPr>
              <w:jc w:val="right"/>
            </w:pPr>
            <w:r/>
            <w:r>
              <w:rPr>
                <w:sz w:val="15"/>
              </w:rPr>
              <w:t>2025-03-31</w:t>
            </w:r>
          </w:p>
        </w:tc>
        <w:tc>
          <w:tcPr>
            <w:tcW w:type="dxa" w:w="794"/>
          </w:tcPr>
          <w:p>
            <w:pPr>
              <w:jc w:val="right"/>
            </w:pPr>
            <w:r/>
            <w:r>
              <w:rPr>
                <w:sz w:val="15"/>
              </w:rPr>
              <w:t>134</w:t>
            </w:r>
          </w:p>
        </w:tc>
        <w:tc>
          <w:tcPr>
            <w:tcW w:type="dxa" w:w="850"/>
          </w:tcPr>
          <w:p>
            <w:pPr>
              <w:jc w:val="right"/>
            </w:pPr>
            <w:r/>
            <w:r>
              <w:rPr>
                <w:sz w:val="15"/>
              </w:rPr>
              <w:t>47.0x</w:t>
            </w:r>
          </w:p>
        </w:tc>
        <w:tc>
          <w:tcPr>
            <w:tcW w:type="dxa" w:w="680"/>
          </w:tcPr>
          <w:p>
            <w:pPr>
              <w:jc w:val="right"/>
            </w:pPr>
            <w:r/>
            <w:r>
              <w:rPr>
                <w:sz w:val="15"/>
              </w:rPr>
              <w:t>0.93x</w:t>
            </w:r>
          </w:p>
        </w:tc>
        <w:tc>
          <w:tcPr>
            <w:tcW w:type="dxa" w:w="680"/>
          </w:tcPr>
          <w:p>
            <w:pPr>
              <w:jc w:val="right"/>
            </w:pPr>
            <w:r/>
            <w:r>
              <w:rPr>
                <w:sz w:val="15"/>
              </w:rPr>
              <w:t>130</w:t>
            </w:r>
          </w:p>
        </w:tc>
        <w:tc>
          <w:tcPr>
            <w:tcW w:type="dxa" w:w="737"/>
          </w:tcPr>
          <w:p>
            <w:pPr>
              <w:jc w:val="right"/>
            </w:pPr>
            <w:r/>
            <w:r>
              <w:rPr>
                <w:sz w:val="15"/>
              </w:rPr>
              <w:t>16.6%</w:t>
            </w:r>
          </w:p>
        </w:tc>
        <w:tc>
          <w:tcPr>
            <w:tcW w:type="dxa" w:w="737"/>
          </w:tcPr>
          <w:p>
            <w:pPr>
              <w:jc w:val="right"/>
            </w:pPr>
            <w:r/>
            <w:r>
              <w:rPr>
                <w:sz w:val="15"/>
              </w:rPr>
              <w:t>+28.0%</w:t>
            </w:r>
          </w:p>
        </w:tc>
        <w:tc>
          <w:tcPr>
            <w:tcW w:type="dxa" w:w="737"/>
          </w:tcPr>
          <w:p>
            <w:pPr>
              <w:jc w:val="right"/>
            </w:pPr>
            <w:r/>
            <w:r>
              <w:rPr>
                <w:sz w:val="15"/>
              </w:rPr>
              <w:t>+37.6%</w:t>
            </w:r>
          </w:p>
        </w:tc>
        <w:tc>
          <w:tcPr>
            <w:tcW w:type="dxa" w:w="737"/>
          </w:tcPr>
          <w:p>
            <w:pPr>
              <w:jc w:val="right"/>
            </w:pPr>
            <w:r/>
            <w:r>
              <w:rPr>
                <w:sz w:val="15"/>
              </w:rPr>
              <w:t>+0.0%</w:t>
            </w:r>
          </w:p>
        </w:tc>
        <w:tc>
          <w:tcPr>
            <w:tcW w:type="dxa" w:w="850"/>
          </w:tcPr>
          <w:p>
            <w:pPr>
              <w:jc w:val="right"/>
            </w:pPr>
            <w:r/>
            <w:r>
              <w:rPr>
                <w:sz w:val="15"/>
              </w:rPr>
              <w:t>-27.3%</w:t>
            </w:r>
          </w:p>
        </w:tc>
        <w:tc>
          <w:tcPr>
            <w:tcW w:type="dxa" w:w="794"/>
          </w:tcPr>
          <w:p>
            <w:pPr>
              <w:jc w:val="right"/>
            </w:pPr>
            <w:r/>
            <w:r>
              <w:rPr>
                <w:sz w:val="15"/>
              </w:rPr>
              <w:t>3.1x</w:t>
            </w:r>
          </w:p>
        </w:tc>
      </w:tr>
      <w:tr>
        <w:tc>
          <w:tcPr>
            <w:tcW w:type="dxa" w:w="1871"/>
          </w:tcPr>
          <w:p>
            <w:r/>
            <w:r>
              <w:rPr>
                <w:sz w:val="15"/>
              </w:rPr>
              <w:t>2573 NEWTREND GROUP</w:t>
            </w:r>
          </w:p>
        </w:tc>
        <w:tc>
          <w:tcPr>
            <w:tcW w:type="dxa" w:w="1020"/>
          </w:tcPr>
          <w:p>
            <w:pPr>
              <w:jc w:val="right"/>
            </w:pPr>
            <w:r/>
            <w:r>
              <w:rPr>
                <w:sz w:val="15"/>
              </w:rPr>
              <w:t>2025-06-10</w:t>
            </w:r>
          </w:p>
        </w:tc>
        <w:tc>
          <w:tcPr>
            <w:tcW w:type="dxa" w:w="794"/>
          </w:tcPr>
          <w:p>
            <w:pPr>
              <w:jc w:val="right"/>
            </w:pPr>
            <w:r/>
            <w:r>
              <w:rPr>
                <w:sz w:val="15"/>
              </w:rPr>
              <w:t>200</w:t>
            </w:r>
          </w:p>
        </w:tc>
        <w:tc>
          <w:tcPr>
            <w:tcW w:type="dxa" w:w="850"/>
          </w:tcPr>
          <w:p>
            <w:pPr>
              <w:jc w:val="right"/>
            </w:pPr>
            <w:r/>
            <w:r>
              <w:rPr>
                <w:sz w:val="15"/>
              </w:rPr>
              <w:t>149.4x</w:t>
            </w:r>
          </w:p>
        </w:tc>
        <w:tc>
          <w:tcPr>
            <w:tcW w:type="dxa" w:w="680"/>
          </w:tcPr>
          <w:p>
            <w:pPr>
              <w:jc w:val="right"/>
            </w:pPr>
            <w:r/>
            <w:r>
              <w:rPr>
                <w:sz w:val="15"/>
              </w:rPr>
              <w:t>0.93x</w:t>
            </w:r>
          </w:p>
        </w:tc>
        <w:tc>
          <w:tcPr>
            <w:tcW w:type="dxa" w:w="680"/>
          </w:tcPr>
          <w:p>
            <w:pPr>
              <w:jc w:val="right"/>
            </w:pPr>
            <w:r/>
            <w:r>
              <w:rPr>
                <w:sz w:val="15"/>
              </w:rPr>
              <w:t>118</w:t>
            </w:r>
          </w:p>
        </w:tc>
        <w:tc>
          <w:tcPr>
            <w:tcW w:type="dxa" w:w="737"/>
          </w:tcPr>
          <w:p>
            <w:pPr>
              <w:jc w:val="right"/>
            </w:pPr>
            <w:r/>
            <w:r>
              <w:rPr>
                <w:sz w:val="15"/>
              </w:rPr>
              <w:t>15.7%</w:t>
            </w:r>
          </w:p>
        </w:tc>
        <w:tc>
          <w:tcPr>
            <w:tcW w:type="dxa" w:w="737"/>
          </w:tcPr>
          <w:p>
            <w:pPr>
              <w:jc w:val="right"/>
            </w:pPr>
            <w:r/>
            <w:r>
              <w:rPr>
                <w:sz w:val="15"/>
              </w:rPr>
              <w:t>+72.5%</w:t>
            </w:r>
          </w:p>
        </w:tc>
        <w:tc>
          <w:tcPr>
            <w:tcW w:type="dxa" w:w="737"/>
          </w:tcPr>
          <w:p>
            <w:pPr>
              <w:jc w:val="right"/>
            </w:pPr>
            <w:r/>
            <w:r>
              <w:rPr>
                <w:sz w:val="15"/>
              </w:rPr>
              <w:t>+60.0%</w:t>
            </w:r>
          </w:p>
        </w:tc>
        <w:tc>
          <w:tcPr>
            <w:tcW w:type="dxa" w:w="737"/>
          </w:tcPr>
          <w:p>
            <w:pPr>
              <w:jc w:val="right"/>
            </w:pPr>
            <w:r/>
            <w:r>
              <w:rPr>
                <w:sz w:val="15"/>
              </w:rPr>
              <w:t>+21.4%</w:t>
            </w:r>
          </w:p>
        </w:tc>
        <w:tc>
          <w:tcPr>
            <w:tcW w:type="dxa" w:w="850"/>
          </w:tcPr>
          <w:p>
            <w:pPr>
              <w:jc w:val="right"/>
            </w:pPr>
            <w:r/>
            <w:r>
              <w:rPr>
                <w:sz w:val="15"/>
              </w:rPr>
              <w:t>-24.1%</w:t>
            </w:r>
          </w:p>
        </w:tc>
        <w:tc>
          <w:tcPr>
            <w:tcW w:type="dxa" w:w="794"/>
          </w:tcPr>
          <w:p>
            <w:pPr>
              <w:jc w:val="right"/>
            </w:pPr>
            <w:r/>
            <w:r>
              <w:rPr>
                <w:sz w:val="15"/>
              </w:rPr>
              <w:t>3.1x</w:t>
            </w:r>
          </w:p>
        </w:tc>
      </w:tr>
      <w:tr>
        <w:tc>
          <w:tcPr>
            <w:tcW w:type="dxa" w:w="1871"/>
          </w:tcPr>
          <w:p>
            <w:r/>
            <w:r>
              <w:rPr>
                <w:sz w:val="15"/>
              </w:rPr>
              <w:t>2450 HUAIBEI GD CO</w:t>
            </w:r>
          </w:p>
        </w:tc>
        <w:tc>
          <w:tcPr>
            <w:tcW w:type="dxa" w:w="1020"/>
          </w:tcPr>
          <w:p>
            <w:pPr>
              <w:jc w:val="right"/>
            </w:pPr>
            <w:r/>
            <w:r>
              <w:rPr>
                <w:sz w:val="15"/>
              </w:rPr>
              <w:t>2023-01-20</w:t>
            </w:r>
          </w:p>
        </w:tc>
        <w:tc>
          <w:tcPr>
            <w:tcW w:type="dxa" w:w="794"/>
          </w:tcPr>
          <w:p>
            <w:pPr>
              <w:jc w:val="right"/>
            </w:pPr>
            <w:r/>
            <w:r>
              <w:rPr>
                <w:sz w:val="15"/>
              </w:rPr>
              <w:t>126</w:t>
            </w:r>
          </w:p>
        </w:tc>
        <w:tc>
          <w:tcPr>
            <w:tcW w:type="dxa" w:w="850"/>
          </w:tcPr>
          <w:p>
            <w:pPr>
              <w:jc w:val="right"/>
            </w:pPr>
            <w:r/>
            <w:r>
              <w:rPr>
                <w:sz w:val="15"/>
              </w:rPr>
              <w:t>12.3x</w:t>
            </w:r>
          </w:p>
        </w:tc>
        <w:tc>
          <w:tcPr>
            <w:tcW w:type="dxa" w:w="680"/>
          </w:tcPr>
          <w:p>
            <w:pPr>
              <w:jc w:val="right"/>
            </w:pPr>
            <w:r/>
            <w:r>
              <w:rPr>
                <w:sz w:val="15"/>
              </w:rPr>
              <w:t>0.95x</w:t>
            </w:r>
          </w:p>
        </w:tc>
        <w:tc>
          <w:tcPr>
            <w:tcW w:type="dxa" w:w="680"/>
          </w:tcPr>
          <w:p>
            <w:pPr>
              <w:jc w:val="right"/>
            </w:pPr>
            <w:r/>
            <w:r>
              <w:rPr>
                <w:sz w:val="15"/>
              </w:rPr>
              <w:t>137</w:t>
            </w:r>
          </w:p>
        </w:tc>
        <w:tc>
          <w:tcPr>
            <w:tcW w:type="dxa" w:w="737"/>
          </w:tcPr>
          <w:p>
            <w:pPr>
              <w:jc w:val="right"/>
            </w:pPr>
            <w:r/>
            <w:r>
              <w:rPr>
                <w:sz w:val="15"/>
              </w:rPr>
              <w:t>20.0%</w:t>
            </w:r>
          </w:p>
        </w:tc>
        <w:tc>
          <w:tcPr>
            <w:tcW w:type="dxa" w:w="737"/>
          </w:tcPr>
          <w:p>
            <w:pPr>
              <w:jc w:val="right"/>
            </w:pPr>
            <w:r/>
            <w:r>
              <w:rPr>
                <w:sz w:val="15"/>
              </w:rPr>
              <w:t>-38.7%</w:t>
            </w:r>
          </w:p>
        </w:tc>
        <w:tc>
          <w:tcPr>
            <w:tcW w:type="dxa" w:w="737"/>
          </w:tcPr>
          <w:p>
            <w:pPr>
              <w:jc w:val="right"/>
            </w:pPr>
            <w:r/>
            <w:r>
              <w:rPr>
                <w:sz w:val="15"/>
              </w:rPr>
              <w:t>-36.6%</w:t>
            </w:r>
          </w:p>
        </w:tc>
        <w:tc>
          <w:tcPr>
            <w:tcW w:type="dxa" w:w="737"/>
          </w:tcPr>
          <w:p>
            <w:pPr>
              <w:jc w:val="right"/>
            </w:pPr>
            <w:r/>
            <w:r>
              <w:rPr>
                <w:sz w:val="15"/>
              </w:rPr>
              <w:t>-44.5%</w:t>
            </w:r>
          </w:p>
        </w:tc>
        <w:tc>
          <w:tcPr>
            <w:tcW w:type="dxa" w:w="850"/>
          </w:tcPr>
          <w:p>
            <w:pPr>
              <w:jc w:val="right"/>
            </w:pPr>
            <w:r/>
            <w:r>
              <w:rPr>
                <w:sz w:val="15"/>
              </w:rPr>
              <w:t>-12.4%</w:t>
            </w:r>
          </w:p>
        </w:tc>
        <w:tc>
          <w:tcPr>
            <w:tcW w:type="dxa" w:w="794"/>
          </w:tcPr>
          <w:p>
            <w:pPr>
              <w:jc w:val="right"/>
            </w:pPr>
            <w:r/>
            <w:r>
              <w:rPr>
                <w:sz w:val="15"/>
              </w:rPr>
              <w:t>3.6x</w:t>
            </w:r>
          </w:p>
        </w:tc>
      </w:tr>
      <w:tr>
        <w:tc>
          <w:tcPr>
            <w:tcW w:type="dxa" w:w="1871"/>
          </w:tcPr>
          <w:p>
            <w:r/>
            <w:r>
              <w:rPr>
                <w:sz w:val="15"/>
              </w:rPr>
              <w:t>2613 CONTIOCEAN</w:t>
            </w:r>
          </w:p>
        </w:tc>
        <w:tc>
          <w:tcPr>
            <w:tcW w:type="dxa" w:w="1020"/>
          </w:tcPr>
          <w:p>
            <w:pPr>
              <w:jc w:val="right"/>
            </w:pPr>
            <w:r/>
            <w:r>
              <w:rPr>
                <w:sz w:val="15"/>
              </w:rPr>
              <w:t>2025-01-09</w:t>
            </w:r>
          </w:p>
        </w:tc>
        <w:tc>
          <w:tcPr>
            <w:tcW w:type="dxa" w:w="794"/>
          </w:tcPr>
          <w:p>
            <w:pPr>
              <w:jc w:val="right"/>
            </w:pPr>
            <w:r/>
            <w:r>
              <w:rPr>
                <w:sz w:val="15"/>
              </w:rPr>
              <w:t>318</w:t>
            </w:r>
          </w:p>
        </w:tc>
        <w:tc>
          <w:tcPr>
            <w:tcW w:type="dxa" w:w="850"/>
          </w:tcPr>
          <w:p>
            <w:pPr>
              <w:jc w:val="right"/>
            </w:pPr>
            <w:r/>
            <w:r>
              <w:rPr>
                <w:sz w:val="15"/>
              </w:rPr>
              <w:t>55.3x</w:t>
            </w:r>
          </w:p>
        </w:tc>
        <w:tc>
          <w:tcPr>
            <w:tcW w:type="dxa" w:w="680"/>
          </w:tcPr>
          <w:p>
            <w:pPr>
              <w:jc w:val="right"/>
            </w:pPr>
            <w:r/>
            <w:r>
              <w:rPr>
                <w:sz w:val="15"/>
              </w:rPr>
              <w:t>0.95x</w:t>
            </w:r>
          </w:p>
        </w:tc>
        <w:tc>
          <w:tcPr>
            <w:tcW w:type="dxa" w:w="680"/>
          </w:tcPr>
          <w:p>
            <w:pPr>
              <w:jc w:val="right"/>
            </w:pPr>
            <w:r/>
            <w:r>
              <w:rPr>
                <w:sz w:val="15"/>
              </w:rPr>
              <w:t>118</w:t>
            </w:r>
          </w:p>
        </w:tc>
        <w:tc>
          <w:tcPr>
            <w:tcW w:type="dxa" w:w="737"/>
          </w:tcPr>
          <w:p>
            <w:pPr>
              <w:jc w:val="right"/>
            </w:pPr>
            <w:r/>
            <w:r>
              <w:rPr>
                <w:sz w:val="15"/>
              </w:rPr>
              <w:t>18.9%</w:t>
            </w:r>
          </w:p>
        </w:tc>
        <w:tc>
          <w:tcPr>
            <w:tcW w:type="dxa" w:w="737"/>
          </w:tcPr>
          <w:p>
            <w:pPr>
              <w:jc w:val="right"/>
            </w:pPr>
            <w:r/>
            <w:r>
              <w:rPr>
                <w:sz w:val="15"/>
              </w:rPr>
              <w:t>+6.4%</w:t>
            </w:r>
          </w:p>
        </w:tc>
        <w:tc>
          <w:tcPr>
            <w:tcW w:type="dxa" w:w="737"/>
          </w:tcPr>
          <w:p>
            <w:pPr>
              <w:jc w:val="right"/>
            </w:pPr>
            <w:r/>
            <w:r>
              <w:rPr>
                <w:sz w:val="15"/>
              </w:rPr>
              <w:t>+6.8%</w:t>
            </w:r>
          </w:p>
        </w:tc>
        <w:tc>
          <w:tcPr>
            <w:tcW w:type="dxa" w:w="737"/>
          </w:tcPr>
          <w:p>
            <w:pPr>
              <w:jc w:val="right"/>
            </w:pPr>
            <w:r/>
            <w:r>
              <w:rPr>
                <w:sz w:val="15"/>
              </w:rPr>
              <w:t>+6.3%</w:t>
            </w:r>
          </w:p>
        </w:tc>
        <w:tc>
          <w:tcPr>
            <w:tcW w:type="dxa" w:w="850"/>
          </w:tcPr>
          <w:p>
            <w:pPr>
              <w:jc w:val="right"/>
            </w:pPr>
            <w:r/>
            <w:r>
              <w:rPr>
                <w:sz w:val="15"/>
              </w:rPr>
              <w:t>-0.4%</w:t>
            </w:r>
          </w:p>
        </w:tc>
        <w:tc>
          <w:tcPr>
            <w:tcW w:type="dxa" w:w="794"/>
          </w:tcPr>
          <w:p>
            <w:pPr>
              <w:jc w:val="right"/>
            </w:pPr>
            <w:r/>
            <w:r>
              <w:rPr>
                <w:sz w:val="15"/>
              </w:rPr>
              <w:t>1.1x</w:t>
            </w:r>
          </w:p>
        </w:tc>
      </w:tr>
      <w:tr>
        <w:tc>
          <w:tcPr>
            <w:tcW w:type="dxa" w:w="1871"/>
          </w:tcPr>
          <w:p>
            <w:r/>
            <w:r>
              <w:rPr>
                <w:sz w:val="15"/>
              </w:rPr>
              <w:t>2553 SHOUGANG LANZA</w:t>
            </w:r>
          </w:p>
        </w:tc>
        <w:tc>
          <w:tcPr>
            <w:tcW w:type="dxa" w:w="1020"/>
          </w:tcPr>
          <w:p>
            <w:pPr>
              <w:jc w:val="right"/>
            </w:pPr>
            <w:r/>
            <w:r>
              <w:rPr>
                <w:sz w:val="15"/>
              </w:rPr>
              <w:t>2026-06-03</w:t>
            </w:r>
          </w:p>
        </w:tc>
        <w:tc>
          <w:tcPr>
            <w:tcW w:type="dxa" w:w="794"/>
          </w:tcPr>
          <w:p>
            <w:pPr>
              <w:jc w:val="right"/>
            </w:pPr>
            <w:r/>
            <w:r>
              <w:rPr>
                <w:sz w:val="15"/>
              </w:rPr>
              <w:t>584</w:t>
            </w:r>
          </w:p>
        </w:tc>
        <w:tc>
          <w:tcPr>
            <w:tcW w:type="dxa" w:w="850"/>
          </w:tcPr>
          <w:p>
            <w:pPr>
              <w:jc w:val="right"/>
            </w:pPr>
            <w:r/>
            <w:r>
              <w:rPr>
                <w:sz w:val="15"/>
              </w:rPr>
              <w:t>1,421.5x</w:t>
            </w:r>
          </w:p>
        </w:tc>
        <w:tc>
          <w:tcPr>
            <w:tcW w:type="dxa" w:w="680"/>
          </w:tcPr>
          <w:p>
            <w:pPr>
              <w:jc w:val="right"/>
            </w:pPr>
            <w:r/>
            <w:r>
              <w:rPr>
                <w:sz w:val="15"/>
              </w:rPr>
              <w:t>0.95x</w:t>
            </w:r>
          </w:p>
        </w:tc>
        <w:tc>
          <w:tcPr>
            <w:tcW w:type="dxa" w:w="680"/>
          </w:tcPr>
          <w:p>
            <w:pPr>
              <w:jc w:val="right"/>
            </w:pPr>
            <w:r/>
            <w:r>
              <w:rPr>
                <w:sz w:val="15"/>
              </w:rPr>
              <w:t>97</w:t>
            </w:r>
          </w:p>
        </w:tc>
        <w:tc>
          <w:tcPr>
            <w:tcW w:type="dxa" w:w="737"/>
          </w:tcPr>
          <w:p>
            <w:pPr>
              <w:jc w:val="right"/>
            </w:pPr>
            <w:r/>
            <w:r>
              <w:rPr>
                <w:sz w:val="15"/>
              </w:rPr>
              <w:t>15.0%</w:t>
            </w:r>
          </w:p>
        </w:tc>
        <w:tc>
          <w:tcPr>
            <w:tcW w:type="dxa" w:w="737"/>
          </w:tcPr>
          <w:p>
            <w:pPr>
              <w:jc w:val="right"/>
            </w:pPr>
            <w:r/>
            <w:r>
              <w:rPr>
                <w:sz w:val="15"/>
              </w:rPr>
              <w:t>+146.6%</w:t>
            </w:r>
          </w:p>
        </w:tc>
        <w:tc>
          <w:tcPr>
            <w:tcW w:type="dxa" w:w="737"/>
          </w:tcPr>
          <w:p>
            <w:pPr>
              <w:jc w:val="right"/>
            </w:pPr>
            <w:r/>
            <w:r>
              <w:rPr>
                <w:sz w:val="15"/>
              </w:rPr>
              <w:t>+91.8%</w:t>
            </w:r>
          </w:p>
        </w:tc>
        <w:tc>
          <w:tcPr>
            <w:tcW w:type="dxa" w:w="737"/>
          </w:tcPr>
          <w:p>
            <w:pPr>
              <w:jc w:val="right"/>
            </w:pPr>
            <w:r/>
            <w:r>
              <w:rPr>
                <w:sz w:val="15"/>
              </w:rPr>
              <w:t>+44.2%</w:t>
            </w:r>
          </w:p>
        </w:tc>
        <w:tc>
          <w:tcPr>
            <w:tcW w:type="dxa" w:w="850"/>
          </w:tcPr>
          <w:p>
            <w:pPr>
              <w:jc w:val="right"/>
            </w:pPr>
            <w:r/>
            <w:r>
              <w:rPr>
                <w:sz w:val="15"/>
              </w:rPr>
              <w:t>-24.8%</w:t>
            </w:r>
          </w:p>
        </w:tc>
        <w:tc>
          <w:tcPr>
            <w:tcW w:type="dxa" w:w="794"/>
          </w:tcPr>
          <w:p>
            <w:pPr>
              <w:jc w:val="right"/>
            </w:pPr>
            <w:r/>
            <w:r>
              <w:rPr>
                <w:sz w:val="15"/>
              </w:rPr>
              <w:t>6.2x</w:t>
            </w:r>
          </w:p>
        </w:tc>
      </w:tr>
      <w:tr>
        <w:tc>
          <w:tcPr>
            <w:tcW w:type="dxa" w:w="1871"/>
          </w:tcPr>
          <w:p>
            <w:r/>
            <w:r>
              <w:rPr>
                <w:sz w:val="15"/>
              </w:rPr>
              <w:t>1440 DEYUN HOLDING</w:t>
            </w:r>
          </w:p>
        </w:tc>
        <w:tc>
          <w:tcPr>
            <w:tcW w:type="dxa" w:w="1020"/>
          </w:tcPr>
          <w:p>
            <w:pPr>
              <w:jc w:val="right"/>
            </w:pPr>
            <w:r/>
            <w:r>
              <w:rPr>
                <w:sz w:val="15"/>
              </w:rPr>
              <w:t>2021-01-13</w:t>
            </w:r>
          </w:p>
        </w:tc>
        <w:tc>
          <w:tcPr>
            <w:tcW w:type="dxa" w:w="794"/>
          </w:tcPr>
          <w:p>
            <w:pPr>
              <w:jc w:val="right"/>
            </w:pPr>
            <w:r/>
            <w:r>
              <w:rPr>
                <w:sz w:val="15"/>
              </w:rPr>
              <w:t>126</w:t>
            </w:r>
          </w:p>
        </w:tc>
        <w:tc>
          <w:tcPr>
            <w:tcW w:type="dxa" w:w="850"/>
          </w:tcPr>
          <w:p>
            <w:pPr>
              <w:jc w:val="right"/>
            </w:pPr>
            <w:r/>
            <w:r>
              <w:rPr>
                <w:sz w:val="15"/>
              </w:rPr>
              <w:t>33.6x</w:t>
            </w:r>
          </w:p>
        </w:tc>
        <w:tc>
          <w:tcPr>
            <w:tcW w:type="dxa" w:w="680"/>
          </w:tcPr>
          <w:p>
            <w:pPr>
              <w:jc w:val="right"/>
            </w:pPr>
            <w:r/>
            <w:r>
              <w:rPr>
                <w:sz w:val="15"/>
              </w:rPr>
              <w:t>0.96x</w:t>
            </w:r>
          </w:p>
        </w:tc>
        <w:tc>
          <w:tcPr>
            <w:tcW w:type="dxa" w:w="680"/>
          </w:tcPr>
          <w:p>
            <w:pPr>
              <w:jc w:val="right"/>
            </w:pPr>
            <w:r/>
            <w:r>
              <w:rPr>
                <w:sz w:val="15"/>
              </w:rPr>
              <w:t>218</w:t>
            </w:r>
          </w:p>
        </w:tc>
        <w:tc>
          <w:tcPr>
            <w:tcW w:type="dxa" w:w="737"/>
          </w:tcPr>
          <w:p>
            <w:pPr>
              <w:jc w:val="right"/>
            </w:pPr>
            <w:r/>
            <w:r>
              <w:rPr>
                <w:sz w:val="15"/>
              </w:rPr>
              <w:t>20.0%</w:t>
            </w:r>
          </w:p>
        </w:tc>
        <w:tc>
          <w:tcPr>
            <w:tcW w:type="dxa" w:w="737"/>
          </w:tcPr>
          <w:p>
            <w:pPr>
              <w:jc w:val="right"/>
            </w:pPr>
            <w:r/>
            <w:r>
              <w:rPr>
                <w:sz w:val="15"/>
              </w:rPr>
              <w:t>—</w:t>
            </w:r>
          </w:p>
        </w:tc>
        <w:tc>
          <w:tcPr>
            <w:tcW w:type="dxa" w:w="737"/>
          </w:tcPr>
          <w:p>
            <w:pPr>
              <w:jc w:val="right"/>
            </w:pPr>
            <w:r/>
            <w:r>
              <w:rPr>
                <w:sz w:val="15"/>
              </w:rPr>
              <w:t>+5.0%</w:t>
            </w:r>
          </w:p>
        </w:tc>
        <w:tc>
          <w:tcPr>
            <w:tcW w:type="dxa" w:w="737"/>
          </w:tcPr>
          <w:p>
            <w:pPr>
              <w:jc w:val="right"/>
            </w:pPr>
            <w:r/>
            <w:r>
              <w:rPr>
                <w:sz w:val="15"/>
              </w:rPr>
              <w:t>+3.8%</w:t>
            </w:r>
          </w:p>
        </w:tc>
        <w:tc>
          <w:tcPr>
            <w:tcW w:type="dxa" w:w="850"/>
          </w:tcPr>
          <w:p>
            <w:pPr>
              <w:jc w:val="right"/>
            </w:pPr>
            <w:r/>
            <w:r>
              <w:rPr>
                <w:sz w:val="15"/>
              </w:rPr>
              <w:t>-1.2%</w:t>
            </w:r>
          </w:p>
        </w:tc>
        <w:tc>
          <w:tcPr>
            <w:tcW w:type="dxa" w:w="794"/>
          </w:tcPr>
          <w:p>
            <w:pPr>
              <w:jc w:val="right"/>
            </w:pPr>
            <w:r/>
            <w:r>
              <w:rPr>
                <w:sz w:val="15"/>
              </w:rPr>
              <w:t>1.5x</w:t>
            </w:r>
          </w:p>
        </w:tc>
      </w:tr>
      <w:tr>
        <w:tc>
          <w:tcPr>
            <w:tcW w:type="dxa" w:w="1871"/>
          </w:tcPr>
          <w:p>
            <w:r/>
            <w:r>
              <w:rPr>
                <w:sz w:val="15"/>
              </w:rPr>
              <w:t>2497 FUJING HOLDING</w:t>
            </w:r>
          </w:p>
        </w:tc>
        <w:tc>
          <w:tcPr>
            <w:tcW w:type="dxa" w:w="1020"/>
          </w:tcPr>
          <w:p>
            <w:pPr>
              <w:jc w:val="right"/>
            </w:pPr>
            <w:r/>
            <w:r>
              <w:rPr>
                <w:sz w:val="15"/>
              </w:rPr>
              <w:t>2024-03-28</w:t>
            </w:r>
          </w:p>
        </w:tc>
        <w:tc>
          <w:tcPr>
            <w:tcW w:type="dxa" w:w="794"/>
          </w:tcPr>
          <w:p>
            <w:pPr>
              <w:jc w:val="right"/>
            </w:pPr>
            <w:r/>
            <w:r>
              <w:rPr>
                <w:sz w:val="15"/>
              </w:rPr>
              <w:t>108</w:t>
            </w:r>
          </w:p>
        </w:tc>
        <w:tc>
          <w:tcPr>
            <w:tcW w:type="dxa" w:w="850"/>
          </w:tcPr>
          <w:p>
            <w:pPr>
              <w:jc w:val="right"/>
            </w:pPr>
            <w:r/>
            <w:r>
              <w:rPr>
                <w:sz w:val="15"/>
              </w:rPr>
              <w:t>294.1x</w:t>
            </w:r>
          </w:p>
        </w:tc>
        <w:tc>
          <w:tcPr>
            <w:tcW w:type="dxa" w:w="680"/>
          </w:tcPr>
          <w:p>
            <w:pPr>
              <w:jc w:val="right"/>
            </w:pPr>
            <w:r/>
            <w:r>
              <w:rPr>
                <w:sz w:val="15"/>
              </w:rPr>
              <w:t>0.96x</w:t>
            </w:r>
          </w:p>
        </w:tc>
        <w:tc>
          <w:tcPr>
            <w:tcW w:type="dxa" w:w="680"/>
          </w:tcPr>
          <w:p>
            <w:pPr>
              <w:jc w:val="right"/>
            </w:pPr>
            <w:r/>
            <w:r>
              <w:rPr>
                <w:sz w:val="15"/>
              </w:rPr>
              <w:t>143</w:t>
            </w:r>
          </w:p>
        </w:tc>
        <w:tc>
          <w:tcPr>
            <w:tcW w:type="dxa" w:w="737"/>
          </w:tcPr>
          <w:p>
            <w:pPr>
              <w:jc w:val="right"/>
            </w:pPr>
            <w:r/>
            <w:r>
              <w:rPr>
                <w:sz w:val="15"/>
              </w:rPr>
              <w:t>14.6%</w:t>
            </w:r>
          </w:p>
        </w:tc>
        <w:tc>
          <w:tcPr>
            <w:tcW w:type="dxa" w:w="737"/>
          </w:tcPr>
          <w:p>
            <w:pPr>
              <w:jc w:val="right"/>
            </w:pPr>
            <w:r/>
            <w:r>
              <w:rPr>
                <w:sz w:val="15"/>
              </w:rPr>
              <w:t>+103.7%</w:t>
            </w:r>
          </w:p>
        </w:tc>
        <w:tc>
          <w:tcPr>
            <w:tcW w:type="dxa" w:w="737"/>
          </w:tcPr>
          <w:p>
            <w:pPr>
              <w:jc w:val="right"/>
            </w:pPr>
            <w:r/>
            <w:r>
              <w:rPr>
                <w:sz w:val="15"/>
              </w:rPr>
              <w:t>+97.2%</w:t>
            </w:r>
          </w:p>
        </w:tc>
        <w:tc>
          <w:tcPr>
            <w:tcW w:type="dxa" w:w="737"/>
          </w:tcPr>
          <w:p>
            <w:pPr>
              <w:jc w:val="right"/>
            </w:pPr>
            <w:r/>
            <w:r>
              <w:rPr>
                <w:sz w:val="15"/>
              </w:rPr>
              <w:t>+37.0%</w:t>
            </w:r>
          </w:p>
        </w:tc>
        <w:tc>
          <w:tcPr>
            <w:tcW w:type="dxa" w:w="850"/>
          </w:tcPr>
          <w:p>
            <w:pPr>
              <w:jc w:val="right"/>
            </w:pPr>
            <w:r/>
            <w:r>
              <w:rPr>
                <w:sz w:val="15"/>
              </w:rPr>
              <w:t>-30.5%</w:t>
            </w:r>
          </w:p>
        </w:tc>
        <w:tc>
          <w:tcPr>
            <w:tcW w:type="dxa" w:w="794"/>
          </w:tcPr>
          <w:p>
            <w:pPr>
              <w:jc w:val="right"/>
            </w:pPr>
            <w:r/>
            <w:r>
              <w:rPr>
                <w:sz w:val="15"/>
              </w:rPr>
              <w:t>2.6x</w:t>
            </w:r>
          </w:p>
        </w:tc>
      </w:tr>
      <w:tr>
        <w:tc>
          <w:tcPr>
            <w:tcW w:type="dxa" w:w="1871"/>
          </w:tcPr>
          <w:p>
            <w:r/>
            <w:r>
              <w:rPr>
                <w:sz w:val="15"/>
              </w:rPr>
              <w:t>9881 RONGTA TECH</w:t>
            </w:r>
          </w:p>
        </w:tc>
        <w:tc>
          <w:tcPr>
            <w:tcW w:type="dxa" w:w="1020"/>
          </w:tcPr>
          <w:p>
            <w:pPr>
              <w:jc w:val="right"/>
            </w:pPr>
            <w:r/>
            <w:r>
              <w:rPr>
                <w:sz w:val="15"/>
              </w:rPr>
              <w:t>2025-06-10</w:t>
            </w:r>
          </w:p>
        </w:tc>
        <w:tc>
          <w:tcPr>
            <w:tcW w:type="dxa" w:w="794"/>
          </w:tcPr>
          <w:p>
            <w:pPr>
              <w:jc w:val="right"/>
            </w:pPr>
            <w:r/>
            <w:r>
              <w:rPr>
                <w:sz w:val="15"/>
              </w:rPr>
              <w:t>184</w:t>
            </w:r>
          </w:p>
        </w:tc>
        <w:tc>
          <w:tcPr>
            <w:tcW w:type="dxa" w:w="850"/>
          </w:tcPr>
          <w:p>
            <w:pPr>
              <w:jc w:val="right"/>
            </w:pPr>
            <w:r/>
            <w:r>
              <w:rPr>
                <w:sz w:val="15"/>
              </w:rPr>
              <w:t>276.0x</w:t>
            </w:r>
          </w:p>
        </w:tc>
        <w:tc>
          <w:tcPr>
            <w:tcW w:type="dxa" w:w="680"/>
          </w:tcPr>
          <w:p>
            <w:pPr>
              <w:jc w:val="right"/>
            </w:pPr>
            <w:r/>
            <w:r>
              <w:rPr>
                <w:sz w:val="15"/>
              </w:rPr>
              <w:t>0.96x</w:t>
            </w:r>
          </w:p>
        </w:tc>
        <w:tc>
          <w:tcPr>
            <w:tcW w:type="dxa" w:w="680"/>
          </w:tcPr>
          <w:p>
            <w:pPr>
              <w:jc w:val="right"/>
            </w:pPr>
            <w:r/>
            <w:r>
              <w:rPr>
                <w:sz w:val="15"/>
              </w:rPr>
              <w:t>118</w:t>
            </w:r>
          </w:p>
        </w:tc>
        <w:tc>
          <w:tcPr>
            <w:tcW w:type="dxa" w:w="737"/>
          </w:tcPr>
          <w:p>
            <w:pPr>
              <w:jc w:val="right"/>
            </w:pPr>
            <w:r/>
            <w:r>
              <w:rPr>
                <w:sz w:val="15"/>
              </w:rPr>
              <w:t>13.2%</w:t>
            </w:r>
          </w:p>
        </w:tc>
        <w:tc>
          <w:tcPr>
            <w:tcW w:type="dxa" w:w="737"/>
          </w:tcPr>
          <w:p>
            <w:pPr>
              <w:jc w:val="right"/>
            </w:pPr>
            <w:r/>
            <w:r>
              <w:rPr>
                <w:sz w:val="15"/>
              </w:rPr>
              <w:t>+76.0%</w:t>
            </w:r>
          </w:p>
        </w:tc>
        <w:tc>
          <w:tcPr>
            <w:tcW w:type="dxa" w:w="737"/>
          </w:tcPr>
          <w:p>
            <w:pPr>
              <w:jc w:val="right"/>
            </w:pPr>
            <w:r/>
            <w:r>
              <w:rPr>
                <w:sz w:val="15"/>
              </w:rPr>
              <w:t>+66.0%</w:t>
            </w:r>
          </w:p>
        </w:tc>
        <w:tc>
          <w:tcPr>
            <w:tcW w:type="dxa" w:w="737"/>
          </w:tcPr>
          <w:p>
            <w:pPr>
              <w:jc w:val="right"/>
            </w:pPr>
            <w:r/>
            <w:r>
              <w:rPr>
                <w:sz w:val="15"/>
              </w:rPr>
              <w:t>+42.0%</w:t>
            </w:r>
          </w:p>
        </w:tc>
        <w:tc>
          <w:tcPr>
            <w:tcW w:type="dxa" w:w="850"/>
          </w:tcPr>
          <w:p>
            <w:pPr>
              <w:jc w:val="right"/>
            </w:pPr>
            <w:r/>
            <w:r>
              <w:rPr>
                <w:sz w:val="15"/>
              </w:rPr>
              <w:t>-14.5%</w:t>
            </w:r>
          </w:p>
        </w:tc>
        <w:tc>
          <w:tcPr>
            <w:tcW w:type="dxa" w:w="794"/>
          </w:tcPr>
          <w:p>
            <w:pPr>
              <w:jc w:val="right"/>
            </w:pPr>
            <w:r/>
            <w:r>
              <w:rPr>
                <w:sz w:val="15"/>
              </w:rPr>
              <w:t>3.5x</w:t>
            </w:r>
          </w:p>
        </w:tc>
      </w:tr>
      <w:tr>
        <w:tc>
          <w:tcPr>
            <w:tcW w:type="dxa" w:w="1871"/>
          </w:tcPr>
          <w:p>
            <w:r/>
            <w:r>
              <w:rPr>
                <w:sz w:val="15"/>
              </w:rPr>
              <w:t>2651 DAZHONG DENTAL</w:t>
            </w:r>
          </w:p>
        </w:tc>
        <w:tc>
          <w:tcPr>
            <w:tcW w:type="dxa" w:w="1020"/>
          </w:tcPr>
          <w:p>
            <w:pPr>
              <w:jc w:val="right"/>
            </w:pPr>
            <w:r/>
            <w:r>
              <w:rPr>
                <w:sz w:val="15"/>
              </w:rPr>
              <w:t>2025-07-09</w:t>
            </w:r>
          </w:p>
        </w:tc>
        <w:tc>
          <w:tcPr>
            <w:tcW w:type="dxa" w:w="794"/>
          </w:tcPr>
          <w:p>
            <w:pPr>
              <w:jc w:val="right"/>
            </w:pPr>
            <w:r/>
            <w:r>
              <w:rPr>
                <w:sz w:val="15"/>
              </w:rPr>
              <w:t>217</w:t>
            </w:r>
          </w:p>
        </w:tc>
        <w:tc>
          <w:tcPr>
            <w:tcW w:type="dxa" w:w="850"/>
          </w:tcPr>
          <w:p>
            <w:pPr>
              <w:jc w:val="right"/>
            </w:pPr>
            <w:r/>
            <w:r>
              <w:rPr>
                <w:sz w:val="15"/>
              </w:rPr>
              <w:t>108.2x</w:t>
            </w:r>
          </w:p>
        </w:tc>
        <w:tc>
          <w:tcPr>
            <w:tcW w:type="dxa" w:w="680"/>
          </w:tcPr>
          <w:p>
            <w:pPr>
              <w:jc w:val="right"/>
            </w:pPr>
            <w:r/>
            <w:r>
              <w:rPr>
                <w:sz w:val="15"/>
              </w:rPr>
              <w:t>0.96x</w:t>
            </w:r>
          </w:p>
        </w:tc>
        <w:tc>
          <w:tcPr>
            <w:tcW w:type="dxa" w:w="680"/>
          </w:tcPr>
          <w:p>
            <w:pPr>
              <w:jc w:val="right"/>
            </w:pPr>
            <w:r/>
            <w:r>
              <w:rPr>
                <w:sz w:val="15"/>
              </w:rPr>
              <w:t>112</w:t>
            </w:r>
          </w:p>
        </w:tc>
        <w:tc>
          <w:tcPr>
            <w:tcW w:type="dxa" w:w="737"/>
          </w:tcPr>
          <w:p>
            <w:pPr>
              <w:jc w:val="right"/>
            </w:pPr>
            <w:r/>
            <w:r>
              <w:rPr>
                <w:sz w:val="15"/>
              </w:rPr>
              <w:t>17.9%</w:t>
            </w:r>
          </w:p>
        </w:tc>
        <w:tc>
          <w:tcPr>
            <w:tcW w:type="dxa" w:w="737"/>
          </w:tcPr>
          <w:p>
            <w:pPr>
              <w:jc w:val="right"/>
            </w:pPr>
            <w:r/>
            <w:r>
              <w:rPr>
                <w:sz w:val="15"/>
              </w:rPr>
              <w:t>+18.2%</w:t>
            </w:r>
          </w:p>
        </w:tc>
        <w:tc>
          <w:tcPr>
            <w:tcW w:type="dxa" w:w="737"/>
          </w:tcPr>
          <w:p>
            <w:pPr>
              <w:jc w:val="right"/>
            </w:pPr>
            <w:r/>
            <w:r>
              <w:rPr>
                <w:sz w:val="15"/>
              </w:rPr>
              <w:t>+20.0%</w:t>
            </w:r>
          </w:p>
        </w:tc>
        <w:tc>
          <w:tcPr>
            <w:tcW w:type="dxa" w:w="737"/>
          </w:tcPr>
          <w:p>
            <w:pPr>
              <w:jc w:val="right"/>
            </w:pPr>
            <w:r/>
            <w:r>
              <w:rPr>
                <w:sz w:val="15"/>
              </w:rPr>
              <w:t>+3.5%</w:t>
            </w:r>
          </w:p>
        </w:tc>
        <w:tc>
          <w:tcPr>
            <w:tcW w:type="dxa" w:w="850"/>
          </w:tcPr>
          <w:p>
            <w:pPr>
              <w:jc w:val="right"/>
            </w:pPr>
            <w:r/>
            <w:r>
              <w:rPr>
                <w:sz w:val="15"/>
              </w:rPr>
              <w:t>-13.8%</w:t>
            </w:r>
          </w:p>
        </w:tc>
        <w:tc>
          <w:tcPr>
            <w:tcW w:type="dxa" w:w="794"/>
          </w:tcPr>
          <w:p>
            <w:pPr>
              <w:jc w:val="right"/>
            </w:pPr>
            <w:r/>
            <w:r>
              <w:rPr>
                <w:sz w:val="15"/>
              </w:rPr>
              <w:t>2.0x</w:t>
            </w:r>
          </w:p>
        </w:tc>
      </w:tr>
      <w:tr>
        <w:tc>
          <w:tcPr>
            <w:tcW w:type="dxa" w:w="1871"/>
          </w:tcPr>
          <w:p>
            <w:r/>
            <w:r>
              <w:rPr>
                <w:sz w:val="15"/>
              </w:rPr>
              <w:t>2477 WELLCELL HOLD</w:t>
            </w:r>
          </w:p>
        </w:tc>
        <w:tc>
          <w:tcPr>
            <w:tcW w:type="dxa" w:w="1020"/>
          </w:tcPr>
          <w:p>
            <w:pPr>
              <w:jc w:val="right"/>
            </w:pPr>
            <w:r/>
            <w:r>
              <w:rPr>
                <w:sz w:val="15"/>
              </w:rPr>
              <w:t>2024-01-12</w:t>
            </w:r>
          </w:p>
        </w:tc>
        <w:tc>
          <w:tcPr>
            <w:tcW w:type="dxa" w:w="794"/>
          </w:tcPr>
          <w:p>
            <w:pPr>
              <w:jc w:val="right"/>
            </w:pPr>
            <w:r/>
            <w:r>
              <w:rPr>
                <w:sz w:val="15"/>
              </w:rPr>
              <w:t>125</w:t>
            </w:r>
          </w:p>
        </w:tc>
        <w:tc>
          <w:tcPr>
            <w:tcW w:type="dxa" w:w="850"/>
          </w:tcPr>
          <w:p>
            <w:pPr>
              <w:jc w:val="right"/>
            </w:pPr>
            <w:r/>
            <w:r>
              <w:rPr>
                <w:sz w:val="15"/>
              </w:rPr>
              <w:t>28.6x</w:t>
            </w:r>
          </w:p>
        </w:tc>
        <w:tc>
          <w:tcPr>
            <w:tcW w:type="dxa" w:w="680"/>
          </w:tcPr>
          <w:p>
            <w:pPr>
              <w:jc w:val="right"/>
            </w:pPr>
            <w:r/>
            <w:r>
              <w:rPr>
                <w:sz w:val="15"/>
              </w:rPr>
              <w:t>0.97x</w:t>
            </w:r>
          </w:p>
        </w:tc>
        <w:tc>
          <w:tcPr>
            <w:tcW w:type="dxa" w:w="680"/>
          </w:tcPr>
          <w:p>
            <w:pPr>
              <w:jc w:val="right"/>
            </w:pPr>
            <w:r/>
            <w:r>
              <w:rPr>
                <w:sz w:val="15"/>
              </w:rPr>
              <w:t>176</w:t>
            </w:r>
          </w:p>
        </w:tc>
        <w:tc>
          <w:tcPr>
            <w:tcW w:type="dxa" w:w="737"/>
          </w:tcPr>
          <w:p>
            <w:pPr>
              <w:jc w:val="right"/>
            </w:pPr>
            <w:r/>
            <w:r>
              <w:rPr>
                <w:sz w:val="15"/>
              </w:rPr>
              <w:t>—</w:t>
            </w:r>
          </w:p>
        </w:tc>
        <w:tc>
          <w:tcPr>
            <w:tcW w:type="dxa" w:w="737"/>
          </w:tcPr>
          <w:p>
            <w:pPr>
              <w:jc w:val="right"/>
            </w:pPr>
            <w:r/>
            <w:r>
              <w:rPr>
                <w:sz w:val="15"/>
              </w:rPr>
              <w:t>+64.5%</w:t>
            </w:r>
          </w:p>
        </w:tc>
        <w:tc>
          <w:tcPr>
            <w:tcW w:type="dxa" w:w="737"/>
          </w:tcPr>
          <w:p>
            <w:pPr>
              <w:jc w:val="right"/>
            </w:pPr>
            <w:r/>
            <w:r>
              <w:rPr>
                <w:sz w:val="15"/>
              </w:rPr>
              <w:t>+77.0%</w:t>
            </w:r>
          </w:p>
        </w:tc>
        <w:tc>
          <w:tcPr>
            <w:tcW w:type="dxa" w:w="737"/>
          </w:tcPr>
          <w:p>
            <w:pPr>
              <w:jc w:val="right"/>
            </w:pPr>
            <w:r/>
            <w:r>
              <w:rPr>
                <w:sz w:val="15"/>
              </w:rPr>
              <w:t>+164.0%</w:t>
            </w:r>
          </w:p>
        </w:tc>
        <w:tc>
          <w:tcPr>
            <w:tcW w:type="dxa" w:w="850"/>
          </w:tcPr>
          <w:p>
            <w:pPr>
              <w:jc w:val="right"/>
            </w:pPr>
            <w:r/>
            <w:r>
              <w:rPr>
                <w:sz w:val="15"/>
              </w:rPr>
              <w:t>+49.1%</w:t>
            </w:r>
          </w:p>
        </w:tc>
        <w:tc>
          <w:tcPr>
            <w:tcW w:type="dxa" w:w="794"/>
          </w:tcPr>
          <w:p>
            <w:pPr>
              <w:jc w:val="right"/>
            </w:pPr>
            <w:r/>
            <w:r>
              <w:rPr>
                <w:sz w:val="15"/>
              </w:rPr>
              <w:t>1.1x</w:t>
            </w:r>
          </w:p>
        </w:tc>
      </w:tr>
      <w:tr>
        <w:tc>
          <w:tcPr>
            <w:tcW w:type="dxa" w:w="1871"/>
          </w:tcPr>
          <w:p>
            <w:r/>
            <w:r>
              <w:rPr>
                <w:sz w:val="15"/>
              </w:rPr>
              <w:t>1334 RUICHANG INTL</w:t>
            </w:r>
          </w:p>
        </w:tc>
        <w:tc>
          <w:tcPr>
            <w:tcW w:type="dxa" w:w="1020"/>
          </w:tcPr>
          <w:p>
            <w:pPr>
              <w:jc w:val="right"/>
            </w:pPr>
            <w:r/>
            <w:r>
              <w:rPr>
                <w:sz w:val="15"/>
              </w:rPr>
              <w:t>2024-07-10</w:t>
            </w:r>
          </w:p>
        </w:tc>
        <w:tc>
          <w:tcPr>
            <w:tcW w:type="dxa" w:w="794"/>
          </w:tcPr>
          <w:p>
            <w:pPr>
              <w:jc w:val="right"/>
            </w:pPr>
            <w:r/>
            <w:r>
              <w:rPr>
                <w:sz w:val="15"/>
              </w:rPr>
              <w:t>131</w:t>
            </w:r>
          </w:p>
        </w:tc>
        <w:tc>
          <w:tcPr>
            <w:tcW w:type="dxa" w:w="850"/>
          </w:tcPr>
          <w:p>
            <w:pPr>
              <w:jc w:val="right"/>
            </w:pPr>
            <w:r/>
            <w:r>
              <w:rPr>
                <w:sz w:val="15"/>
              </w:rPr>
              <w:t>19.2x</w:t>
            </w:r>
          </w:p>
        </w:tc>
        <w:tc>
          <w:tcPr>
            <w:tcW w:type="dxa" w:w="680"/>
          </w:tcPr>
          <w:p>
            <w:pPr>
              <w:jc w:val="right"/>
            </w:pPr>
            <w:r/>
            <w:r>
              <w:rPr>
                <w:sz w:val="15"/>
              </w:rPr>
              <w:t>0.97x</w:t>
            </w:r>
          </w:p>
        </w:tc>
        <w:tc>
          <w:tcPr>
            <w:tcW w:type="dxa" w:w="680"/>
          </w:tcPr>
          <w:p>
            <w:pPr>
              <w:jc w:val="right"/>
            </w:pPr>
            <w:r/>
            <w:r>
              <w:rPr>
                <w:sz w:val="15"/>
              </w:rPr>
              <w:t>142</w:t>
            </w:r>
          </w:p>
        </w:tc>
        <w:tc>
          <w:tcPr>
            <w:tcW w:type="dxa" w:w="737"/>
          </w:tcPr>
          <w:p>
            <w:pPr>
              <w:jc w:val="right"/>
            </w:pPr>
            <w:r/>
            <w:r>
              <w:rPr>
                <w:sz w:val="15"/>
              </w:rPr>
              <w:t>12.5%</w:t>
            </w:r>
          </w:p>
        </w:tc>
        <w:tc>
          <w:tcPr>
            <w:tcW w:type="dxa" w:w="737"/>
          </w:tcPr>
          <w:p>
            <w:pPr>
              <w:jc w:val="right"/>
            </w:pPr>
            <w:r/>
            <w:r>
              <w:rPr>
                <w:sz w:val="15"/>
              </w:rPr>
              <w:t>+13.3%</w:t>
            </w:r>
          </w:p>
        </w:tc>
        <w:tc>
          <w:tcPr>
            <w:tcW w:type="dxa" w:w="737"/>
          </w:tcPr>
          <w:p>
            <w:pPr>
              <w:jc w:val="right"/>
            </w:pPr>
            <w:r/>
            <w:r>
              <w:rPr>
                <w:sz w:val="15"/>
              </w:rPr>
              <w:t>+23.8%</w:t>
            </w:r>
          </w:p>
        </w:tc>
        <w:tc>
          <w:tcPr>
            <w:tcW w:type="dxa" w:w="737"/>
          </w:tcPr>
          <w:p>
            <w:pPr>
              <w:jc w:val="right"/>
            </w:pPr>
            <w:r/>
            <w:r>
              <w:rPr>
                <w:sz w:val="15"/>
              </w:rPr>
              <w:t>+14.3%</w:t>
            </w:r>
          </w:p>
        </w:tc>
        <w:tc>
          <w:tcPr>
            <w:tcW w:type="dxa" w:w="850"/>
          </w:tcPr>
          <w:p>
            <w:pPr>
              <w:jc w:val="right"/>
            </w:pPr>
            <w:r/>
            <w:r>
              <w:rPr>
                <w:sz w:val="15"/>
              </w:rPr>
              <w:t>-7.7%</w:t>
            </w:r>
          </w:p>
        </w:tc>
        <w:tc>
          <w:tcPr>
            <w:tcW w:type="dxa" w:w="794"/>
          </w:tcPr>
          <w:p>
            <w:pPr>
              <w:jc w:val="right"/>
            </w:pPr>
            <w:r/>
            <w:r>
              <w:rPr>
                <w:sz w:val="15"/>
              </w:rPr>
              <w:t>2.5x</w:t>
            </w:r>
          </w:p>
        </w:tc>
      </w:tr>
      <w:tr>
        <w:tc>
          <w:tcPr>
            <w:tcW w:type="dxa" w:w="1871"/>
          </w:tcPr>
          <w:p>
            <w:r/>
            <w:r>
              <w:rPr>
                <w:sz w:val="15"/>
              </w:rPr>
              <w:t>2535 WK GROUP</w:t>
            </w:r>
          </w:p>
        </w:tc>
        <w:tc>
          <w:tcPr>
            <w:tcW w:type="dxa" w:w="1020"/>
          </w:tcPr>
          <w:p>
            <w:pPr>
              <w:jc w:val="right"/>
            </w:pPr>
            <w:r/>
            <w:r>
              <w:rPr>
                <w:sz w:val="15"/>
              </w:rPr>
              <w:t>2024-03-08</w:t>
            </w:r>
          </w:p>
        </w:tc>
        <w:tc>
          <w:tcPr>
            <w:tcW w:type="dxa" w:w="794"/>
          </w:tcPr>
          <w:p>
            <w:pPr>
              <w:jc w:val="right"/>
            </w:pPr>
            <w:r/>
            <w:r>
              <w:rPr>
                <w:sz w:val="15"/>
              </w:rPr>
              <w:t>125</w:t>
            </w:r>
          </w:p>
        </w:tc>
        <w:tc>
          <w:tcPr>
            <w:tcW w:type="dxa" w:w="850"/>
          </w:tcPr>
          <w:p>
            <w:pPr>
              <w:jc w:val="right"/>
            </w:pPr>
            <w:r/>
            <w:r>
              <w:rPr>
                <w:sz w:val="15"/>
              </w:rPr>
              <w:t>70.5x</w:t>
            </w:r>
          </w:p>
        </w:tc>
        <w:tc>
          <w:tcPr>
            <w:tcW w:type="dxa" w:w="680"/>
          </w:tcPr>
          <w:p>
            <w:pPr>
              <w:jc w:val="right"/>
            </w:pPr>
            <w:r/>
            <w:r>
              <w:rPr>
                <w:sz w:val="15"/>
              </w:rPr>
              <w:t>0.98x</w:t>
            </w:r>
          </w:p>
        </w:tc>
        <w:tc>
          <w:tcPr>
            <w:tcW w:type="dxa" w:w="680"/>
          </w:tcPr>
          <w:p>
            <w:pPr>
              <w:jc w:val="right"/>
            </w:pPr>
            <w:r/>
            <w:r>
              <w:rPr>
                <w:sz w:val="15"/>
              </w:rPr>
              <w:t>147</w:t>
            </w:r>
          </w:p>
        </w:tc>
        <w:tc>
          <w:tcPr>
            <w:tcW w:type="dxa" w:w="737"/>
          </w:tcPr>
          <w:p>
            <w:pPr>
              <w:jc w:val="right"/>
            </w:pPr>
            <w:r/>
            <w:r>
              <w:rPr>
                <w:sz w:val="15"/>
              </w:rPr>
              <w:t>20.0%</w:t>
            </w:r>
          </w:p>
        </w:tc>
        <w:tc>
          <w:tcPr>
            <w:tcW w:type="dxa" w:w="737"/>
          </w:tcPr>
          <w:p>
            <w:pPr>
              <w:jc w:val="right"/>
            </w:pPr>
            <w:r/>
            <w:r>
              <w:rPr>
                <w:sz w:val="15"/>
              </w:rPr>
              <w:t>+164.0%</w:t>
            </w:r>
          </w:p>
        </w:tc>
        <w:tc>
          <w:tcPr>
            <w:tcW w:type="dxa" w:w="737"/>
          </w:tcPr>
          <w:p>
            <w:pPr>
              <w:jc w:val="right"/>
            </w:pPr>
            <w:r/>
            <w:r>
              <w:rPr>
                <w:sz w:val="15"/>
              </w:rPr>
              <w:t>+160.0%</w:t>
            </w:r>
          </w:p>
        </w:tc>
        <w:tc>
          <w:tcPr>
            <w:tcW w:type="dxa" w:w="737"/>
          </w:tcPr>
          <w:p>
            <w:pPr>
              <w:jc w:val="right"/>
            </w:pPr>
            <w:r/>
            <w:r>
              <w:rPr>
                <w:sz w:val="15"/>
              </w:rPr>
              <w:t>+136.0%</w:t>
            </w:r>
          </w:p>
        </w:tc>
        <w:tc>
          <w:tcPr>
            <w:tcW w:type="dxa" w:w="850"/>
          </w:tcPr>
          <w:p>
            <w:pPr>
              <w:jc w:val="right"/>
            </w:pPr>
            <w:r/>
            <w:r>
              <w:rPr>
                <w:sz w:val="15"/>
              </w:rPr>
              <w:t>-9.2%</w:t>
            </w:r>
          </w:p>
        </w:tc>
        <w:tc>
          <w:tcPr>
            <w:tcW w:type="dxa" w:w="794"/>
          </w:tcPr>
          <w:p>
            <w:pPr>
              <w:jc w:val="right"/>
            </w:pPr>
            <w:r/>
            <w:r>
              <w:rPr>
                <w:sz w:val="15"/>
              </w:rPr>
              <w:t>1.0x</w:t>
            </w:r>
          </w:p>
        </w:tc>
      </w:tr>
      <w:tr>
        <w:tc>
          <w:tcPr>
            <w:tcW w:type="dxa" w:w="1871"/>
          </w:tcPr>
          <w:p>
            <w:r/>
            <w:r>
              <w:rPr>
                <w:sz w:val="15"/>
              </w:rPr>
              <w:t>2505 EDA GROUP HLDG</w:t>
            </w:r>
          </w:p>
        </w:tc>
        <w:tc>
          <w:tcPr>
            <w:tcW w:type="dxa" w:w="1020"/>
          </w:tcPr>
          <w:p>
            <w:pPr>
              <w:jc w:val="right"/>
            </w:pPr>
            <w:r/>
            <w:r>
              <w:rPr>
                <w:sz w:val="15"/>
              </w:rPr>
              <w:t>2024-05-28</w:t>
            </w:r>
          </w:p>
        </w:tc>
        <w:tc>
          <w:tcPr>
            <w:tcW w:type="dxa" w:w="794"/>
          </w:tcPr>
          <w:p>
            <w:pPr>
              <w:jc w:val="right"/>
            </w:pPr>
            <w:r/>
            <w:r>
              <w:rPr>
                <w:sz w:val="15"/>
              </w:rPr>
              <w:t>—</w:t>
            </w:r>
          </w:p>
        </w:tc>
        <w:tc>
          <w:tcPr>
            <w:tcW w:type="dxa" w:w="850"/>
          </w:tcPr>
          <w:p>
            <w:pPr>
              <w:jc w:val="right"/>
            </w:pPr>
            <w:r/>
            <w:r>
              <w:rPr>
                <w:sz w:val="15"/>
              </w:rPr>
              <w:t>103.4x</w:t>
            </w:r>
          </w:p>
        </w:tc>
        <w:tc>
          <w:tcPr>
            <w:tcW w:type="dxa" w:w="680"/>
          </w:tcPr>
          <w:p>
            <w:pPr>
              <w:jc w:val="right"/>
            </w:pPr>
            <w:r/>
            <w:r>
              <w:rPr>
                <w:sz w:val="15"/>
              </w:rPr>
              <w:t>0.98x</w:t>
            </w:r>
          </w:p>
        </w:tc>
        <w:tc>
          <w:tcPr>
            <w:tcW w:type="dxa" w:w="680"/>
          </w:tcPr>
          <w:p>
            <w:pPr>
              <w:jc w:val="right"/>
            </w:pPr>
            <w:r/>
            <w:r>
              <w:rPr>
                <w:sz w:val="15"/>
              </w:rPr>
              <w:t>136</w:t>
            </w:r>
          </w:p>
        </w:tc>
        <w:tc>
          <w:tcPr>
            <w:tcW w:type="dxa" w:w="737"/>
          </w:tcPr>
          <w:p>
            <w:pPr>
              <w:jc w:val="right"/>
            </w:pPr>
            <w:r/>
            <w:r>
              <w:rPr>
                <w:sz w:val="15"/>
              </w:rPr>
              <w:t>15.2%</w:t>
            </w:r>
          </w:p>
        </w:tc>
        <w:tc>
          <w:tcPr>
            <w:tcW w:type="dxa" w:w="737"/>
          </w:tcPr>
          <w:p>
            <w:pPr>
              <w:jc w:val="right"/>
            </w:pPr>
            <w:r/>
            <w:r>
              <w:rPr>
                <w:sz w:val="15"/>
              </w:rPr>
              <w:t>+40.8%</w:t>
            </w:r>
          </w:p>
        </w:tc>
        <w:tc>
          <w:tcPr>
            <w:tcW w:type="dxa" w:w="737"/>
          </w:tcPr>
          <w:p>
            <w:pPr>
              <w:jc w:val="right"/>
            </w:pPr>
            <w:r/>
            <w:r>
              <w:rPr>
                <w:sz w:val="15"/>
              </w:rPr>
              <w:t>+35.5%</w:t>
            </w:r>
          </w:p>
        </w:tc>
        <w:tc>
          <w:tcPr>
            <w:tcW w:type="dxa" w:w="737"/>
          </w:tcPr>
          <w:p>
            <w:pPr>
              <w:jc w:val="right"/>
            </w:pPr>
            <w:r/>
            <w:r>
              <w:rPr>
                <w:sz w:val="15"/>
              </w:rPr>
              <w:t>+84.2%</w:t>
            </w:r>
          </w:p>
        </w:tc>
        <w:tc>
          <w:tcPr>
            <w:tcW w:type="dxa" w:w="850"/>
          </w:tcPr>
          <w:p>
            <w:pPr>
              <w:jc w:val="right"/>
            </w:pPr>
            <w:r/>
            <w:r>
              <w:rPr>
                <w:sz w:val="15"/>
              </w:rPr>
              <w:t>+35.9%</w:t>
            </w:r>
          </w:p>
        </w:tc>
        <w:tc>
          <w:tcPr>
            <w:tcW w:type="dxa" w:w="794"/>
          </w:tcPr>
          <w:p>
            <w:pPr>
              <w:jc w:val="right"/>
            </w:pPr>
            <w:r/>
            <w:r>
              <w:rPr>
                <w:sz w:val="15"/>
              </w:rPr>
              <w:t>2.3x</w:t>
            </w:r>
          </w:p>
        </w:tc>
      </w:tr>
      <w:tr>
        <w:tc>
          <w:tcPr>
            <w:tcW w:type="dxa" w:w="1871"/>
          </w:tcPr>
          <w:p>
            <w:r/>
            <w:r>
              <w:rPr>
                <w:sz w:val="15"/>
              </w:rPr>
              <w:t>2443 AUTOSTREETS</w:t>
            </w:r>
          </w:p>
        </w:tc>
        <w:tc>
          <w:tcPr>
            <w:tcW w:type="dxa" w:w="1020"/>
          </w:tcPr>
          <w:p>
            <w:pPr>
              <w:jc w:val="right"/>
            </w:pPr>
            <w:r/>
            <w:r>
              <w:rPr>
                <w:sz w:val="15"/>
              </w:rPr>
              <w:t>2024-05-31</w:t>
            </w:r>
          </w:p>
        </w:tc>
        <w:tc>
          <w:tcPr>
            <w:tcW w:type="dxa" w:w="794"/>
          </w:tcPr>
          <w:p>
            <w:pPr>
              <w:jc w:val="right"/>
            </w:pPr>
            <w:r/>
            <w:r>
              <w:rPr>
                <w:sz w:val="15"/>
              </w:rPr>
              <w:t>153</w:t>
            </w:r>
          </w:p>
        </w:tc>
        <w:tc>
          <w:tcPr>
            <w:tcW w:type="dxa" w:w="850"/>
          </w:tcPr>
          <w:p>
            <w:pPr>
              <w:jc w:val="right"/>
            </w:pPr>
            <w:r/>
            <w:r>
              <w:rPr>
                <w:sz w:val="15"/>
              </w:rPr>
              <w:t>433.3x</w:t>
            </w:r>
          </w:p>
        </w:tc>
        <w:tc>
          <w:tcPr>
            <w:tcW w:type="dxa" w:w="680"/>
          </w:tcPr>
          <w:p>
            <w:pPr>
              <w:jc w:val="right"/>
            </w:pPr>
            <w:r/>
            <w:r>
              <w:rPr>
                <w:sz w:val="15"/>
              </w:rPr>
              <w:t>0.98x</w:t>
            </w:r>
          </w:p>
        </w:tc>
        <w:tc>
          <w:tcPr>
            <w:tcW w:type="dxa" w:w="680"/>
          </w:tcPr>
          <w:p>
            <w:pPr>
              <w:jc w:val="right"/>
            </w:pPr>
            <w:r/>
            <w:r>
              <w:rPr>
                <w:sz w:val="15"/>
              </w:rPr>
              <w:t>148</w:t>
            </w:r>
          </w:p>
        </w:tc>
        <w:tc>
          <w:tcPr>
            <w:tcW w:type="dxa" w:w="737"/>
          </w:tcPr>
          <w:p>
            <w:pPr>
              <w:jc w:val="right"/>
            </w:pPr>
            <w:r/>
            <w:r>
              <w:rPr>
                <w:sz w:val="15"/>
              </w:rPr>
              <w:t>20.0%</w:t>
            </w:r>
          </w:p>
        </w:tc>
        <w:tc>
          <w:tcPr>
            <w:tcW w:type="dxa" w:w="737"/>
          </w:tcPr>
          <w:p>
            <w:pPr>
              <w:jc w:val="right"/>
            </w:pPr>
            <w:r/>
            <w:r>
              <w:rPr>
                <w:sz w:val="15"/>
              </w:rPr>
              <w:t>+44.3%</w:t>
            </w:r>
          </w:p>
        </w:tc>
        <w:tc>
          <w:tcPr>
            <w:tcW w:type="dxa" w:w="737"/>
          </w:tcPr>
          <w:p>
            <w:pPr>
              <w:jc w:val="right"/>
            </w:pPr>
            <w:r/>
            <w:r>
              <w:rPr>
                <w:sz w:val="15"/>
              </w:rPr>
              <w:t>+42.2%</w:t>
            </w:r>
          </w:p>
        </w:tc>
        <w:tc>
          <w:tcPr>
            <w:tcW w:type="dxa" w:w="737"/>
          </w:tcPr>
          <w:p>
            <w:pPr>
              <w:jc w:val="right"/>
            </w:pPr>
            <w:r/>
            <w:r>
              <w:rPr>
                <w:sz w:val="15"/>
              </w:rPr>
              <w:t>+26.9%</w:t>
            </w:r>
          </w:p>
        </w:tc>
        <w:tc>
          <w:tcPr>
            <w:tcW w:type="dxa" w:w="850"/>
          </w:tcPr>
          <w:p>
            <w:pPr>
              <w:jc w:val="right"/>
            </w:pPr>
            <w:r/>
            <w:r>
              <w:rPr>
                <w:sz w:val="15"/>
              </w:rPr>
              <w:t>-10.8%</w:t>
            </w:r>
          </w:p>
        </w:tc>
        <w:tc>
          <w:tcPr>
            <w:tcW w:type="dxa" w:w="794"/>
          </w:tcPr>
          <w:p>
            <w:pPr>
              <w:jc w:val="right"/>
            </w:pPr>
            <w:r/>
            <w:r>
              <w:rPr>
                <w:sz w:val="15"/>
              </w:rPr>
              <w:t>2.6x</w:t>
            </w:r>
          </w:p>
        </w:tc>
      </w:tr>
      <w:tr>
        <w:tc>
          <w:tcPr>
            <w:tcW w:type="dxa" w:w="1871"/>
          </w:tcPr>
          <w:p>
            <w:r/>
            <w:r>
              <w:rPr>
                <w:sz w:val="15"/>
              </w:rPr>
              <w:t>2550 EASOU TECH</w:t>
            </w:r>
          </w:p>
        </w:tc>
        <w:tc>
          <w:tcPr>
            <w:tcW w:type="dxa" w:w="1020"/>
          </w:tcPr>
          <w:p>
            <w:pPr>
              <w:jc w:val="right"/>
            </w:pPr>
            <w:r/>
            <w:r>
              <w:rPr>
                <w:sz w:val="15"/>
              </w:rPr>
              <w:t>2024-06-07</w:t>
            </w:r>
          </w:p>
        </w:tc>
        <w:tc>
          <w:tcPr>
            <w:tcW w:type="dxa" w:w="794"/>
          </w:tcPr>
          <w:p>
            <w:pPr>
              <w:jc w:val="right"/>
            </w:pPr>
            <w:r/>
            <w:r>
              <w:rPr>
                <w:sz w:val="15"/>
              </w:rPr>
              <w:t>86</w:t>
            </w:r>
          </w:p>
        </w:tc>
        <w:tc>
          <w:tcPr>
            <w:tcW w:type="dxa" w:w="850"/>
          </w:tcPr>
          <w:p>
            <w:pPr>
              <w:jc w:val="right"/>
            </w:pPr>
            <w:r/>
            <w:r>
              <w:rPr>
                <w:sz w:val="15"/>
              </w:rPr>
              <w:t>114.6x</w:t>
            </w:r>
          </w:p>
        </w:tc>
        <w:tc>
          <w:tcPr>
            <w:tcW w:type="dxa" w:w="680"/>
          </w:tcPr>
          <w:p>
            <w:pPr>
              <w:jc w:val="right"/>
            </w:pPr>
            <w:r/>
            <w:r>
              <w:rPr>
                <w:sz w:val="15"/>
              </w:rPr>
              <w:t>0.98x</w:t>
            </w:r>
          </w:p>
        </w:tc>
        <w:tc>
          <w:tcPr>
            <w:tcW w:type="dxa" w:w="680"/>
          </w:tcPr>
          <w:p>
            <w:pPr>
              <w:jc w:val="right"/>
            </w:pPr>
            <w:r/>
            <w:r>
              <w:rPr>
                <w:sz w:val="15"/>
              </w:rPr>
              <w:t>127</w:t>
            </w:r>
          </w:p>
        </w:tc>
        <w:tc>
          <w:tcPr>
            <w:tcW w:type="dxa" w:w="737"/>
          </w:tcPr>
          <w:p>
            <w:pPr>
              <w:jc w:val="right"/>
            </w:pPr>
            <w:r/>
            <w:r>
              <w:rPr>
                <w:sz w:val="15"/>
              </w:rPr>
              <w:t>13.2%</w:t>
            </w:r>
          </w:p>
        </w:tc>
        <w:tc>
          <w:tcPr>
            <w:tcW w:type="dxa" w:w="737"/>
          </w:tcPr>
          <w:p>
            <w:pPr>
              <w:jc w:val="right"/>
            </w:pPr>
            <w:r/>
            <w:r>
              <w:rPr>
                <w:sz w:val="15"/>
              </w:rPr>
              <w:t>+44.0%</w:t>
            </w:r>
          </w:p>
        </w:tc>
        <w:tc>
          <w:tcPr>
            <w:tcW w:type="dxa" w:w="737"/>
          </w:tcPr>
          <w:p>
            <w:pPr>
              <w:jc w:val="right"/>
            </w:pPr>
            <w:r/>
            <w:r>
              <w:rPr>
                <w:sz w:val="15"/>
              </w:rPr>
              <w:t>+46.5%</w:t>
            </w:r>
          </w:p>
        </w:tc>
        <w:tc>
          <w:tcPr>
            <w:tcW w:type="dxa" w:w="737"/>
          </w:tcPr>
          <w:p>
            <w:pPr>
              <w:jc w:val="right"/>
            </w:pPr>
            <w:r/>
            <w:r>
              <w:rPr>
                <w:sz w:val="15"/>
              </w:rPr>
              <w:t>+91.7%</w:t>
            </w:r>
          </w:p>
        </w:tc>
        <w:tc>
          <w:tcPr>
            <w:tcW w:type="dxa" w:w="850"/>
          </w:tcPr>
          <w:p>
            <w:pPr>
              <w:jc w:val="right"/>
            </w:pPr>
            <w:r/>
            <w:r>
              <w:rPr>
                <w:sz w:val="15"/>
              </w:rPr>
              <w:t>+30.8%</w:t>
            </w:r>
          </w:p>
        </w:tc>
        <w:tc>
          <w:tcPr>
            <w:tcW w:type="dxa" w:w="794"/>
          </w:tcPr>
          <w:p>
            <w:pPr>
              <w:jc w:val="right"/>
            </w:pPr>
            <w:r/>
            <w:r>
              <w:rPr>
                <w:sz w:val="15"/>
              </w:rPr>
              <w:t>2.9x</w:t>
            </w:r>
          </w:p>
        </w:tc>
      </w:tr>
      <w:tr>
        <w:tc>
          <w:tcPr>
            <w:tcW w:type="dxa" w:w="1871"/>
          </w:tcPr>
          <w:p>
            <w:r/>
            <w:r>
              <w:rPr>
                <w:sz w:val="15"/>
              </w:rPr>
              <w:t>1354 KINGFARPROPERT</w:t>
            </w:r>
          </w:p>
        </w:tc>
        <w:tc>
          <w:tcPr>
            <w:tcW w:type="dxa" w:w="1020"/>
          </w:tcPr>
          <w:p>
            <w:pPr>
              <w:jc w:val="right"/>
            </w:pPr>
            <w:r/>
            <w:r>
              <w:rPr>
                <w:sz w:val="15"/>
              </w:rPr>
              <w:t>2024-07-03</w:t>
            </w:r>
          </w:p>
        </w:tc>
        <w:tc>
          <w:tcPr>
            <w:tcW w:type="dxa" w:w="794"/>
          </w:tcPr>
          <w:p>
            <w:pPr>
              <w:jc w:val="right"/>
            </w:pPr>
            <w:r/>
            <w:r>
              <w:rPr>
                <w:sz w:val="15"/>
              </w:rPr>
              <w:t>125</w:t>
            </w:r>
          </w:p>
        </w:tc>
        <w:tc>
          <w:tcPr>
            <w:tcW w:type="dxa" w:w="850"/>
          </w:tcPr>
          <w:p>
            <w:pPr>
              <w:jc w:val="right"/>
            </w:pPr>
            <w:r/>
            <w:r>
              <w:rPr>
                <w:sz w:val="15"/>
              </w:rPr>
              <w:t>118.9x</w:t>
            </w:r>
          </w:p>
        </w:tc>
        <w:tc>
          <w:tcPr>
            <w:tcW w:type="dxa" w:w="680"/>
          </w:tcPr>
          <w:p>
            <w:pPr>
              <w:jc w:val="right"/>
            </w:pPr>
            <w:r/>
            <w:r>
              <w:rPr>
                <w:sz w:val="15"/>
              </w:rPr>
              <w:t>0.98x</w:t>
            </w:r>
          </w:p>
        </w:tc>
        <w:tc>
          <w:tcPr>
            <w:tcW w:type="dxa" w:w="680"/>
          </w:tcPr>
          <w:p>
            <w:pPr>
              <w:jc w:val="right"/>
            </w:pPr>
            <w:r/>
            <w:r>
              <w:rPr>
                <w:sz w:val="15"/>
              </w:rPr>
              <w:t>122</w:t>
            </w:r>
          </w:p>
        </w:tc>
        <w:tc>
          <w:tcPr>
            <w:tcW w:type="dxa" w:w="737"/>
          </w:tcPr>
          <w:p>
            <w:pPr>
              <w:jc w:val="right"/>
            </w:pPr>
            <w:r/>
            <w:r>
              <w:rPr>
                <w:sz w:val="15"/>
              </w:rPr>
              <w:t>18.0%</w:t>
            </w:r>
          </w:p>
        </w:tc>
        <w:tc>
          <w:tcPr>
            <w:tcW w:type="dxa" w:w="737"/>
          </w:tcPr>
          <w:p>
            <w:pPr>
              <w:jc w:val="right"/>
            </w:pPr>
            <w:r/>
            <w:r>
              <w:rPr>
                <w:sz w:val="15"/>
              </w:rPr>
              <w:t>+0.3%</w:t>
            </w:r>
          </w:p>
        </w:tc>
        <w:tc>
          <w:tcPr>
            <w:tcW w:type="dxa" w:w="737"/>
          </w:tcPr>
          <w:p>
            <w:pPr>
              <w:jc w:val="right"/>
            </w:pPr>
            <w:r/>
            <w:r>
              <w:rPr>
                <w:sz w:val="15"/>
              </w:rPr>
              <w:t>+2.0%</w:t>
            </w:r>
          </w:p>
        </w:tc>
        <w:tc>
          <w:tcPr>
            <w:tcW w:type="dxa" w:w="737"/>
          </w:tcPr>
          <w:p>
            <w:pPr>
              <w:jc w:val="right"/>
            </w:pPr>
            <w:r/>
            <w:r>
              <w:rPr>
                <w:sz w:val="15"/>
              </w:rPr>
              <w:t>-11.5%</w:t>
            </w:r>
          </w:p>
        </w:tc>
        <w:tc>
          <w:tcPr>
            <w:tcW w:type="dxa" w:w="850"/>
          </w:tcPr>
          <w:p>
            <w:pPr>
              <w:jc w:val="right"/>
            </w:pPr>
            <w:r/>
            <w:r>
              <w:rPr>
                <w:sz w:val="15"/>
              </w:rPr>
              <w:t>-13.2%</w:t>
            </w:r>
          </w:p>
        </w:tc>
        <w:tc>
          <w:tcPr>
            <w:tcW w:type="dxa" w:w="794"/>
          </w:tcPr>
          <w:p>
            <w:pPr>
              <w:jc w:val="right"/>
            </w:pPr>
            <w:r/>
            <w:r>
              <w:rPr>
                <w:sz w:val="15"/>
              </w:rPr>
              <w:t>1.1x</w:t>
            </w:r>
          </w:p>
        </w:tc>
      </w:tr>
      <w:tr>
        <w:tc>
          <w:tcPr>
            <w:tcW w:type="dxa" w:w="1871"/>
          </w:tcPr>
          <w:p>
            <w:r/>
            <w:r>
              <w:rPr>
                <w:sz w:val="15"/>
              </w:rPr>
              <w:t>1471 ZHONGMIAO</w:t>
            </w:r>
          </w:p>
        </w:tc>
        <w:tc>
          <w:tcPr>
            <w:tcW w:type="dxa" w:w="1020"/>
          </w:tcPr>
          <w:p>
            <w:pPr>
              <w:jc w:val="right"/>
            </w:pPr>
            <w:r/>
            <w:r>
              <w:rPr>
                <w:sz w:val="15"/>
              </w:rPr>
              <w:t>2024-08-06</w:t>
            </w:r>
          </w:p>
        </w:tc>
        <w:tc>
          <w:tcPr>
            <w:tcW w:type="dxa" w:w="794"/>
          </w:tcPr>
          <w:p>
            <w:pPr>
              <w:jc w:val="right"/>
            </w:pPr>
            <w:r/>
            <w:r>
              <w:rPr>
                <w:sz w:val="15"/>
              </w:rPr>
              <w:t>247</w:t>
            </w:r>
          </w:p>
        </w:tc>
        <w:tc>
          <w:tcPr>
            <w:tcW w:type="dxa" w:w="850"/>
          </w:tcPr>
          <w:p>
            <w:pPr>
              <w:jc w:val="right"/>
            </w:pPr>
            <w:r/>
            <w:r>
              <w:rPr>
                <w:sz w:val="15"/>
              </w:rPr>
              <w:t>16.1x</w:t>
            </w:r>
          </w:p>
        </w:tc>
        <w:tc>
          <w:tcPr>
            <w:tcW w:type="dxa" w:w="680"/>
          </w:tcPr>
          <w:p>
            <w:pPr>
              <w:jc w:val="right"/>
            </w:pPr>
            <w:r/>
            <w:r>
              <w:rPr>
                <w:sz w:val="15"/>
              </w:rPr>
              <w:t>0.98x</w:t>
            </w:r>
          </w:p>
        </w:tc>
        <w:tc>
          <w:tcPr>
            <w:tcW w:type="dxa" w:w="680"/>
          </w:tcPr>
          <w:p>
            <w:pPr>
              <w:jc w:val="right"/>
            </w:pPr>
            <w:r/>
            <w:r>
              <w:rPr>
                <w:sz w:val="15"/>
              </w:rPr>
              <w:t>112</w:t>
            </w:r>
          </w:p>
        </w:tc>
        <w:tc>
          <w:tcPr>
            <w:tcW w:type="dxa" w:w="737"/>
          </w:tcPr>
          <w:p>
            <w:pPr>
              <w:jc w:val="right"/>
            </w:pPr>
            <w:r/>
            <w:r>
              <w:rPr>
                <w:sz w:val="15"/>
              </w:rPr>
              <w:t>12.3%</w:t>
            </w:r>
          </w:p>
        </w:tc>
        <w:tc>
          <w:tcPr>
            <w:tcW w:type="dxa" w:w="737"/>
          </w:tcPr>
          <w:p>
            <w:pPr>
              <w:jc w:val="right"/>
            </w:pPr>
            <w:r/>
            <w:r>
              <w:rPr>
                <w:sz w:val="15"/>
              </w:rPr>
              <w:t>+3.1%</w:t>
            </w:r>
          </w:p>
        </w:tc>
        <w:tc>
          <w:tcPr>
            <w:tcW w:type="dxa" w:w="737"/>
          </w:tcPr>
          <w:p>
            <w:pPr>
              <w:jc w:val="right"/>
            </w:pPr>
            <w:r/>
            <w:r>
              <w:rPr>
                <w:sz w:val="15"/>
              </w:rPr>
              <w:t>-1.7%</w:t>
            </w:r>
          </w:p>
        </w:tc>
        <w:tc>
          <w:tcPr>
            <w:tcW w:type="dxa" w:w="737"/>
          </w:tcPr>
          <w:p>
            <w:pPr>
              <w:jc w:val="right"/>
            </w:pPr>
            <w:r/>
            <w:r>
              <w:rPr>
                <w:sz w:val="15"/>
              </w:rPr>
              <w:t>+5.0%</w:t>
            </w:r>
          </w:p>
        </w:tc>
        <w:tc>
          <w:tcPr>
            <w:tcW w:type="dxa" w:w="850"/>
          </w:tcPr>
          <w:p>
            <w:pPr>
              <w:jc w:val="right"/>
            </w:pPr>
            <w:r/>
            <w:r>
              <w:rPr>
                <w:sz w:val="15"/>
              </w:rPr>
              <w:t>+6.8%</w:t>
            </w:r>
          </w:p>
        </w:tc>
        <w:tc>
          <w:tcPr>
            <w:tcW w:type="dxa" w:w="794"/>
          </w:tcPr>
          <w:p>
            <w:pPr>
              <w:jc w:val="right"/>
            </w:pPr>
            <w:r/>
            <w:r>
              <w:rPr>
                <w:sz w:val="15"/>
              </w:rPr>
              <w:t>0.7x</w:t>
            </w:r>
          </w:p>
        </w:tc>
      </w:tr>
      <w:tr>
        <w:tc>
          <w:tcPr>
            <w:tcW w:type="dxa" w:w="1871"/>
          </w:tcPr>
          <w:p>
            <w:r/>
            <w:r>
              <w:rPr>
                <w:sz w:val="15"/>
              </w:rPr>
              <w:t>2585 MOKINGRAN</w:t>
            </w:r>
          </w:p>
        </w:tc>
        <w:tc>
          <w:tcPr>
            <w:tcW w:type="dxa" w:w="1020"/>
          </w:tcPr>
          <w:p>
            <w:pPr>
              <w:jc w:val="right"/>
            </w:pPr>
            <w:r/>
            <w:r>
              <w:rPr>
                <w:sz w:val="15"/>
              </w:rPr>
              <w:t>2024-11-29</w:t>
            </w:r>
          </w:p>
        </w:tc>
        <w:tc>
          <w:tcPr>
            <w:tcW w:type="dxa" w:w="794"/>
          </w:tcPr>
          <w:p>
            <w:pPr>
              <w:jc w:val="right"/>
            </w:pPr>
            <w:r/>
            <w:r>
              <w:rPr>
                <w:sz w:val="15"/>
              </w:rPr>
              <w:t>527</w:t>
            </w:r>
          </w:p>
        </w:tc>
        <w:tc>
          <w:tcPr>
            <w:tcW w:type="dxa" w:w="850"/>
          </w:tcPr>
          <w:p>
            <w:pPr>
              <w:jc w:val="right"/>
            </w:pPr>
            <w:r/>
            <w:r>
              <w:rPr>
                <w:sz w:val="15"/>
              </w:rPr>
              <w:t>20.6x</w:t>
            </w:r>
          </w:p>
        </w:tc>
        <w:tc>
          <w:tcPr>
            <w:tcW w:type="dxa" w:w="680"/>
          </w:tcPr>
          <w:p>
            <w:pPr>
              <w:jc w:val="right"/>
            </w:pPr>
            <w:r/>
            <w:r>
              <w:rPr>
                <w:sz w:val="15"/>
              </w:rPr>
              <w:t>0.98x</w:t>
            </w:r>
          </w:p>
        </w:tc>
        <w:tc>
          <w:tcPr>
            <w:tcW w:type="dxa" w:w="680"/>
          </w:tcPr>
          <w:p>
            <w:pPr>
              <w:jc w:val="right"/>
            </w:pPr>
            <w:r/>
            <w:r>
              <w:rPr>
                <w:sz w:val="15"/>
              </w:rPr>
              <w:t>112</w:t>
            </w:r>
          </w:p>
        </w:tc>
        <w:tc>
          <w:tcPr>
            <w:tcW w:type="dxa" w:w="737"/>
          </w:tcPr>
          <w:p>
            <w:pPr>
              <w:jc w:val="right"/>
            </w:pPr>
            <w:r/>
            <w:r>
              <w:rPr>
                <w:sz w:val="15"/>
              </w:rPr>
              <w:t>20.0%</w:t>
            </w:r>
          </w:p>
        </w:tc>
        <w:tc>
          <w:tcPr>
            <w:tcW w:type="dxa" w:w="737"/>
          </w:tcPr>
          <w:p>
            <w:pPr>
              <w:jc w:val="right"/>
            </w:pPr>
            <w:r/>
            <w:r>
              <w:rPr>
                <w:sz w:val="15"/>
              </w:rPr>
              <w:t>+4.5%</w:t>
            </w:r>
          </w:p>
        </w:tc>
        <w:tc>
          <w:tcPr>
            <w:tcW w:type="dxa" w:w="737"/>
          </w:tcPr>
          <w:p>
            <w:pPr>
              <w:jc w:val="right"/>
            </w:pPr>
            <w:r/>
            <w:r>
              <w:rPr>
                <w:sz w:val="15"/>
              </w:rPr>
              <w:t>+4.2%</w:t>
            </w:r>
          </w:p>
        </w:tc>
        <w:tc>
          <w:tcPr>
            <w:tcW w:type="dxa" w:w="737"/>
          </w:tcPr>
          <w:p>
            <w:pPr>
              <w:jc w:val="right"/>
            </w:pPr>
            <w:r/>
            <w:r>
              <w:rPr>
                <w:sz w:val="15"/>
              </w:rPr>
              <w:t>+7.5%</w:t>
            </w:r>
          </w:p>
        </w:tc>
        <w:tc>
          <w:tcPr>
            <w:tcW w:type="dxa" w:w="850"/>
          </w:tcPr>
          <w:p>
            <w:pPr>
              <w:jc w:val="right"/>
            </w:pPr>
            <w:r/>
            <w:r>
              <w:rPr>
                <w:sz w:val="15"/>
              </w:rPr>
              <w:t>+3.2%</w:t>
            </w:r>
          </w:p>
        </w:tc>
        <w:tc>
          <w:tcPr>
            <w:tcW w:type="dxa" w:w="794"/>
          </w:tcPr>
          <w:p>
            <w:pPr>
              <w:jc w:val="right"/>
            </w:pPr>
            <w:r/>
            <w:r>
              <w:rPr>
                <w:sz w:val="15"/>
              </w:rPr>
              <w:t>1.4x</w:t>
            </w:r>
          </w:p>
        </w:tc>
      </w:tr>
      <w:tr>
        <w:tc>
          <w:tcPr>
            <w:tcW w:type="dxa" w:w="1871"/>
          </w:tcPr>
          <w:p>
            <w:r/>
            <w:r>
              <w:rPr>
                <w:sz w:val="15"/>
              </w:rPr>
              <w:t>2587 HEALTHYWAY INC</w:t>
            </w:r>
          </w:p>
        </w:tc>
        <w:tc>
          <w:tcPr>
            <w:tcW w:type="dxa" w:w="1020"/>
          </w:tcPr>
          <w:p>
            <w:pPr>
              <w:jc w:val="right"/>
            </w:pPr>
            <w:r/>
            <w:r>
              <w:rPr>
                <w:sz w:val="15"/>
              </w:rPr>
              <w:t>2024-12-30</w:t>
            </w:r>
          </w:p>
        </w:tc>
        <w:tc>
          <w:tcPr>
            <w:tcW w:type="dxa" w:w="794"/>
          </w:tcPr>
          <w:p>
            <w:pPr>
              <w:jc w:val="right"/>
            </w:pPr>
            <w:r/>
            <w:r>
              <w:rPr>
                <w:sz w:val="15"/>
              </w:rPr>
              <w:t>195</w:t>
            </w:r>
          </w:p>
        </w:tc>
        <w:tc>
          <w:tcPr>
            <w:tcW w:type="dxa" w:w="850"/>
          </w:tcPr>
          <w:p>
            <w:pPr>
              <w:jc w:val="right"/>
            </w:pPr>
            <w:r/>
            <w:r>
              <w:rPr>
                <w:sz w:val="15"/>
              </w:rPr>
              <w:t>34.4x</w:t>
            </w:r>
          </w:p>
        </w:tc>
        <w:tc>
          <w:tcPr>
            <w:tcW w:type="dxa" w:w="680"/>
          </w:tcPr>
          <w:p>
            <w:pPr>
              <w:jc w:val="right"/>
            </w:pPr>
            <w:r/>
            <w:r>
              <w:rPr>
                <w:sz w:val="15"/>
              </w:rPr>
              <w:t>0.98x</w:t>
            </w:r>
          </w:p>
        </w:tc>
        <w:tc>
          <w:tcPr>
            <w:tcW w:type="dxa" w:w="680"/>
          </w:tcPr>
          <w:p>
            <w:pPr>
              <w:jc w:val="right"/>
            </w:pPr>
            <w:r/>
            <w:r>
              <w:rPr>
                <w:sz w:val="15"/>
              </w:rPr>
              <w:t>108</w:t>
            </w:r>
          </w:p>
        </w:tc>
        <w:tc>
          <w:tcPr>
            <w:tcW w:type="dxa" w:w="737"/>
          </w:tcPr>
          <w:p>
            <w:pPr>
              <w:jc w:val="right"/>
            </w:pPr>
            <w:r/>
            <w:r>
              <w:rPr>
                <w:sz w:val="15"/>
              </w:rPr>
              <w:t>13.2%</w:t>
            </w:r>
          </w:p>
        </w:tc>
        <w:tc>
          <w:tcPr>
            <w:tcW w:type="dxa" w:w="737"/>
          </w:tcPr>
          <w:p>
            <w:pPr>
              <w:jc w:val="right"/>
            </w:pPr>
            <w:r/>
            <w:r>
              <w:rPr>
                <w:sz w:val="15"/>
              </w:rPr>
              <w:t>+23.3%</w:t>
            </w:r>
          </w:p>
        </w:tc>
        <w:tc>
          <w:tcPr>
            <w:tcW w:type="dxa" w:w="737"/>
          </w:tcPr>
          <w:p>
            <w:pPr>
              <w:jc w:val="right"/>
            </w:pPr>
            <w:r/>
            <w:r>
              <w:rPr>
                <w:sz w:val="15"/>
              </w:rPr>
              <w:t>+27.6%</w:t>
            </w:r>
          </w:p>
        </w:tc>
        <w:tc>
          <w:tcPr>
            <w:tcW w:type="dxa" w:w="737"/>
          </w:tcPr>
          <w:p>
            <w:pPr>
              <w:jc w:val="right"/>
            </w:pPr>
            <w:r/>
            <w:r>
              <w:rPr>
                <w:sz w:val="15"/>
              </w:rPr>
              <w:t>+36.7%</w:t>
            </w:r>
          </w:p>
        </w:tc>
        <w:tc>
          <w:tcPr>
            <w:tcW w:type="dxa" w:w="850"/>
          </w:tcPr>
          <w:p>
            <w:pPr>
              <w:jc w:val="right"/>
            </w:pPr>
            <w:r/>
            <w:r>
              <w:rPr>
                <w:sz w:val="15"/>
              </w:rPr>
              <w:t>+7.1%</w:t>
            </w:r>
          </w:p>
        </w:tc>
        <w:tc>
          <w:tcPr>
            <w:tcW w:type="dxa" w:w="794"/>
          </w:tcPr>
          <w:p>
            <w:pPr>
              <w:jc w:val="right"/>
            </w:pPr>
            <w:r/>
            <w:r>
              <w:rPr>
                <w:sz w:val="15"/>
              </w:rPr>
              <w:t>1.0x</w:t>
            </w:r>
          </w:p>
        </w:tc>
      </w:tr>
      <w:tr>
        <w:tc>
          <w:tcPr>
            <w:tcW w:type="dxa" w:w="1871"/>
          </w:tcPr>
          <w:p>
            <w:r/>
            <w:r>
              <w:rPr>
                <w:sz w:val="15"/>
              </w:rPr>
              <w:t>2609 BAYZED HEALTH</w:t>
            </w:r>
          </w:p>
        </w:tc>
        <w:tc>
          <w:tcPr>
            <w:tcW w:type="dxa" w:w="1020"/>
          </w:tcPr>
          <w:p>
            <w:pPr>
              <w:jc w:val="right"/>
            </w:pPr>
            <w:r/>
            <w:r>
              <w:rPr>
                <w:sz w:val="15"/>
              </w:rPr>
              <w:t>2025-06-23</w:t>
            </w:r>
          </w:p>
        </w:tc>
        <w:tc>
          <w:tcPr>
            <w:tcW w:type="dxa" w:w="794"/>
          </w:tcPr>
          <w:p>
            <w:pPr>
              <w:jc w:val="right"/>
            </w:pPr>
            <w:r/>
            <w:r>
              <w:rPr>
                <w:sz w:val="15"/>
              </w:rPr>
              <w:t>562</w:t>
            </w:r>
          </w:p>
        </w:tc>
        <w:tc>
          <w:tcPr>
            <w:tcW w:type="dxa" w:w="850"/>
          </w:tcPr>
          <w:p>
            <w:pPr>
              <w:jc w:val="right"/>
            </w:pPr>
            <w:r/>
            <w:r>
              <w:rPr>
                <w:sz w:val="15"/>
              </w:rPr>
              <w:t>25.9x</w:t>
            </w:r>
          </w:p>
        </w:tc>
        <w:tc>
          <w:tcPr>
            <w:tcW w:type="dxa" w:w="680"/>
          </w:tcPr>
          <w:p>
            <w:pPr>
              <w:jc w:val="right"/>
            </w:pPr>
            <w:r/>
            <w:r>
              <w:rPr>
                <w:sz w:val="15"/>
              </w:rPr>
              <w:t>0.98x</w:t>
            </w:r>
          </w:p>
        </w:tc>
        <w:tc>
          <w:tcPr>
            <w:tcW w:type="dxa" w:w="680"/>
          </w:tcPr>
          <w:p>
            <w:pPr>
              <w:jc w:val="right"/>
            </w:pPr>
            <w:r/>
            <w:r>
              <w:rPr>
                <w:sz w:val="15"/>
              </w:rPr>
              <w:t>113</w:t>
            </w:r>
          </w:p>
        </w:tc>
        <w:tc>
          <w:tcPr>
            <w:tcW w:type="dxa" w:w="737"/>
          </w:tcPr>
          <w:p>
            <w:pPr>
              <w:jc w:val="right"/>
            </w:pPr>
            <w:r/>
            <w:r>
              <w:rPr>
                <w:sz w:val="15"/>
              </w:rPr>
              <w:t>12.2%</w:t>
            </w:r>
          </w:p>
        </w:tc>
        <w:tc>
          <w:tcPr>
            <w:tcW w:type="dxa" w:w="737"/>
          </w:tcPr>
          <w:p>
            <w:pPr>
              <w:jc w:val="right"/>
            </w:pPr>
            <w:r/>
            <w:r>
              <w:rPr>
                <w:sz w:val="15"/>
              </w:rPr>
              <w:t>+25.8%</w:t>
            </w:r>
          </w:p>
        </w:tc>
        <w:tc>
          <w:tcPr>
            <w:tcW w:type="dxa" w:w="737"/>
          </w:tcPr>
          <w:p>
            <w:pPr>
              <w:jc w:val="right"/>
            </w:pPr>
            <w:r/>
            <w:r>
              <w:rPr>
                <w:sz w:val="15"/>
              </w:rPr>
              <w:t>+24.4%</w:t>
            </w:r>
          </w:p>
        </w:tc>
        <w:tc>
          <w:tcPr>
            <w:tcW w:type="dxa" w:w="737"/>
          </w:tcPr>
          <w:p>
            <w:pPr>
              <w:jc w:val="right"/>
            </w:pPr>
            <w:r/>
            <w:r>
              <w:rPr>
                <w:sz w:val="15"/>
              </w:rPr>
              <w:t>+42.2%</w:t>
            </w:r>
          </w:p>
        </w:tc>
        <w:tc>
          <w:tcPr>
            <w:tcW w:type="dxa" w:w="850"/>
          </w:tcPr>
          <w:p>
            <w:pPr>
              <w:jc w:val="right"/>
            </w:pPr>
            <w:r/>
            <w:r>
              <w:rPr>
                <w:sz w:val="15"/>
              </w:rPr>
              <w:t>+14.3%</w:t>
            </w:r>
          </w:p>
        </w:tc>
        <w:tc>
          <w:tcPr>
            <w:tcW w:type="dxa" w:w="794"/>
          </w:tcPr>
          <w:p>
            <w:pPr>
              <w:jc w:val="right"/>
            </w:pPr>
            <w:r/>
            <w:r>
              <w:rPr>
                <w:sz w:val="15"/>
              </w:rPr>
              <w:t>1.3x</w:t>
            </w:r>
          </w:p>
        </w:tc>
      </w:tr>
      <w:tr>
        <w:tc>
          <w:tcPr>
            <w:tcW w:type="dxa" w:w="1871"/>
          </w:tcPr>
          <w:p>
            <w:r/>
            <w:r>
              <w:rPr>
                <w:sz w:val="15"/>
              </w:rPr>
              <w:t>2582 GUOFUHEE</w:t>
            </w:r>
          </w:p>
        </w:tc>
        <w:tc>
          <w:tcPr>
            <w:tcW w:type="dxa" w:w="1020"/>
          </w:tcPr>
          <w:p>
            <w:pPr>
              <w:jc w:val="right"/>
            </w:pPr>
            <w:r/>
            <w:r>
              <w:rPr>
                <w:sz w:val="15"/>
              </w:rPr>
              <w:t>2024-11-15</w:t>
            </w:r>
          </w:p>
        </w:tc>
        <w:tc>
          <w:tcPr>
            <w:tcW w:type="dxa" w:w="794"/>
          </w:tcPr>
          <w:p>
            <w:pPr>
              <w:jc w:val="right"/>
            </w:pPr>
            <w:r/>
            <w:r>
              <w:rPr>
                <w:sz w:val="15"/>
              </w:rPr>
              <w:t>390</w:t>
            </w:r>
          </w:p>
        </w:tc>
        <w:tc>
          <w:tcPr>
            <w:tcW w:type="dxa" w:w="850"/>
          </w:tcPr>
          <w:p>
            <w:pPr>
              <w:jc w:val="right"/>
            </w:pPr>
            <w:r/>
            <w:r>
              <w:rPr>
                <w:sz w:val="15"/>
              </w:rPr>
              <w:t>21.1x</w:t>
            </w:r>
          </w:p>
        </w:tc>
        <w:tc>
          <w:tcPr>
            <w:tcW w:type="dxa" w:w="680"/>
          </w:tcPr>
          <w:p>
            <w:pPr>
              <w:jc w:val="right"/>
            </w:pPr>
            <w:r/>
            <w:r>
              <w:rPr>
                <w:sz w:val="15"/>
              </w:rPr>
              <w:t>0.99x</w:t>
            </w:r>
          </w:p>
        </w:tc>
        <w:tc>
          <w:tcPr>
            <w:tcW w:type="dxa" w:w="680"/>
          </w:tcPr>
          <w:p>
            <w:pPr>
              <w:jc w:val="right"/>
            </w:pPr>
            <w:r/>
            <w:r>
              <w:rPr>
                <w:sz w:val="15"/>
              </w:rPr>
              <w:t>164</w:t>
            </w:r>
          </w:p>
        </w:tc>
        <w:tc>
          <w:tcPr>
            <w:tcW w:type="dxa" w:w="737"/>
          </w:tcPr>
          <w:p>
            <w:pPr>
              <w:jc w:val="right"/>
            </w:pPr>
            <w:r/>
            <w:r>
              <w:rPr>
                <w:sz w:val="15"/>
              </w:rPr>
              <w:t>12.1%</w:t>
            </w:r>
          </w:p>
        </w:tc>
        <w:tc>
          <w:tcPr>
            <w:tcW w:type="dxa" w:w="737"/>
          </w:tcPr>
          <w:p>
            <w:pPr>
              <w:jc w:val="right"/>
            </w:pPr>
            <w:r/>
            <w:r>
              <w:rPr>
                <w:sz w:val="15"/>
              </w:rPr>
              <w:t>+24.2%</w:t>
            </w:r>
          </w:p>
        </w:tc>
        <w:tc>
          <w:tcPr>
            <w:tcW w:type="dxa" w:w="737"/>
          </w:tcPr>
          <w:p>
            <w:pPr>
              <w:jc w:val="right"/>
            </w:pPr>
            <w:r/>
            <w:r>
              <w:rPr>
                <w:sz w:val="15"/>
              </w:rPr>
              <w:t>+26.6%</w:t>
            </w:r>
          </w:p>
        </w:tc>
        <w:tc>
          <w:tcPr>
            <w:tcW w:type="dxa" w:w="737"/>
          </w:tcPr>
          <w:p>
            <w:pPr>
              <w:jc w:val="right"/>
            </w:pPr>
            <w:r/>
            <w:r>
              <w:rPr>
                <w:sz w:val="15"/>
              </w:rPr>
              <w:t>+20.0%</w:t>
            </w:r>
          </w:p>
        </w:tc>
        <w:tc>
          <w:tcPr>
            <w:tcW w:type="dxa" w:w="850"/>
          </w:tcPr>
          <w:p>
            <w:pPr>
              <w:jc w:val="right"/>
            </w:pPr>
            <w:r/>
            <w:r>
              <w:rPr>
                <w:sz w:val="15"/>
              </w:rPr>
              <w:t>-5.2%</w:t>
            </w:r>
          </w:p>
        </w:tc>
        <w:tc>
          <w:tcPr>
            <w:tcW w:type="dxa" w:w="794"/>
          </w:tcPr>
          <w:p>
            <w:pPr>
              <w:jc w:val="right"/>
            </w:pPr>
            <w:r/>
            <w:r>
              <w:rPr>
                <w:sz w:val="15"/>
              </w:rPr>
              <w:t>1.1x</w:t>
            </w:r>
          </w:p>
        </w:tc>
      </w:tr>
      <w:tr>
        <w:tc>
          <w:tcPr>
            <w:tcW w:type="dxa" w:w="1871"/>
          </w:tcPr>
          <w:p>
            <w:r/>
            <w:r>
              <w:rPr>
                <w:sz w:val="15"/>
              </w:rPr>
              <w:t>2627 AB&amp;B BIO-TECH-</w:t>
            </w:r>
          </w:p>
        </w:tc>
        <w:tc>
          <w:tcPr>
            <w:tcW w:type="dxa" w:w="1020"/>
          </w:tcPr>
          <w:p>
            <w:pPr>
              <w:jc w:val="right"/>
            </w:pPr>
            <w:r/>
            <w:r>
              <w:rPr>
                <w:sz w:val="15"/>
              </w:rPr>
              <w:t>2025-08-11</w:t>
            </w:r>
          </w:p>
        </w:tc>
        <w:tc>
          <w:tcPr>
            <w:tcW w:type="dxa" w:w="794"/>
          </w:tcPr>
          <w:p>
            <w:pPr>
              <w:jc w:val="right"/>
            </w:pPr>
            <w:r/>
            <w:r>
              <w:rPr>
                <w:sz w:val="15"/>
              </w:rPr>
              <w:t>431</w:t>
            </w:r>
          </w:p>
        </w:tc>
        <w:tc>
          <w:tcPr>
            <w:tcW w:type="dxa" w:w="850"/>
          </w:tcPr>
          <w:p>
            <w:pPr>
              <w:jc w:val="right"/>
            </w:pPr>
            <w:r/>
            <w:r>
              <w:rPr>
                <w:sz w:val="15"/>
              </w:rPr>
              <w:t>4,007.6x</w:t>
            </w:r>
          </w:p>
        </w:tc>
        <w:tc>
          <w:tcPr>
            <w:tcW w:type="dxa" w:w="680"/>
          </w:tcPr>
          <w:p>
            <w:pPr>
              <w:jc w:val="right"/>
            </w:pPr>
            <w:r/>
            <w:r>
              <w:rPr>
                <w:sz w:val="15"/>
              </w:rPr>
              <w:t>0.99x</w:t>
            </w:r>
          </w:p>
        </w:tc>
        <w:tc>
          <w:tcPr>
            <w:tcW w:type="dxa" w:w="680"/>
          </w:tcPr>
          <w:p>
            <w:pPr>
              <w:jc w:val="right"/>
            </w:pPr>
            <w:r/>
            <w:r>
              <w:rPr>
                <w:sz w:val="15"/>
              </w:rPr>
              <w:t>152</w:t>
            </w:r>
          </w:p>
        </w:tc>
        <w:tc>
          <w:tcPr>
            <w:tcW w:type="dxa" w:w="737"/>
          </w:tcPr>
          <w:p>
            <w:pPr>
              <w:jc w:val="right"/>
            </w:pPr>
            <w:r/>
            <w:r>
              <w:rPr>
                <w:sz w:val="15"/>
              </w:rPr>
              <w:t>11.9%</w:t>
            </w:r>
          </w:p>
        </w:tc>
        <w:tc>
          <w:tcPr>
            <w:tcW w:type="dxa" w:w="737"/>
          </w:tcPr>
          <w:p>
            <w:pPr>
              <w:jc w:val="right"/>
            </w:pPr>
            <w:r/>
            <w:r>
              <w:rPr>
                <w:sz w:val="15"/>
              </w:rPr>
              <w:t>+162.6%</w:t>
            </w:r>
          </w:p>
        </w:tc>
        <w:tc>
          <w:tcPr>
            <w:tcW w:type="dxa" w:w="737"/>
          </w:tcPr>
          <w:p>
            <w:pPr>
              <w:jc w:val="right"/>
            </w:pPr>
            <w:r/>
            <w:r>
              <w:rPr>
                <w:sz w:val="15"/>
              </w:rPr>
              <w:t>+155.8%</w:t>
            </w:r>
          </w:p>
        </w:tc>
        <w:tc>
          <w:tcPr>
            <w:tcW w:type="dxa" w:w="737"/>
          </w:tcPr>
          <w:p>
            <w:pPr>
              <w:jc w:val="right"/>
            </w:pPr>
            <w:r/>
            <w:r>
              <w:rPr>
                <w:sz w:val="15"/>
              </w:rPr>
              <w:t>+158.0%</w:t>
            </w:r>
          </w:p>
        </w:tc>
        <w:tc>
          <w:tcPr>
            <w:tcW w:type="dxa" w:w="850"/>
          </w:tcPr>
          <w:p>
            <w:pPr>
              <w:jc w:val="right"/>
            </w:pPr>
            <w:r/>
            <w:r>
              <w:rPr>
                <w:sz w:val="15"/>
              </w:rPr>
              <w:t>+0.8%</w:t>
            </w:r>
          </w:p>
        </w:tc>
        <w:tc>
          <w:tcPr>
            <w:tcW w:type="dxa" w:w="794"/>
          </w:tcPr>
          <w:p>
            <w:pPr>
              <w:jc w:val="right"/>
            </w:pPr>
            <w:r/>
            <w:r>
              <w:rPr>
                <w:sz w:val="15"/>
              </w:rPr>
              <w:t>2.2x</w:t>
            </w:r>
          </w:p>
        </w:tc>
      </w:tr>
      <w:tr>
        <w:tc>
          <w:tcPr>
            <w:tcW w:type="dxa" w:w="1871"/>
          </w:tcPr>
          <w:p>
            <w:r/>
            <w:r>
              <w:rPr>
                <w:sz w:val="15"/>
              </w:rPr>
              <w:t>2691 NANHUA FUTURES</w:t>
            </w:r>
          </w:p>
        </w:tc>
        <w:tc>
          <w:tcPr>
            <w:tcW w:type="dxa" w:w="1020"/>
          </w:tcPr>
          <w:p>
            <w:pPr>
              <w:jc w:val="right"/>
            </w:pPr>
            <w:r/>
            <w:r>
              <w:rPr>
                <w:sz w:val="15"/>
              </w:rPr>
              <w:t>2025-12-22</w:t>
            </w:r>
          </w:p>
        </w:tc>
        <w:tc>
          <w:tcPr>
            <w:tcW w:type="dxa" w:w="794"/>
          </w:tcPr>
          <w:p>
            <w:pPr>
              <w:jc w:val="right"/>
            </w:pPr>
            <w:r/>
            <w:r>
              <w:rPr>
                <w:sz w:val="15"/>
              </w:rPr>
              <w:t>1,292</w:t>
            </w:r>
          </w:p>
        </w:tc>
        <w:tc>
          <w:tcPr>
            <w:tcW w:type="dxa" w:w="850"/>
          </w:tcPr>
          <w:p>
            <w:pPr>
              <w:jc w:val="right"/>
            </w:pPr>
            <w:r/>
            <w:r>
              <w:rPr>
                <w:sz w:val="15"/>
              </w:rPr>
              <w:t>1.9x</w:t>
            </w:r>
          </w:p>
        </w:tc>
        <w:tc>
          <w:tcPr>
            <w:tcW w:type="dxa" w:w="680"/>
          </w:tcPr>
          <w:p>
            <w:pPr>
              <w:jc w:val="right"/>
            </w:pPr>
            <w:r/>
            <w:r>
              <w:rPr>
                <w:sz w:val="15"/>
              </w:rPr>
              <w:t>0.99x</w:t>
            </w:r>
          </w:p>
        </w:tc>
        <w:tc>
          <w:tcPr>
            <w:tcW w:type="dxa" w:w="680"/>
          </w:tcPr>
          <w:p>
            <w:pPr>
              <w:jc w:val="right"/>
            </w:pPr>
            <w:r/>
            <w:r>
              <w:rPr>
                <w:sz w:val="15"/>
              </w:rPr>
              <w:t>32</w:t>
            </w:r>
          </w:p>
        </w:tc>
        <w:tc>
          <w:tcPr>
            <w:tcW w:type="dxa" w:w="737"/>
          </w:tcPr>
          <w:p>
            <w:pPr>
              <w:jc w:val="right"/>
            </w:pPr>
            <w:r/>
            <w:r>
              <w:rPr>
                <w:sz w:val="15"/>
              </w:rPr>
              <w:t>15.0%</w:t>
            </w:r>
          </w:p>
        </w:tc>
        <w:tc>
          <w:tcPr>
            <w:tcW w:type="dxa" w:w="737"/>
          </w:tcPr>
          <w:p>
            <w:pPr>
              <w:jc w:val="right"/>
            </w:pPr>
            <w:r/>
            <w:r>
              <w:rPr>
                <w:sz w:val="15"/>
              </w:rPr>
              <w:t>-7.4%</w:t>
            </w:r>
          </w:p>
        </w:tc>
        <w:tc>
          <w:tcPr>
            <w:tcW w:type="dxa" w:w="737"/>
          </w:tcPr>
          <w:p>
            <w:pPr>
              <w:jc w:val="right"/>
            </w:pPr>
            <w:r/>
            <w:r>
              <w:rPr>
                <w:sz w:val="15"/>
              </w:rPr>
              <w:t>-23.9%</w:t>
            </w:r>
          </w:p>
        </w:tc>
        <w:tc>
          <w:tcPr>
            <w:tcW w:type="dxa" w:w="737"/>
          </w:tcPr>
          <w:p>
            <w:pPr>
              <w:jc w:val="right"/>
            </w:pPr>
            <w:r/>
            <w:r>
              <w:rPr>
                <w:sz w:val="15"/>
              </w:rPr>
              <w:t>-24.2%</w:t>
            </w:r>
          </w:p>
        </w:tc>
        <w:tc>
          <w:tcPr>
            <w:tcW w:type="dxa" w:w="850"/>
          </w:tcPr>
          <w:p>
            <w:pPr>
              <w:jc w:val="right"/>
            </w:pPr>
            <w:r/>
            <w:r>
              <w:rPr>
                <w:sz w:val="15"/>
              </w:rPr>
              <w:t>-0.3%</w:t>
            </w:r>
          </w:p>
        </w:tc>
        <w:tc>
          <w:tcPr>
            <w:tcW w:type="dxa" w:w="794"/>
          </w:tcPr>
          <w:p>
            <w:pPr>
              <w:jc w:val="right"/>
            </w:pPr>
            <w:r/>
            <w:r>
              <w:rPr>
                <w:sz w:val="15"/>
              </w:rPr>
              <w:t>0.5x</w:t>
            </w:r>
          </w:p>
        </w:tc>
      </w:tr>
      <w:tr>
        <w:tc>
          <w:tcPr>
            <w:tcW w:type="dxa" w:w="1871"/>
          </w:tcPr>
          <w:p>
            <w:r/>
            <w:r>
              <w:rPr>
                <w:sz w:val="15"/>
              </w:rPr>
              <w:t>0300 MIDEA GROUP</w:t>
            </w:r>
          </w:p>
        </w:tc>
        <w:tc>
          <w:tcPr>
            <w:tcW w:type="dxa" w:w="1020"/>
          </w:tcPr>
          <w:p>
            <w:pPr>
              <w:jc w:val="right"/>
            </w:pPr>
            <w:r/>
            <w:r>
              <w:rPr>
                <w:sz w:val="15"/>
              </w:rPr>
              <w:t>2024-09-17</w:t>
            </w:r>
          </w:p>
        </w:tc>
        <w:tc>
          <w:tcPr>
            <w:tcW w:type="dxa" w:w="794"/>
          </w:tcPr>
          <w:p>
            <w:pPr>
              <w:jc w:val="right"/>
            </w:pPr>
            <w:r/>
            <w:r>
              <w:rPr>
                <w:sz w:val="15"/>
              </w:rPr>
              <w:t>31,014</w:t>
            </w:r>
          </w:p>
        </w:tc>
        <w:tc>
          <w:tcPr>
            <w:tcW w:type="dxa" w:w="850"/>
          </w:tcPr>
          <w:p>
            <w:pPr>
              <w:jc w:val="right"/>
            </w:pPr>
            <w:r/>
            <w:r>
              <w:rPr>
                <w:sz w:val="15"/>
              </w:rPr>
              <w:t>9.0x</w:t>
            </w:r>
          </w:p>
        </w:tc>
        <w:tc>
          <w:tcPr>
            <w:tcW w:type="dxa" w:w="680"/>
          </w:tcPr>
          <w:p>
            <w:pPr>
              <w:jc w:val="right"/>
            </w:pPr>
            <w:r/>
            <w:r>
              <w:rPr>
                <w:sz w:val="15"/>
              </w:rPr>
              <w:t>8.06x</w:t>
            </w:r>
          </w:p>
        </w:tc>
        <w:tc>
          <w:tcPr>
            <w:tcW w:type="dxa" w:w="680"/>
          </w:tcPr>
          <w:p>
            <w:pPr>
              <w:jc w:val="right"/>
            </w:pPr>
            <w:r/>
            <w:r>
              <w:rPr>
                <w:sz w:val="15"/>
              </w:rPr>
              <w:t>236</w:t>
            </w:r>
          </w:p>
        </w:tc>
        <w:tc>
          <w:tcPr>
            <w:tcW w:type="dxa" w:w="737"/>
          </w:tcPr>
          <w:p>
            <w:pPr>
              <w:jc w:val="right"/>
            </w:pPr>
            <w:r/>
            <w:r>
              <w:rPr>
                <w:sz w:val="15"/>
              </w:rPr>
              <w:t>5.0%</w:t>
            </w:r>
          </w:p>
        </w:tc>
        <w:tc>
          <w:tcPr>
            <w:tcW w:type="dxa" w:w="737"/>
          </w:tcPr>
          <w:p>
            <w:pPr>
              <w:jc w:val="right"/>
            </w:pPr>
            <w:r/>
            <w:r>
              <w:rPr>
                <w:sz w:val="15"/>
              </w:rPr>
              <w:t>+5.8%</w:t>
            </w:r>
          </w:p>
        </w:tc>
        <w:tc>
          <w:tcPr>
            <w:tcW w:type="dxa" w:w="737"/>
          </w:tcPr>
          <w:p>
            <w:pPr>
              <w:jc w:val="right"/>
            </w:pPr>
            <w:r/>
            <w:r>
              <w:rPr>
                <w:sz w:val="15"/>
              </w:rPr>
              <w:t>+8.0%</w:t>
            </w:r>
          </w:p>
        </w:tc>
        <w:tc>
          <w:tcPr>
            <w:tcW w:type="dxa" w:w="737"/>
          </w:tcPr>
          <w:p>
            <w:pPr>
              <w:jc w:val="right"/>
            </w:pPr>
            <w:r/>
            <w:r>
              <w:rPr>
                <w:sz w:val="15"/>
              </w:rPr>
              <w:t>+7.8%</w:t>
            </w:r>
          </w:p>
        </w:tc>
        <w:tc>
          <w:tcPr>
            <w:tcW w:type="dxa" w:w="850"/>
          </w:tcPr>
          <w:p>
            <w:pPr>
              <w:jc w:val="right"/>
            </w:pPr>
            <w:r/>
            <w:r>
              <w:rPr>
                <w:sz w:val="15"/>
              </w:rPr>
              <w:t>-0.2%</w:t>
            </w:r>
          </w:p>
        </w:tc>
        <w:tc>
          <w:tcPr>
            <w:tcW w:type="dxa" w:w="794"/>
          </w:tcPr>
          <w:p>
            <w:pPr>
              <w:jc w:val="right"/>
            </w:pPr>
            <w:r/>
            <w:r>
              <w:rPr>
                <w:sz w:val="15"/>
              </w:rPr>
              <w:t>2.3x</w:t>
            </w:r>
          </w:p>
        </w:tc>
      </w:tr>
    </w:tbl>
    <w:p>
      <w:pPr>
        <w:spacing w:after="40"/>
      </w:pPr>
    </w:p>
    <w:p>
      <w:pPr>
        <w:spacing w:after="120"/>
      </w:pPr>
      <w:r>
        <w:rPr>
          <w:b w:val="0"/>
          <w:i/>
          <w:sz w:val="17"/>
        </w:rPr>
        <w:t>Vol÷retail = listing-day volume divided by the number of shares retail actually received. It says how many times the retail float changed hands on day one.</w:t>
      </w:r>
    </w:p>
    <w:p>
      <w:pPr>
        <w:spacing w:after="80"/>
      </w:pPr>
      <w:r>
        <w:rPr>
          <w:b/>
          <w:i w:val="0"/>
          <w:sz w:val="25"/>
        </w:rPr>
        <w:t>5. Do fundamentals explain the pop? No.</w:t>
      </w:r>
    </w:p>
    <w:tbl>
      <w:tblPr>
        <w:tblStyle w:val="TableGrid"/>
        <w:tblW w:type="auto" w:w="0"/>
        <w:tblLook w:firstColumn="1" w:firstRow="1" w:lastColumn="0" w:lastRow="0" w:noHBand="0" w:noVBand="1" w:val="04A0"/>
      </w:tblPr>
      <w:tblGrid>
        <w:gridCol w:w="3324"/>
        <w:gridCol w:w="3324"/>
        <w:gridCol w:w="3324"/>
      </w:tblGrid>
      <w:tr>
        <w:tc>
          <w:tcPr>
            <w:tcW w:type="dxa" w:w="3628"/>
          </w:tcPr>
          <w:p>
            <w:r/>
            <w:r>
              <w:rPr>
                <w:b/>
                <w:sz w:val="17"/>
              </w:rPr>
            </w:r>
          </w:p>
        </w:tc>
        <w:tc>
          <w:tcPr>
            <w:tcW w:type="dxa" w:w="2494"/>
          </w:tcPr>
          <w:p>
            <w:r/>
            <w:r>
              <w:rPr>
                <w:b/>
                <w:sz w:val="17"/>
              </w:rPr>
              <w:t>The 0.85–0.99x cluster</w:t>
            </w:r>
          </w:p>
        </w:tc>
        <w:tc>
          <w:tcPr>
            <w:tcW w:type="dxa" w:w="2154"/>
          </w:tcPr>
          <w:p>
            <w:r/>
            <w:r>
              <w:rPr>
                <w:b/>
                <w:sz w:val="17"/>
              </w:rPr>
              <w:t>Rest of the book</w:t>
            </w:r>
          </w:p>
        </w:tc>
      </w:tr>
      <w:tr>
        <w:tc>
          <w:tcPr>
            <w:tcW w:type="dxa" w:w="3628"/>
          </w:tcPr>
          <w:p>
            <w:r/>
            <w:r>
              <w:rPr>
                <w:sz w:val="17"/>
              </w:rPr>
              <w:t>Deals</w:t>
            </w:r>
          </w:p>
        </w:tc>
        <w:tc>
          <w:tcPr>
            <w:tcW w:type="dxa" w:w="2494"/>
          </w:tcPr>
          <w:p>
            <w:pPr>
              <w:jc w:val="right"/>
            </w:pPr>
            <w:r/>
            <w:r>
              <w:rPr>
                <w:sz w:val="17"/>
              </w:rPr>
              <w:t>27</w:t>
            </w:r>
          </w:p>
        </w:tc>
        <w:tc>
          <w:tcPr>
            <w:tcW w:type="dxa" w:w="2154"/>
          </w:tcPr>
          <w:p>
            <w:pPr>
              <w:jc w:val="right"/>
            </w:pPr>
            <w:r/>
            <w:r>
              <w:rPr>
                <w:sz w:val="17"/>
              </w:rPr>
              <w:t>484</w:t>
            </w:r>
          </w:p>
        </w:tc>
      </w:tr>
      <w:tr>
        <w:tc>
          <w:tcPr>
            <w:tcW w:type="dxa" w:w="3628"/>
          </w:tcPr>
          <w:p>
            <w:r/>
            <w:r>
              <w:rPr>
                <w:sz w:val="17"/>
              </w:rPr>
              <w:t>Median P/E at the offer</w:t>
            </w:r>
          </w:p>
        </w:tc>
        <w:tc>
          <w:tcPr>
            <w:tcW w:type="dxa" w:w="2494"/>
          </w:tcPr>
          <w:p>
            <w:pPr>
              <w:jc w:val="right"/>
            </w:pPr>
            <w:r/>
            <w:r>
              <w:rPr>
                <w:sz w:val="17"/>
              </w:rPr>
              <w:t>13.6x</w:t>
            </w:r>
          </w:p>
        </w:tc>
        <w:tc>
          <w:tcPr>
            <w:tcW w:type="dxa" w:w="2154"/>
          </w:tcPr>
          <w:p>
            <w:pPr>
              <w:jc w:val="right"/>
            </w:pPr>
            <w:r/>
            <w:r>
              <w:rPr>
                <w:sz w:val="17"/>
              </w:rPr>
              <w:t>23.3x</w:t>
            </w:r>
          </w:p>
        </w:tc>
      </w:tr>
      <w:tr>
        <w:tc>
          <w:tcPr>
            <w:tcW w:type="dxa" w:w="3628"/>
          </w:tcPr>
          <w:p>
            <w:r/>
            <w:r>
              <w:rPr>
                <w:sz w:val="17"/>
              </w:rPr>
              <w:t>Profitable at IPO</w:t>
            </w:r>
          </w:p>
        </w:tc>
        <w:tc>
          <w:tcPr>
            <w:tcW w:type="dxa" w:w="2494"/>
          </w:tcPr>
          <w:p>
            <w:pPr>
              <w:jc w:val="right"/>
            </w:pPr>
            <w:r/>
            <w:r>
              <w:rPr>
                <w:sz w:val="17"/>
              </w:rPr>
              <w:t>70%</w:t>
            </w:r>
          </w:p>
        </w:tc>
        <w:tc>
          <w:tcPr>
            <w:tcW w:type="dxa" w:w="2154"/>
          </w:tcPr>
          <w:p>
            <w:pPr>
              <w:jc w:val="right"/>
            </w:pPr>
            <w:r/>
            <w:r>
              <w:rPr>
                <w:sz w:val="17"/>
              </w:rPr>
              <w:t>60%</w:t>
            </w:r>
          </w:p>
        </w:tc>
      </w:tr>
      <w:tr>
        <w:tc>
          <w:tcPr>
            <w:tcW w:type="dxa" w:w="3628"/>
          </w:tcPr>
          <w:p>
            <w:r/>
            <w:r>
              <w:rPr>
                <w:sz w:val="17"/>
              </w:rPr>
              <w:t>Has an A-share line</w:t>
            </w:r>
          </w:p>
        </w:tc>
        <w:tc>
          <w:tcPr>
            <w:tcW w:type="dxa" w:w="2494"/>
          </w:tcPr>
          <w:p>
            <w:pPr>
              <w:jc w:val="right"/>
            </w:pPr>
            <w:r/>
            <w:r>
              <w:rPr>
                <w:sz w:val="17"/>
              </w:rPr>
              <w:t>4%</w:t>
            </w:r>
          </w:p>
        </w:tc>
        <w:tc>
          <w:tcPr>
            <w:tcW w:type="dxa" w:w="2154"/>
          </w:tcPr>
          <w:p>
            <w:pPr>
              <w:jc w:val="right"/>
            </w:pPr>
            <w:r/>
            <w:r>
              <w:rPr>
                <w:sz w:val="17"/>
              </w:rPr>
              <w:t>12%</w:t>
            </w:r>
          </w:p>
        </w:tc>
      </w:tr>
      <w:tr>
        <w:tc>
          <w:tcPr>
            <w:tcW w:type="dxa" w:w="3628"/>
          </w:tcPr>
          <w:p>
            <w:r/>
            <w:r>
              <w:rPr>
                <w:sz w:val="17"/>
              </w:rPr>
              <w:t>Median deal size HK$m</w:t>
            </w:r>
          </w:p>
        </w:tc>
        <w:tc>
          <w:tcPr>
            <w:tcW w:type="dxa" w:w="2494"/>
          </w:tcPr>
          <w:p>
            <w:pPr>
              <w:jc w:val="right"/>
            </w:pPr>
            <w:r/>
            <w:r>
              <w:rPr>
                <w:sz w:val="17"/>
              </w:rPr>
              <w:t>198</w:t>
            </w:r>
          </w:p>
        </w:tc>
        <w:tc>
          <w:tcPr>
            <w:tcW w:type="dxa" w:w="2154"/>
          </w:tcPr>
          <w:p>
            <w:pPr>
              <w:jc w:val="right"/>
            </w:pPr>
            <w:r/>
            <w:r>
              <w:rPr>
                <w:sz w:val="17"/>
              </w:rPr>
              <w:t>783</w:t>
            </w:r>
          </w:p>
        </w:tc>
      </w:tr>
      <w:tr>
        <w:tc>
          <w:tcPr>
            <w:tcW w:type="dxa" w:w="3628"/>
          </w:tcPr>
          <w:p>
            <w:r/>
            <w:r>
              <w:rPr>
                <w:sz w:val="17"/>
              </w:rPr>
              <w:t>Median pop</w:t>
            </w:r>
          </w:p>
        </w:tc>
        <w:tc>
          <w:tcPr>
            <w:tcW w:type="dxa" w:w="2494"/>
          </w:tcPr>
          <w:p>
            <w:pPr>
              <w:jc w:val="right"/>
            </w:pPr>
            <w:r/>
            <w:r>
              <w:rPr>
                <w:sz w:val="17"/>
              </w:rPr>
              <w:t>+35.5%</w:t>
            </w:r>
          </w:p>
        </w:tc>
        <w:tc>
          <w:tcPr>
            <w:tcW w:type="dxa" w:w="2154"/>
          </w:tcPr>
          <w:p>
            <w:pPr>
              <w:jc w:val="right"/>
            </w:pPr>
            <w:r/>
            <w:r>
              <w:rPr>
                <w:sz w:val="17"/>
              </w:rPr>
              <w:t>+0.8%</w:t>
            </w:r>
          </w:p>
        </w:tc>
      </w:tr>
      <w:tr>
        <w:tc>
          <w:tcPr>
            <w:tcW w:type="dxa" w:w="3628"/>
          </w:tcPr>
          <w:p>
            <w:r/>
            <w:r>
              <w:rPr>
                <w:sz w:val="17"/>
              </w:rPr>
              <w:t>Median 1-month return after the pop</w:t>
            </w:r>
          </w:p>
        </w:tc>
        <w:tc>
          <w:tcPr>
            <w:tcW w:type="dxa" w:w="2494"/>
          </w:tcPr>
          <w:p>
            <w:pPr>
              <w:jc w:val="right"/>
            </w:pPr>
            <w:r/>
            <w:r>
              <w:rPr>
                <w:sz w:val="17"/>
              </w:rPr>
              <w:t>+9.5%</w:t>
            </w:r>
          </w:p>
        </w:tc>
        <w:tc>
          <w:tcPr>
            <w:tcW w:type="dxa" w:w="2154"/>
          </w:tcPr>
          <w:p>
            <w:pPr>
              <w:jc w:val="right"/>
            </w:pPr>
            <w:r/>
            <w:r>
              <w:rPr>
                <w:sz w:val="17"/>
              </w:rPr>
              <w:t>-2.4%</w:t>
            </w:r>
          </w:p>
        </w:tc>
      </w:tr>
    </w:tbl>
    <w:p>
      <w:pPr>
        <w:spacing w:after="40"/>
      </w:pPr>
    </w:p>
    <w:p>
      <w:pPr>
        <w:spacing w:after="120"/>
      </w:pPr>
      <w:r>
        <w:rPr>
          <w:b w:val="0"/>
          <w:i w:val="0"/>
          <w:sz w:val="21"/>
        </w:rPr>
        <w:t>The cluster is cheaper than the rest of the book and mostly profitable. Inside the cluster the multiple has no relationship with the size of the pop (rank correlation 0.18 for P/E, 0.25 for P/S). These are small, ordinary companies — industrials, healthcare services, consumer, materials. That is exactly the profile a syndicate can place with about 120 accounts and hold.</w:t>
      </w:r>
    </w:p>
    <w:p>
      <w:pPr>
        <w:spacing w:after="80"/>
      </w:pPr>
      <w:r>
        <w:rPr>
          <w:b/>
          <w:i w:val="0"/>
          <w:sz w:val="25"/>
        </w:rPr>
        <w:t>6. Was the market simply strong on those days? No.</w:t>
      </w:r>
    </w:p>
    <w:p>
      <w:pPr>
        <w:spacing w:after="120"/>
      </w:pPr>
      <w:r>
        <w:rPr>
          <w:b w:val="0"/>
          <w:i w:val="0"/>
          <w:sz w:val="21"/>
        </w:rPr>
        <w:t>The Hang Seng Index move on the listing day explains nothing. Rank correlation with the day-one return is 0.01 across 517 deals in the whole book, and -0.07 inside the cluster. The cluster's listing days had a median index move of -0.1% — a flat tape.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268"/>
          </w:tcPr>
          <w:p>
            <w:r/>
            <w:r>
              <w:rPr>
                <w:b/>
                <w:sz w:val="16"/>
              </w:rPr>
              <w:t>Deal (largest pops first)</w:t>
            </w:r>
          </w:p>
        </w:tc>
        <w:tc>
          <w:tcPr>
            <w:tcW w:type="dxa" w:w="1134"/>
          </w:tcPr>
          <w:p>
            <w:r/>
            <w:r>
              <w:rPr>
                <w:b/>
                <w:sz w:val="16"/>
              </w:rPr>
              <w:t>Listed</w:t>
            </w:r>
          </w:p>
        </w:tc>
        <w:tc>
          <w:tcPr>
            <w:tcW w:type="dxa" w:w="1077"/>
          </w:tcPr>
          <w:p>
            <w:r/>
            <w:r>
              <w:rPr>
                <w:b/>
                <w:sz w:val="16"/>
              </w:rPr>
              <w:t>Pop</w:t>
            </w:r>
          </w:p>
        </w:tc>
        <w:tc>
          <w:tcPr>
            <w:tcW w:type="dxa" w:w="1077"/>
          </w:tcPr>
          <w:p>
            <w:r/>
            <w:r>
              <w:rPr>
                <w:b/>
                <w:sz w:val="16"/>
              </w:rPr>
              <w:t>Day-1</w:t>
            </w:r>
          </w:p>
        </w:tc>
        <w:tc>
          <w:tcPr>
            <w:tcW w:type="dxa" w:w="1247"/>
          </w:tcPr>
          <w:p>
            <w:r/>
            <w:r>
              <w:rPr>
                <w:b/>
                <w:sz w:val="16"/>
              </w:rPr>
              <w:t>HSI that day</w:t>
            </w:r>
          </w:p>
        </w:tc>
        <w:tc>
          <w:tcPr>
            <w:tcW w:type="dxa" w:w="1361"/>
          </w:tcPr>
          <w:p>
            <w:r/>
            <w:r>
              <w:rPr>
                <w:b/>
                <w:sz w:val="16"/>
              </w:rPr>
              <w:t>HSCEI that day</w:t>
            </w:r>
          </w:p>
        </w:tc>
      </w:tr>
      <w:tr>
        <w:tc>
          <w:tcPr>
            <w:tcW w:type="dxa" w:w="2268"/>
          </w:tcPr>
          <w:p>
            <w:r/>
            <w:r>
              <w:rPr>
                <w:sz w:val="16"/>
              </w:rPr>
              <w:t>2535 WK GROUP</w:t>
            </w:r>
          </w:p>
        </w:tc>
        <w:tc>
          <w:tcPr>
            <w:tcW w:type="dxa" w:w="1134"/>
          </w:tcPr>
          <w:p>
            <w:pPr>
              <w:jc w:val="right"/>
            </w:pPr>
            <w:r/>
            <w:r>
              <w:rPr>
                <w:sz w:val="16"/>
              </w:rPr>
              <w:t>2024-03-08</w:t>
            </w:r>
          </w:p>
        </w:tc>
        <w:tc>
          <w:tcPr>
            <w:tcW w:type="dxa" w:w="1077"/>
          </w:tcPr>
          <w:p>
            <w:pPr>
              <w:jc w:val="right"/>
            </w:pPr>
            <w:r/>
            <w:r>
              <w:rPr>
                <w:sz w:val="16"/>
              </w:rPr>
              <w:t>+160.0%</w:t>
            </w:r>
          </w:p>
        </w:tc>
        <w:tc>
          <w:tcPr>
            <w:tcW w:type="dxa" w:w="1077"/>
          </w:tcPr>
          <w:p>
            <w:pPr>
              <w:jc w:val="right"/>
            </w:pPr>
            <w:r/>
            <w:r>
              <w:rPr>
                <w:sz w:val="16"/>
              </w:rPr>
              <w:t>+136.0%</w:t>
            </w:r>
          </w:p>
        </w:tc>
        <w:tc>
          <w:tcPr>
            <w:tcW w:type="dxa" w:w="1247"/>
          </w:tcPr>
          <w:p>
            <w:pPr>
              <w:jc w:val="right"/>
            </w:pPr>
            <w:r/>
            <w:r>
              <w:rPr>
                <w:sz w:val="16"/>
              </w:rPr>
              <w:t>+0.76%</w:t>
            </w:r>
          </w:p>
        </w:tc>
        <w:tc>
          <w:tcPr>
            <w:tcW w:type="dxa" w:w="1361"/>
          </w:tcPr>
          <w:p>
            <w:pPr>
              <w:jc w:val="right"/>
            </w:pPr>
            <w:r/>
            <w:r>
              <w:rPr>
                <w:sz w:val="16"/>
              </w:rPr>
              <w:t>+0.76%</w:t>
            </w:r>
          </w:p>
        </w:tc>
      </w:tr>
      <w:tr>
        <w:tc>
          <w:tcPr>
            <w:tcW w:type="dxa" w:w="2268"/>
          </w:tcPr>
          <w:p>
            <w:r/>
            <w:r>
              <w:rPr>
                <w:sz w:val="16"/>
              </w:rPr>
              <w:t>2627 AB&amp;B BIO-TECH-B</w:t>
            </w:r>
          </w:p>
        </w:tc>
        <w:tc>
          <w:tcPr>
            <w:tcW w:type="dxa" w:w="1134"/>
          </w:tcPr>
          <w:p>
            <w:pPr>
              <w:jc w:val="right"/>
            </w:pPr>
            <w:r/>
            <w:r>
              <w:rPr>
                <w:sz w:val="16"/>
              </w:rPr>
              <w:t>2025-08-11</w:t>
            </w:r>
          </w:p>
        </w:tc>
        <w:tc>
          <w:tcPr>
            <w:tcW w:type="dxa" w:w="1077"/>
          </w:tcPr>
          <w:p>
            <w:pPr>
              <w:jc w:val="right"/>
            </w:pPr>
            <w:r/>
            <w:r>
              <w:rPr>
                <w:sz w:val="16"/>
              </w:rPr>
              <w:t>+155.8%</w:t>
            </w:r>
          </w:p>
        </w:tc>
        <w:tc>
          <w:tcPr>
            <w:tcW w:type="dxa" w:w="1077"/>
          </w:tcPr>
          <w:p>
            <w:pPr>
              <w:jc w:val="right"/>
            </w:pPr>
            <w:r/>
            <w:r>
              <w:rPr>
                <w:sz w:val="16"/>
              </w:rPr>
              <w:t>+158.0%</w:t>
            </w:r>
          </w:p>
        </w:tc>
        <w:tc>
          <w:tcPr>
            <w:tcW w:type="dxa" w:w="1247"/>
          </w:tcPr>
          <w:p>
            <w:pPr>
              <w:jc w:val="right"/>
            </w:pPr>
            <w:r/>
            <w:r>
              <w:rPr>
                <w:sz w:val="16"/>
              </w:rPr>
              <w:t>+0.19%</w:t>
            </w:r>
          </w:p>
        </w:tc>
        <w:tc>
          <w:tcPr>
            <w:tcW w:type="dxa" w:w="1361"/>
          </w:tcPr>
          <w:p>
            <w:pPr>
              <w:jc w:val="right"/>
            </w:pPr>
            <w:r/>
            <w:r>
              <w:rPr>
                <w:sz w:val="16"/>
              </w:rPr>
              <w:t>-0.08%</w:t>
            </w:r>
          </w:p>
        </w:tc>
      </w:tr>
      <w:tr>
        <w:tc>
          <w:tcPr>
            <w:tcW w:type="dxa" w:w="2268"/>
          </w:tcPr>
          <w:p>
            <w:r/>
            <w:r>
              <w:rPr>
                <w:sz w:val="16"/>
              </w:rPr>
              <w:t>2497 FUJING HOLDINGS</w:t>
            </w:r>
          </w:p>
        </w:tc>
        <w:tc>
          <w:tcPr>
            <w:tcW w:type="dxa" w:w="1134"/>
          </w:tcPr>
          <w:p>
            <w:pPr>
              <w:jc w:val="right"/>
            </w:pPr>
            <w:r/>
            <w:r>
              <w:rPr>
                <w:sz w:val="16"/>
              </w:rPr>
              <w:t>2024-03-28</w:t>
            </w:r>
          </w:p>
        </w:tc>
        <w:tc>
          <w:tcPr>
            <w:tcW w:type="dxa" w:w="1077"/>
          </w:tcPr>
          <w:p>
            <w:pPr>
              <w:jc w:val="right"/>
            </w:pPr>
            <w:r/>
            <w:r>
              <w:rPr>
                <w:sz w:val="16"/>
              </w:rPr>
              <w:t>+97.2%</w:t>
            </w:r>
          </w:p>
        </w:tc>
        <w:tc>
          <w:tcPr>
            <w:tcW w:type="dxa" w:w="1077"/>
          </w:tcPr>
          <w:p>
            <w:pPr>
              <w:jc w:val="right"/>
            </w:pPr>
            <w:r/>
            <w:r>
              <w:rPr>
                <w:sz w:val="16"/>
              </w:rPr>
              <w:t>+37.0%</w:t>
            </w:r>
          </w:p>
        </w:tc>
        <w:tc>
          <w:tcPr>
            <w:tcW w:type="dxa" w:w="1247"/>
          </w:tcPr>
          <w:p>
            <w:pPr>
              <w:jc w:val="right"/>
            </w:pPr>
            <w:r/>
            <w:r>
              <w:rPr>
                <w:sz w:val="16"/>
              </w:rPr>
              <w:t>+0.91%</w:t>
            </w:r>
          </w:p>
        </w:tc>
        <w:tc>
          <w:tcPr>
            <w:tcW w:type="dxa" w:w="1361"/>
          </w:tcPr>
          <w:p>
            <w:pPr>
              <w:jc w:val="right"/>
            </w:pPr>
            <w:r/>
            <w:r>
              <w:rPr>
                <w:sz w:val="16"/>
              </w:rPr>
              <w:t>+1.44%</w:t>
            </w:r>
          </w:p>
        </w:tc>
      </w:tr>
      <w:tr>
        <w:tc>
          <w:tcPr>
            <w:tcW w:type="dxa" w:w="2268"/>
          </w:tcPr>
          <w:p>
            <w:r/>
            <w:r>
              <w:rPr>
                <w:sz w:val="16"/>
              </w:rPr>
              <w:t>2553 SHOUGANG LANZA</w:t>
            </w:r>
          </w:p>
        </w:tc>
        <w:tc>
          <w:tcPr>
            <w:tcW w:type="dxa" w:w="1134"/>
          </w:tcPr>
          <w:p>
            <w:pPr>
              <w:jc w:val="right"/>
            </w:pPr>
            <w:r/>
            <w:r>
              <w:rPr>
                <w:sz w:val="16"/>
              </w:rPr>
              <w:t>2026-06-03</w:t>
            </w:r>
          </w:p>
        </w:tc>
        <w:tc>
          <w:tcPr>
            <w:tcW w:type="dxa" w:w="1077"/>
          </w:tcPr>
          <w:p>
            <w:pPr>
              <w:jc w:val="right"/>
            </w:pPr>
            <w:r/>
            <w:r>
              <w:rPr>
                <w:sz w:val="16"/>
              </w:rPr>
              <w:t>+91.8%</w:t>
            </w:r>
          </w:p>
        </w:tc>
        <w:tc>
          <w:tcPr>
            <w:tcW w:type="dxa" w:w="1077"/>
          </w:tcPr>
          <w:p>
            <w:pPr>
              <w:jc w:val="right"/>
            </w:pPr>
            <w:r/>
            <w:r>
              <w:rPr>
                <w:sz w:val="16"/>
              </w:rPr>
              <w:t>+44.2%</w:t>
            </w:r>
          </w:p>
        </w:tc>
        <w:tc>
          <w:tcPr>
            <w:tcW w:type="dxa" w:w="1247"/>
          </w:tcPr>
          <w:p>
            <w:pPr>
              <w:jc w:val="right"/>
            </w:pPr>
            <w:r/>
            <w:r>
              <w:rPr>
                <w:sz w:val="16"/>
              </w:rPr>
              <w:t>-1.56%</w:t>
            </w:r>
          </w:p>
        </w:tc>
        <w:tc>
          <w:tcPr>
            <w:tcW w:type="dxa" w:w="1361"/>
          </w:tcPr>
          <w:p>
            <w:pPr>
              <w:jc w:val="right"/>
            </w:pPr>
            <w:r/>
            <w:r>
              <w:rPr>
                <w:sz w:val="16"/>
              </w:rPr>
              <w:t>-1.90%</w:t>
            </w:r>
          </w:p>
        </w:tc>
      </w:tr>
      <w:tr>
        <w:tc>
          <w:tcPr>
            <w:tcW w:type="dxa" w:w="2268"/>
          </w:tcPr>
          <w:p>
            <w:r/>
            <w:r>
              <w:rPr>
                <w:sz w:val="16"/>
              </w:rPr>
              <w:t>2881 WUHAN YOUJI</w:t>
            </w:r>
          </w:p>
        </w:tc>
        <w:tc>
          <w:tcPr>
            <w:tcW w:type="dxa" w:w="1134"/>
          </w:tcPr>
          <w:p>
            <w:pPr>
              <w:jc w:val="right"/>
            </w:pPr>
            <w:r/>
            <w:r>
              <w:rPr>
                <w:sz w:val="16"/>
              </w:rPr>
              <w:t>2024-06-18</w:t>
            </w:r>
          </w:p>
        </w:tc>
        <w:tc>
          <w:tcPr>
            <w:tcW w:type="dxa" w:w="1077"/>
          </w:tcPr>
          <w:p>
            <w:pPr>
              <w:jc w:val="right"/>
            </w:pPr>
            <w:r/>
            <w:r>
              <w:rPr>
                <w:sz w:val="16"/>
              </w:rPr>
              <w:t>+79.6%</w:t>
            </w:r>
          </w:p>
        </w:tc>
        <w:tc>
          <w:tcPr>
            <w:tcW w:type="dxa" w:w="1077"/>
          </w:tcPr>
          <w:p>
            <w:pPr>
              <w:jc w:val="right"/>
            </w:pPr>
            <w:r/>
            <w:r>
              <w:rPr>
                <w:sz w:val="16"/>
              </w:rPr>
              <w:t>+27.6%</w:t>
            </w:r>
          </w:p>
        </w:tc>
        <w:tc>
          <w:tcPr>
            <w:tcW w:type="dxa" w:w="1247"/>
          </w:tcPr>
          <w:p>
            <w:pPr>
              <w:jc w:val="right"/>
            </w:pPr>
            <w:r/>
            <w:r>
              <w:rPr>
                <w:sz w:val="16"/>
              </w:rPr>
              <w:t>-0.11%</w:t>
            </w:r>
          </w:p>
        </w:tc>
        <w:tc>
          <w:tcPr>
            <w:tcW w:type="dxa" w:w="1361"/>
          </w:tcPr>
          <w:p>
            <w:pPr>
              <w:jc w:val="right"/>
            </w:pPr>
            <w:r/>
            <w:r>
              <w:rPr>
                <w:sz w:val="16"/>
              </w:rPr>
              <w:t>-0.08%</w:t>
            </w:r>
          </w:p>
        </w:tc>
      </w:tr>
      <w:tr>
        <w:tc>
          <w:tcPr>
            <w:tcW w:type="dxa" w:w="2268"/>
          </w:tcPr>
          <w:p>
            <w:r/>
            <w:r>
              <w:rPr>
                <w:sz w:val="16"/>
              </w:rPr>
              <w:t>2477 WELLCELL HOLD</w:t>
            </w:r>
          </w:p>
        </w:tc>
        <w:tc>
          <w:tcPr>
            <w:tcW w:type="dxa" w:w="1134"/>
          </w:tcPr>
          <w:p>
            <w:pPr>
              <w:jc w:val="right"/>
            </w:pPr>
            <w:r/>
            <w:r>
              <w:rPr>
                <w:sz w:val="16"/>
              </w:rPr>
              <w:t>2024-01-12</w:t>
            </w:r>
          </w:p>
        </w:tc>
        <w:tc>
          <w:tcPr>
            <w:tcW w:type="dxa" w:w="1077"/>
          </w:tcPr>
          <w:p>
            <w:pPr>
              <w:jc w:val="right"/>
            </w:pPr>
            <w:r/>
            <w:r>
              <w:rPr>
                <w:sz w:val="16"/>
              </w:rPr>
              <w:t>+77.0%</w:t>
            </w:r>
          </w:p>
        </w:tc>
        <w:tc>
          <w:tcPr>
            <w:tcW w:type="dxa" w:w="1077"/>
          </w:tcPr>
          <w:p>
            <w:pPr>
              <w:jc w:val="right"/>
            </w:pPr>
            <w:r/>
            <w:r>
              <w:rPr>
                <w:sz w:val="16"/>
              </w:rPr>
              <w:t>+164.0%</w:t>
            </w:r>
          </w:p>
        </w:tc>
        <w:tc>
          <w:tcPr>
            <w:tcW w:type="dxa" w:w="1247"/>
          </w:tcPr>
          <w:p>
            <w:pPr>
              <w:jc w:val="right"/>
            </w:pPr>
            <w:r/>
            <w:r>
              <w:rPr>
                <w:sz w:val="16"/>
              </w:rPr>
              <w:t>-0.35%</w:t>
            </w:r>
          </w:p>
        </w:tc>
        <w:tc>
          <w:tcPr>
            <w:tcW w:type="dxa" w:w="1361"/>
          </w:tcPr>
          <w:p>
            <w:pPr>
              <w:jc w:val="right"/>
            </w:pPr>
            <w:r/>
            <w:r>
              <w:rPr>
                <w:sz w:val="16"/>
              </w:rPr>
              <w:t>-0.23%</w:t>
            </w:r>
          </w:p>
        </w:tc>
      </w:tr>
      <w:tr>
        <w:tc>
          <w:tcPr>
            <w:tcW w:type="dxa" w:w="2268"/>
          </w:tcPr>
          <w:p>
            <w:r/>
            <w:r>
              <w:rPr>
                <w:sz w:val="16"/>
              </w:rPr>
              <w:t>9881 RONGTA TECH</w:t>
            </w:r>
          </w:p>
        </w:tc>
        <w:tc>
          <w:tcPr>
            <w:tcW w:type="dxa" w:w="1134"/>
          </w:tcPr>
          <w:p>
            <w:pPr>
              <w:jc w:val="right"/>
            </w:pPr>
            <w:r/>
            <w:r>
              <w:rPr>
                <w:sz w:val="16"/>
              </w:rPr>
              <w:t>2025-06-10</w:t>
            </w:r>
          </w:p>
        </w:tc>
        <w:tc>
          <w:tcPr>
            <w:tcW w:type="dxa" w:w="1077"/>
          </w:tcPr>
          <w:p>
            <w:pPr>
              <w:jc w:val="right"/>
            </w:pPr>
            <w:r/>
            <w:r>
              <w:rPr>
                <w:sz w:val="16"/>
              </w:rPr>
              <w:t>+66.0%</w:t>
            </w:r>
          </w:p>
        </w:tc>
        <w:tc>
          <w:tcPr>
            <w:tcW w:type="dxa" w:w="1077"/>
          </w:tcPr>
          <w:p>
            <w:pPr>
              <w:jc w:val="right"/>
            </w:pPr>
            <w:r/>
            <w:r>
              <w:rPr>
                <w:sz w:val="16"/>
              </w:rPr>
              <w:t>+42.0%</w:t>
            </w:r>
          </w:p>
        </w:tc>
        <w:tc>
          <w:tcPr>
            <w:tcW w:type="dxa" w:w="1247"/>
          </w:tcPr>
          <w:p>
            <w:pPr>
              <w:jc w:val="right"/>
            </w:pPr>
            <w:r/>
            <w:r>
              <w:rPr>
                <w:sz w:val="16"/>
              </w:rPr>
              <w:t>-0.08%</w:t>
            </w:r>
          </w:p>
        </w:tc>
        <w:tc>
          <w:tcPr>
            <w:tcW w:type="dxa" w:w="1361"/>
          </w:tcPr>
          <w:p>
            <w:pPr>
              <w:jc w:val="right"/>
            </w:pPr>
            <w:r/>
            <w:r>
              <w:rPr>
                <w:sz w:val="16"/>
              </w:rPr>
              <w:t>-0.15%</w:t>
            </w:r>
          </w:p>
        </w:tc>
      </w:tr>
      <w:tr>
        <w:tc>
          <w:tcPr>
            <w:tcW w:type="dxa" w:w="2268"/>
          </w:tcPr>
          <w:p>
            <w:r/>
            <w:r>
              <w:rPr>
                <w:sz w:val="16"/>
              </w:rPr>
              <w:t>1333 BRETON</w:t>
            </w:r>
          </w:p>
        </w:tc>
        <w:tc>
          <w:tcPr>
            <w:tcW w:type="dxa" w:w="1134"/>
          </w:tcPr>
          <w:p>
            <w:pPr>
              <w:jc w:val="right"/>
            </w:pPr>
            <w:r/>
            <w:r>
              <w:rPr>
                <w:sz w:val="16"/>
              </w:rPr>
              <w:t>2025-05-07</w:t>
            </w:r>
          </w:p>
        </w:tc>
        <w:tc>
          <w:tcPr>
            <w:tcW w:type="dxa" w:w="1077"/>
          </w:tcPr>
          <w:p>
            <w:pPr>
              <w:jc w:val="right"/>
            </w:pPr>
            <w:r/>
            <w:r>
              <w:rPr>
                <w:sz w:val="16"/>
              </w:rPr>
              <w:t>+61.1%</w:t>
            </w:r>
          </w:p>
        </w:tc>
        <w:tc>
          <w:tcPr>
            <w:tcW w:type="dxa" w:w="1077"/>
          </w:tcPr>
          <w:p>
            <w:pPr>
              <w:jc w:val="right"/>
            </w:pPr>
            <w:r/>
            <w:r>
              <w:rPr>
                <w:sz w:val="16"/>
              </w:rPr>
              <w:t>+38.3%</w:t>
            </w:r>
          </w:p>
        </w:tc>
        <w:tc>
          <w:tcPr>
            <w:tcW w:type="dxa" w:w="1247"/>
          </w:tcPr>
          <w:p>
            <w:pPr>
              <w:jc w:val="right"/>
            </w:pPr>
            <w:r/>
            <w:r>
              <w:rPr>
                <w:sz w:val="16"/>
              </w:rPr>
              <w:t>+0.13%</w:t>
            </w:r>
          </w:p>
        </w:tc>
        <w:tc>
          <w:tcPr>
            <w:tcW w:type="dxa" w:w="1361"/>
          </w:tcPr>
          <w:p>
            <w:pPr>
              <w:jc w:val="right"/>
            </w:pPr>
            <w:r/>
            <w:r>
              <w:rPr>
                <w:sz w:val="16"/>
              </w:rPr>
              <w:t>-0.23%</w:t>
            </w:r>
          </w:p>
        </w:tc>
      </w:tr>
      <w:tr>
        <w:tc>
          <w:tcPr>
            <w:tcW w:type="dxa" w:w="2268"/>
          </w:tcPr>
          <w:p>
            <w:r/>
            <w:r>
              <w:rPr>
                <w:sz w:val="16"/>
              </w:rPr>
              <w:t>2573 NEWTREND GROUP</w:t>
            </w:r>
          </w:p>
        </w:tc>
        <w:tc>
          <w:tcPr>
            <w:tcW w:type="dxa" w:w="1134"/>
          </w:tcPr>
          <w:p>
            <w:pPr>
              <w:jc w:val="right"/>
            </w:pPr>
            <w:r/>
            <w:r>
              <w:rPr>
                <w:sz w:val="16"/>
              </w:rPr>
              <w:t>2025-06-10</w:t>
            </w:r>
          </w:p>
        </w:tc>
        <w:tc>
          <w:tcPr>
            <w:tcW w:type="dxa" w:w="1077"/>
          </w:tcPr>
          <w:p>
            <w:pPr>
              <w:jc w:val="right"/>
            </w:pPr>
            <w:r/>
            <w:r>
              <w:rPr>
                <w:sz w:val="16"/>
              </w:rPr>
              <w:t>+60.0%</w:t>
            </w:r>
          </w:p>
        </w:tc>
        <w:tc>
          <w:tcPr>
            <w:tcW w:type="dxa" w:w="1077"/>
          </w:tcPr>
          <w:p>
            <w:pPr>
              <w:jc w:val="right"/>
            </w:pPr>
            <w:r/>
            <w:r>
              <w:rPr>
                <w:sz w:val="16"/>
              </w:rPr>
              <w:t>+21.4%</w:t>
            </w:r>
          </w:p>
        </w:tc>
        <w:tc>
          <w:tcPr>
            <w:tcW w:type="dxa" w:w="1247"/>
          </w:tcPr>
          <w:p>
            <w:pPr>
              <w:jc w:val="right"/>
            </w:pPr>
            <w:r/>
            <w:r>
              <w:rPr>
                <w:sz w:val="16"/>
              </w:rPr>
              <w:t>-0.08%</w:t>
            </w:r>
          </w:p>
        </w:tc>
        <w:tc>
          <w:tcPr>
            <w:tcW w:type="dxa" w:w="1361"/>
          </w:tcPr>
          <w:p>
            <w:pPr>
              <w:jc w:val="right"/>
            </w:pPr>
            <w:r/>
            <w:r>
              <w:rPr>
                <w:sz w:val="16"/>
              </w:rPr>
              <w:t>-0.15%</w:t>
            </w:r>
          </w:p>
        </w:tc>
      </w:tr>
      <w:tr>
        <w:tc>
          <w:tcPr>
            <w:tcW w:type="dxa" w:w="2268"/>
          </w:tcPr>
          <w:p>
            <w:r/>
            <w:r>
              <w:rPr>
                <w:sz w:val="16"/>
              </w:rPr>
              <w:t>2550 EASOU TECH</w:t>
            </w:r>
          </w:p>
        </w:tc>
        <w:tc>
          <w:tcPr>
            <w:tcW w:type="dxa" w:w="1134"/>
          </w:tcPr>
          <w:p>
            <w:pPr>
              <w:jc w:val="right"/>
            </w:pPr>
            <w:r/>
            <w:r>
              <w:rPr>
                <w:sz w:val="16"/>
              </w:rPr>
              <w:t>2024-06-07</w:t>
            </w:r>
          </w:p>
        </w:tc>
        <w:tc>
          <w:tcPr>
            <w:tcW w:type="dxa" w:w="1077"/>
          </w:tcPr>
          <w:p>
            <w:pPr>
              <w:jc w:val="right"/>
            </w:pPr>
            <w:r/>
            <w:r>
              <w:rPr>
                <w:sz w:val="16"/>
              </w:rPr>
              <w:t>+46.5%</w:t>
            </w:r>
          </w:p>
        </w:tc>
        <w:tc>
          <w:tcPr>
            <w:tcW w:type="dxa" w:w="1077"/>
          </w:tcPr>
          <w:p>
            <w:pPr>
              <w:jc w:val="right"/>
            </w:pPr>
            <w:r/>
            <w:r>
              <w:rPr>
                <w:sz w:val="16"/>
              </w:rPr>
              <w:t>+91.7%</w:t>
            </w:r>
          </w:p>
        </w:tc>
        <w:tc>
          <w:tcPr>
            <w:tcW w:type="dxa" w:w="1247"/>
          </w:tcPr>
          <w:p>
            <w:pPr>
              <w:jc w:val="right"/>
            </w:pPr>
            <w:r/>
            <w:r>
              <w:rPr>
                <w:sz w:val="16"/>
              </w:rPr>
              <w:t>-0.59%</w:t>
            </w:r>
          </w:p>
        </w:tc>
        <w:tc>
          <w:tcPr>
            <w:tcW w:type="dxa" w:w="1361"/>
          </w:tcPr>
          <w:p>
            <w:pPr>
              <w:jc w:val="right"/>
            </w:pPr>
            <w:r/>
            <w:r>
              <w:rPr>
                <w:sz w:val="16"/>
              </w:rPr>
              <w:t>-0.68%</w:t>
            </w:r>
          </w:p>
        </w:tc>
      </w:tr>
      <w:tr>
        <w:tc>
          <w:tcPr>
            <w:tcW w:type="dxa" w:w="2268"/>
          </w:tcPr>
          <w:p>
            <w:r/>
            <w:r>
              <w:rPr>
                <w:sz w:val="16"/>
              </w:rPr>
              <w:t>2443 AUTOSTREETS</w:t>
            </w:r>
          </w:p>
        </w:tc>
        <w:tc>
          <w:tcPr>
            <w:tcW w:type="dxa" w:w="1134"/>
          </w:tcPr>
          <w:p>
            <w:pPr>
              <w:jc w:val="right"/>
            </w:pPr>
            <w:r/>
            <w:r>
              <w:rPr>
                <w:sz w:val="16"/>
              </w:rPr>
              <w:t>2024-05-31</w:t>
            </w:r>
          </w:p>
        </w:tc>
        <w:tc>
          <w:tcPr>
            <w:tcW w:type="dxa" w:w="1077"/>
          </w:tcPr>
          <w:p>
            <w:pPr>
              <w:jc w:val="right"/>
            </w:pPr>
            <w:r/>
            <w:r>
              <w:rPr>
                <w:sz w:val="16"/>
              </w:rPr>
              <w:t>+42.2%</w:t>
            </w:r>
          </w:p>
        </w:tc>
        <w:tc>
          <w:tcPr>
            <w:tcW w:type="dxa" w:w="1077"/>
          </w:tcPr>
          <w:p>
            <w:pPr>
              <w:jc w:val="right"/>
            </w:pPr>
            <w:r/>
            <w:r>
              <w:rPr>
                <w:sz w:val="16"/>
              </w:rPr>
              <w:t>+26.9%</w:t>
            </w:r>
          </w:p>
        </w:tc>
        <w:tc>
          <w:tcPr>
            <w:tcW w:type="dxa" w:w="1247"/>
          </w:tcPr>
          <w:p>
            <w:pPr>
              <w:jc w:val="right"/>
            </w:pPr>
            <w:r/>
            <w:r>
              <w:rPr>
                <w:sz w:val="16"/>
              </w:rPr>
              <w:t>-0.83%</w:t>
            </w:r>
          </w:p>
        </w:tc>
        <w:tc>
          <w:tcPr>
            <w:tcW w:type="dxa" w:w="1361"/>
          </w:tcPr>
          <w:p>
            <w:pPr>
              <w:jc w:val="right"/>
            </w:pPr>
            <w:r/>
            <w:r>
              <w:rPr>
                <w:sz w:val="16"/>
              </w:rPr>
              <w:t>-1.09%</w:t>
            </w:r>
          </w:p>
        </w:tc>
      </w:tr>
      <w:tr>
        <w:tc>
          <w:tcPr>
            <w:tcW w:type="dxa" w:w="2268"/>
          </w:tcPr>
          <w:p>
            <w:r/>
            <w:r>
              <w:rPr>
                <w:sz w:val="16"/>
              </w:rPr>
              <w:t>2625 JIANGSU HORIZON</w:t>
            </w:r>
          </w:p>
        </w:tc>
        <w:tc>
          <w:tcPr>
            <w:tcW w:type="dxa" w:w="1134"/>
          </w:tcPr>
          <w:p>
            <w:pPr>
              <w:jc w:val="right"/>
            </w:pPr>
            <w:r/>
            <w:r>
              <w:rPr>
                <w:sz w:val="16"/>
              </w:rPr>
              <w:t>2025-03-31</w:t>
            </w:r>
          </w:p>
        </w:tc>
        <w:tc>
          <w:tcPr>
            <w:tcW w:type="dxa" w:w="1077"/>
          </w:tcPr>
          <w:p>
            <w:pPr>
              <w:jc w:val="right"/>
            </w:pPr>
            <w:r/>
            <w:r>
              <w:rPr>
                <w:sz w:val="16"/>
              </w:rPr>
              <w:t>+37.6%</w:t>
            </w:r>
          </w:p>
        </w:tc>
        <w:tc>
          <w:tcPr>
            <w:tcW w:type="dxa" w:w="1077"/>
          </w:tcPr>
          <w:p>
            <w:pPr>
              <w:jc w:val="right"/>
            </w:pPr>
            <w:r/>
            <w:r>
              <w:rPr>
                <w:sz w:val="16"/>
              </w:rPr>
              <w:t>+0.0%</w:t>
            </w:r>
          </w:p>
        </w:tc>
        <w:tc>
          <w:tcPr>
            <w:tcW w:type="dxa" w:w="1247"/>
          </w:tcPr>
          <w:p>
            <w:pPr>
              <w:jc w:val="right"/>
            </w:pPr>
            <w:r/>
            <w:r>
              <w:rPr>
                <w:sz w:val="16"/>
              </w:rPr>
              <w:t>-1.31%</w:t>
            </w:r>
          </w:p>
        </w:tc>
        <w:tc>
          <w:tcPr>
            <w:tcW w:type="dxa" w:w="1361"/>
          </w:tcPr>
          <w:p>
            <w:pPr>
              <w:jc w:val="right"/>
            </w:pPr>
            <w:r/>
            <w:r>
              <w:rPr>
                <w:sz w:val="16"/>
              </w:rPr>
              <w:t>-1.05%</w:t>
            </w:r>
          </w:p>
        </w:tc>
      </w:tr>
      <w:tr>
        <w:tc>
          <w:tcPr>
            <w:tcW w:type="dxa" w:w="2268"/>
          </w:tcPr>
          <w:p>
            <w:r/>
            <w:r>
              <w:rPr>
                <w:sz w:val="16"/>
              </w:rPr>
              <w:t>2505 EDA GROUP HLDGS</w:t>
            </w:r>
          </w:p>
        </w:tc>
        <w:tc>
          <w:tcPr>
            <w:tcW w:type="dxa" w:w="1134"/>
          </w:tcPr>
          <w:p>
            <w:pPr>
              <w:jc w:val="right"/>
            </w:pPr>
            <w:r/>
            <w:r>
              <w:rPr>
                <w:sz w:val="16"/>
              </w:rPr>
              <w:t>2024-05-28</w:t>
            </w:r>
          </w:p>
        </w:tc>
        <w:tc>
          <w:tcPr>
            <w:tcW w:type="dxa" w:w="1077"/>
          </w:tcPr>
          <w:p>
            <w:pPr>
              <w:jc w:val="right"/>
            </w:pPr>
            <w:r/>
            <w:r>
              <w:rPr>
                <w:sz w:val="16"/>
              </w:rPr>
              <w:t>+35.5%</w:t>
            </w:r>
          </w:p>
        </w:tc>
        <w:tc>
          <w:tcPr>
            <w:tcW w:type="dxa" w:w="1077"/>
          </w:tcPr>
          <w:p>
            <w:pPr>
              <w:jc w:val="right"/>
            </w:pPr>
            <w:r/>
            <w:r>
              <w:rPr>
                <w:sz w:val="16"/>
              </w:rPr>
              <w:t>+84.2%</w:t>
            </w:r>
          </w:p>
        </w:tc>
        <w:tc>
          <w:tcPr>
            <w:tcW w:type="dxa" w:w="1247"/>
          </w:tcPr>
          <w:p>
            <w:pPr>
              <w:jc w:val="right"/>
            </w:pPr>
            <w:r/>
            <w:r>
              <w:rPr>
                <w:sz w:val="16"/>
              </w:rPr>
              <w:t>-0.03%</w:t>
            </w:r>
          </w:p>
        </w:tc>
        <w:tc>
          <w:tcPr>
            <w:tcW w:type="dxa" w:w="1361"/>
          </w:tcPr>
          <w:p>
            <w:pPr>
              <w:jc w:val="right"/>
            </w:pPr>
            <w:r/>
            <w:r>
              <w:rPr>
                <w:sz w:val="16"/>
              </w:rPr>
              <w:t>-0.03%</w:t>
            </w:r>
          </w:p>
        </w:tc>
      </w:tr>
      <w:tr>
        <w:tc>
          <w:tcPr>
            <w:tcW w:type="dxa" w:w="2268"/>
          </w:tcPr>
          <w:p>
            <w:r/>
            <w:r>
              <w:rPr>
                <w:sz w:val="16"/>
              </w:rPr>
              <w:t>2587 HEALTHYWAY INC</w:t>
            </w:r>
          </w:p>
        </w:tc>
        <w:tc>
          <w:tcPr>
            <w:tcW w:type="dxa" w:w="1134"/>
          </w:tcPr>
          <w:p>
            <w:pPr>
              <w:jc w:val="right"/>
            </w:pPr>
            <w:r/>
            <w:r>
              <w:rPr>
                <w:sz w:val="16"/>
              </w:rPr>
              <w:t>2024-12-30</w:t>
            </w:r>
          </w:p>
        </w:tc>
        <w:tc>
          <w:tcPr>
            <w:tcW w:type="dxa" w:w="1077"/>
          </w:tcPr>
          <w:p>
            <w:pPr>
              <w:jc w:val="right"/>
            </w:pPr>
            <w:r/>
            <w:r>
              <w:rPr>
                <w:sz w:val="16"/>
              </w:rPr>
              <w:t>+27.6%</w:t>
            </w:r>
          </w:p>
        </w:tc>
        <w:tc>
          <w:tcPr>
            <w:tcW w:type="dxa" w:w="1077"/>
          </w:tcPr>
          <w:p>
            <w:pPr>
              <w:jc w:val="right"/>
            </w:pPr>
            <w:r/>
            <w:r>
              <w:rPr>
                <w:sz w:val="16"/>
              </w:rPr>
              <w:t>+36.7%</w:t>
            </w:r>
          </w:p>
        </w:tc>
        <w:tc>
          <w:tcPr>
            <w:tcW w:type="dxa" w:w="1247"/>
          </w:tcPr>
          <w:p>
            <w:pPr>
              <w:jc w:val="right"/>
            </w:pPr>
            <w:r/>
            <w:r>
              <w:rPr>
                <w:sz w:val="16"/>
              </w:rPr>
              <w:t>-0.24%</w:t>
            </w:r>
          </w:p>
        </w:tc>
        <w:tc>
          <w:tcPr>
            <w:tcW w:type="dxa" w:w="1361"/>
          </w:tcPr>
          <w:p>
            <w:pPr>
              <w:jc w:val="right"/>
            </w:pPr>
            <w:r/>
            <w:r>
              <w:rPr>
                <w:sz w:val="16"/>
              </w:rPr>
              <w:t>-0.34%</w:t>
            </w:r>
          </w:p>
        </w:tc>
      </w:tr>
    </w:tbl>
    <w:p>
      <w:pPr>
        <w:spacing w:after="40"/>
      </w:pPr>
    </w:p>
    <w:p>
      <w:pPr>
        <w:spacing w:after="120"/>
      </w:pPr>
      <w:r>
        <w:rPr>
          <w:b w:val="0"/>
          <w:i w:val="0"/>
          <w:sz w:val="21"/>
        </w:rPr>
        <w:t>The biggest pops came on days the index barely moved. Sentiment was not driving these. If it had been, the effect would show up across the whole book, and it does not.</w:t>
      </w:r>
    </w:p>
    <w:p>
      <w:pPr>
        <w:spacing w:after="120"/>
      </w:pPr>
      <w:r>
        <w:rPr>
          <w:b w:val="0"/>
          <w:i w:val="0"/>
          <w:sz w:val="21"/>
        </w:rPr>
        <w:t>Three other explanations were tested inside the cluster and none holds: the sector (the cluster spans industrials, healthcare, consumer, materials, tech and financials with no sector pattern), the cornerstone share (rank correlation with the day's move 0.13), and the year. What does correlate is the retail multiple (0.73), which is the same starved-float story from the demand side.</w:t>
      </w:r>
    </w:p>
    <w:p>
      <w:pPr>
        <w:spacing w:after="80"/>
      </w:pPr>
      <w:r>
        <w:rPr>
          <w:b/>
          <w:i w:val="0"/>
          <w:sz w:val="25"/>
        </w:rPr>
        <w:t>7. Grey market against the pop, and against the close</w:t>
      </w:r>
    </w:p>
    <w:p>
      <w:pPr>
        <w:spacing w:after="120"/>
      </w:pPr>
      <w:r>
        <w:rPr>
          <w:b w:val="0"/>
          <w:i w:val="0"/>
          <w:sz w:val="21"/>
        </w:rPr>
        <w:t>26 of your 27 deals have a grey-market close on file. Here is each one against the pop and against the day-one close, which is the comparison you asked for.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494"/>
          </w:tcPr>
          <w:p>
            <w:r/>
            <w:r>
              <w:rPr>
                <w:b/>
                <w:sz w:val="16"/>
              </w:rPr>
              <w:t>Deal</w:t>
            </w:r>
          </w:p>
        </w:tc>
        <w:tc>
          <w:tcPr>
            <w:tcW w:type="dxa" w:w="1247"/>
          </w:tcPr>
          <w:p>
            <w:r/>
            <w:r>
              <w:rPr>
                <w:b/>
                <w:sz w:val="16"/>
              </w:rPr>
              <w:t>Grey vs offer</w:t>
            </w:r>
          </w:p>
        </w:tc>
        <w:tc>
          <w:tcPr>
            <w:tcW w:type="dxa" w:w="1134"/>
          </w:tcPr>
          <w:p>
            <w:r/>
            <w:r>
              <w:rPr>
                <w:b/>
                <w:sz w:val="16"/>
              </w:rPr>
              <w:t>Pop</w:t>
            </w:r>
          </w:p>
        </w:tc>
        <w:tc>
          <w:tcPr>
            <w:tcW w:type="dxa" w:w="1247"/>
          </w:tcPr>
          <w:p>
            <w:r/>
            <w:r>
              <w:rPr>
                <w:b/>
                <w:sz w:val="16"/>
              </w:rPr>
              <w:t>Pop − grey</w:t>
            </w:r>
          </w:p>
        </w:tc>
        <w:tc>
          <w:tcPr>
            <w:tcW w:type="dxa" w:w="1134"/>
          </w:tcPr>
          <w:p>
            <w:r/>
            <w:r>
              <w:rPr>
                <w:b/>
                <w:sz w:val="16"/>
              </w:rPr>
              <w:t>Day-1</w:t>
            </w:r>
          </w:p>
        </w:tc>
        <w:tc>
          <w:tcPr>
            <w:tcW w:type="dxa" w:w="1361"/>
          </w:tcPr>
          <w:p>
            <w:r/>
            <w:r>
              <w:rPr>
                <w:b/>
                <w:sz w:val="16"/>
              </w:rPr>
              <w:t>Day-1 − grey</w:t>
            </w:r>
          </w:p>
        </w:tc>
      </w:tr>
      <w:tr>
        <w:tc>
          <w:tcPr>
            <w:tcW w:type="dxa" w:w="2494"/>
          </w:tcPr>
          <w:p>
            <w:r/>
            <w:r>
              <w:rPr>
                <w:sz w:val="16"/>
              </w:rPr>
              <w:t>2535 WK GROUP</w:t>
            </w:r>
          </w:p>
        </w:tc>
        <w:tc>
          <w:tcPr>
            <w:tcW w:type="dxa" w:w="1247"/>
          </w:tcPr>
          <w:p>
            <w:pPr>
              <w:jc w:val="right"/>
            </w:pPr>
            <w:r/>
            <w:r>
              <w:rPr>
                <w:sz w:val="16"/>
              </w:rPr>
              <w:t>+164.0%</w:t>
            </w:r>
          </w:p>
        </w:tc>
        <w:tc>
          <w:tcPr>
            <w:tcW w:type="dxa" w:w="1134"/>
          </w:tcPr>
          <w:p>
            <w:pPr>
              <w:jc w:val="right"/>
            </w:pPr>
            <w:r/>
            <w:r>
              <w:rPr>
                <w:sz w:val="16"/>
              </w:rPr>
              <w:t>+160.0%</w:t>
            </w:r>
          </w:p>
        </w:tc>
        <w:tc>
          <w:tcPr>
            <w:tcW w:type="dxa" w:w="1247"/>
          </w:tcPr>
          <w:p>
            <w:pPr>
              <w:jc w:val="right"/>
            </w:pPr>
            <w:r/>
            <w:r>
              <w:rPr>
                <w:sz w:val="16"/>
              </w:rPr>
              <w:t>-4.0%</w:t>
            </w:r>
          </w:p>
        </w:tc>
        <w:tc>
          <w:tcPr>
            <w:tcW w:type="dxa" w:w="1134"/>
          </w:tcPr>
          <w:p>
            <w:pPr>
              <w:jc w:val="right"/>
            </w:pPr>
            <w:r/>
            <w:r>
              <w:rPr>
                <w:sz w:val="16"/>
              </w:rPr>
              <w:t>+136.0%</w:t>
            </w:r>
          </w:p>
        </w:tc>
        <w:tc>
          <w:tcPr>
            <w:tcW w:type="dxa" w:w="1361"/>
          </w:tcPr>
          <w:p>
            <w:pPr>
              <w:jc w:val="right"/>
            </w:pPr>
            <w:r/>
            <w:r>
              <w:rPr>
                <w:sz w:val="16"/>
              </w:rPr>
              <w:t>-28.0%</w:t>
            </w:r>
          </w:p>
        </w:tc>
      </w:tr>
      <w:tr>
        <w:tc>
          <w:tcPr>
            <w:tcW w:type="dxa" w:w="2494"/>
          </w:tcPr>
          <w:p>
            <w:r/>
            <w:r>
              <w:rPr>
                <w:sz w:val="16"/>
              </w:rPr>
              <w:t>2627 AB&amp;B BIO-TECH-B</w:t>
            </w:r>
          </w:p>
        </w:tc>
        <w:tc>
          <w:tcPr>
            <w:tcW w:type="dxa" w:w="1247"/>
          </w:tcPr>
          <w:p>
            <w:pPr>
              <w:jc w:val="right"/>
            </w:pPr>
            <w:r/>
            <w:r>
              <w:rPr>
                <w:sz w:val="16"/>
              </w:rPr>
              <w:t>+162.6%</w:t>
            </w:r>
          </w:p>
        </w:tc>
        <w:tc>
          <w:tcPr>
            <w:tcW w:type="dxa" w:w="1134"/>
          </w:tcPr>
          <w:p>
            <w:pPr>
              <w:jc w:val="right"/>
            </w:pPr>
            <w:r/>
            <w:r>
              <w:rPr>
                <w:sz w:val="16"/>
              </w:rPr>
              <w:t>+155.8%</w:t>
            </w:r>
          </w:p>
        </w:tc>
        <w:tc>
          <w:tcPr>
            <w:tcW w:type="dxa" w:w="1247"/>
          </w:tcPr>
          <w:p>
            <w:pPr>
              <w:jc w:val="right"/>
            </w:pPr>
            <w:r/>
            <w:r>
              <w:rPr>
                <w:sz w:val="16"/>
              </w:rPr>
              <w:t>-6.8%</w:t>
            </w:r>
          </w:p>
        </w:tc>
        <w:tc>
          <w:tcPr>
            <w:tcW w:type="dxa" w:w="1134"/>
          </w:tcPr>
          <w:p>
            <w:pPr>
              <w:jc w:val="right"/>
            </w:pPr>
            <w:r/>
            <w:r>
              <w:rPr>
                <w:sz w:val="16"/>
              </w:rPr>
              <w:t>+158.0%</w:t>
            </w:r>
          </w:p>
        </w:tc>
        <w:tc>
          <w:tcPr>
            <w:tcW w:type="dxa" w:w="1361"/>
          </w:tcPr>
          <w:p>
            <w:pPr>
              <w:jc w:val="right"/>
            </w:pPr>
            <w:r/>
            <w:r>
              <w:rPr>
                <w:sz w:val="16"/>
              </w:rPr>
              <w:t>-4.6%</w:t>
            </w:r>
          </w:p>
        </w:tc>
      </w:tr>
      <w:tr>
        <w:tc>
          <w:tcPr>
            <w:tcW w:type="dxa" w:w="2494"/>
          </w:tcPr>
          <w:p>
            <w:r/>
            <w:r>
              <w:rPr>
                <w:sz w:val="16"/>
              </w:rPr>
              <w:t>2553 SHOUGANG LANZA</w:t>
            </w:r>
          </w:p>
        </w:tc>
        <w:tc>
          <w:tcPr>
            <w:tcW w:type="dxa" w:w="1247"/>
          </w:tcPr>
          <w:p>
            <w:pPr>
              <w:jc w:val="right"/>
            </w:pPr>
            <w:r/>
            <w:r>
              <w:rPr>
                <w:sz w:val="16"/>
              </w:rPr>
              <w:t>+146.6%</w:t>
            </w:r>
          </w:p>
        </w:tc>
        <w:tc>
          <w:tcPr>
            <w:tcW w:type="dxa" w:w="1134"/>
          </w:tcPr>
          <w:p>
            <w:pPr>
              <w:jc w:val="right"/>
            </w:pPr>
            <w:r/>
            <w:r>
              <w:rPr>
                <w:sz w:val="16"/>
              </w:rPr>
              <w:t>+91.8%</w:t>
            </w:r>
          </w:p>
        </w:tc>
        <w:tc>
          <w:tcPr>
            <w:tcW w:type="dxa" w:w="1247"/>
          </w:tcPr>
          <w:p>
            <w:pPr>
              <w:jc w:val="right"/>
            </w:pPr>
            <w:r/>
            <w:r>
              <w:rPr>
                <w:sz w:val="16"/>
              </w:rPr>
              <w:t>-54.8%</w:t>
            </w:r>
          </w:p>
        </w:tc>
        <w:tc>
          <w:tcPr>
            <w:tcW w:type="dxa" w:w="1134"/>
          </w:tcPr>
          <w:p>
            <w:pPr>
              <w:jc w:val="right"/>
            </w:pPr>
            <w:r/>
            <w:r>
              <w:rPr>
                <w:sz w:val="16"/>
              </w:rPr>
              <w:t>+44.2%</w:t>
            </w:r>
          </w:p>
        </w:tc>
        <w:tc>
          <w:tcPr>
            <w:tcW w:type="dxa" w:w="1361"/>
          </w:tcPr>
          <w:p>
            <w:pPr>
              <w:jc w:val="right"/>
            </w:pPr>
            <w:r/>
            <w:r>
              <w:rPr>
                <w:sz w:val="16"/>
              </w:rPr>
              <w:t>-102.3%</w:t>
            </w:r>
          </w:p>
        </w:tc>
      </w:tr>
      <w:tr>
        <w:tc>
          <w:tcPr>
            <w:tcW w:type="dxa" w:w="2494"/>
          </w:tcPr>
          <w:p>
            <w:r/>
            <w:r>
              <w:rPr>
                <w:sz w:val="16"/>
              </w:rPr>
              <w:t>2497 FUJING HOLDINGS</w:t>
            </w:r>
          </w:p>
        </w:tc>
        <w:tc>
          <w:tcPr>
            <w:tcW w:type="dxa" w:w="1247"/>
          </w:tcPr>
          <w:p>
            <w:pPr>
              <w:jc w:val="right"/>
            </w:pPr>
            <w:r/>
            <w:r>
              <w:rPr>
                <w:sz w:val="16"/>
              </w:rPr>
              <w:t>+103.7%</w:t>
            </w:r>
          </w:p>
        </w:tc>
        <w:tc>
          <w:tcPr>
            <w:tcW w:type="dxa" w:w="1134"/>
          </w:tcPr>
          <w:p>
            <w:pPr>
              <w:jc w:val="right"/>
            </w:pPr>
            <w:r/>
            <w:r>
              <w:rPr>
                <w:sz w:val="16"/>
              </w:rPr>
              <w:t>+97.2%</w:t>
            </w:r>
          </w:p>
        </w:tc>
        <w:tc>
          <w:tcPr>
            <w:tcW w:type="dxa" w:w="1247"/>
          </w:tcPr>
          <w:p>
            <w:pPr>
              <w:jc w:val="right"/>
            </w:pPr>
            <w:r/>
            <w:r>
              <w:rPr>
                <w:sz w:val="16"/>
              </w:rPr>
              <w:t>-6.5%</w:t>
            </w:r>
          </w:p>
        </w:tc>
        <w:tc>
          <w:tcPr>
            <w:tcW w:type="dxa" w:w="1134"/>
          </w:tcPr>
          <w:p>
            <w:pPr>
              <w:jc w:val="right"/>
            </w:pPr>
            <w:r/>
            <w:r>
              <w:rPr>
                <w:sz w:val="16"/>
              </w:rPr>
              <w:t>+37.0%</w:t>
            </w:r>
          </w:p>
        </w:tc>
        <w:tc>
          <w:tcPr>
            <w:tcW w:type="dxa" w:w="1361"/>
          </w:tcPr>
          <w:p>
            <w:pPr>
              <w:jc w:val="right"/>
            </w:pPr>
            <w:r/>
            <w:r>
              <w:rPr>
                <w:sz w:val="16"/>
              </w:rPr>
              <w:t>-66.7%</w:t>
            </w:r>
          </w:p>
        </w:tc>
      </w:tr>
      <w:tr>
        <w:tc>
          <w:tcPr>
            <w:tcW w:type="dxa" w:w="2494"/>
          </w:tcPr>
          <w:p>
            <w:r/>
            <w:r>
              <w:rPr>
                <w:sz w:val="16"/>
              </w:rPr>
              <w:t>9881 RONGTA TECH</w:t>
            </w:r>
          </w:p>
        </w:tc>
        <w:tc>
          <w:tcPr>
            <w:tcW w:type="dxa" w:w="1247"/>
          </w:tcPr>
          <w:p>
            <w:pPr>
              <w:jc w:val="right"/>
            </w:pPr>
            <w:r/>
            <w:r>
              <w:rPr>
                <w:sz w:val="16"/>
              </w:rPr>
              <w:t>+76.0%</w:t>
            </w:r>
          </w:p>
        </w:tc>
        <w:tc>
          <w:tcPr>
            <w:tcW w:type="dxa" w:w="1134"/>
          </w:tcPr>
          <w:p>
            <w:pPr>
              <w:jc w:val="right"/>
            </w:pPr>
            <w:r/>
            <w:r>
              <w:rPr>
                <w:sz w:val="16"/>
              </w:rPr>
              <w:t>+66.0%</w:t>
            </w:r>
          </w:p>
        </w:tc>
        <w:tc>
          <w:tcPr>
            <w:tcW w:type="dxa" w:w="1247"/>
          </w:tcPr>
          <w:p>
            <w:pPr>
              <w:jc w:val="right"/>
            </w:pPr>
            <w:r/>
            <w:r>
              <w:rPr>
                <w:sz w:val="16"/>
              </w:rPr>
              <w:t>-10.0%</w:t>
            </w:r>
          </w:p>
        </w:tc>
        <w:tc>
          <w:tcPr>
            <w:tcW w:type="dxa" w:w="1134"/>
          </w:tcPr>
          <w:p>
            <w:pPr>
              <w:jc w:val="right"/>
            </w:pPr>
            <w:r/>
            <w:r>
              <w:rPr>
                <w:sz w:val="16"/>
              </w:rPr>
              <w:t>+42.0%</w:t>
            </w:r>
          </w:p>
        </w:tc>
        <w:tc>
          <w:tcPr>
            <w:tcW w:type="dxa" w:w="1361"/>
          </w:tcPr>
          <w:p>
            <w:pPr>
              <w:jc w:val="right"/>
            </w:pPr>
            <w:r/>
            <w:r>
              <w:rPr>
                <w:sz w:val="16"/>
              </w:rPr>
              <w:t>-34.0%</w:t>
            </w:r>
          </w:p>
        </w:tc>
      </w:tr>
      <w:tr>
        <w:tc>
          <w:tcPr>
            <w:tcW w:type="dxa" w:w="2494"/>
          </w:tcPr>
          <w:p>
            <w:r/>
            <w:r>
              <w:rPr>
                <w:sz w:val="16"/>
              </w:rPr>
              <w:t>2573 NEWTREND GROUP</w:t>
            </w:r>
          </w:p>
        </w:tc>
        <w:tc>
          <w:tcPr>
            <w:tcW w:type="dxa" w:w="1247"/>
          </w:tcPr>
          <w:p>
            <w:pPr>
              <w:jc w:val="right"/>
            </w:pPr>
            <w:r/>
            <w:r>
              <w:rPr>
                <w:sz w:val="16"/>
              </w:rPr>
              <w:t>+72.5%</w:t>
            </w:r>
          </w:p>
        </w:tc>
        <w:tc>
          <w:tcPr>
            <w:tcW w:type="dxa" w:w="1134"/>
          </w:tcPr>
          <w:p>
            <w:pPr>
              <w:jc w:val="right"/>
            </w:pPr>
            <w:r/>
            <w:r>
              <w:rPr>
                <w:sz w:val="16"/>
              </w:rPr>
              <w:t>+60.0%</w:t>
            </w:r>
          </w:p>
        </w:tc>
        <w:tc>
          <w:tcPr>
            <w:tcW w:type="dxa" w:w="1247"/>
          </w:tcPr>
          <w:p>
            <w:pPr>
              <w:jc w:val="right"/>
            </w:pPr>
            <w:r/>
            <w:r>
              <w:rPr>
                <w:sz w:val="16"/>
              </w:rPr>
              <w:t>-12.4%</w:t>
            </w:r>
          </w:p>
        </w:tc>
        <w:tc>
          <w:tcPr>
            <w:tcW w:type="dxa" w:w="1134"/>
          </w:tcPr>
          <w:p>
            <w:pPr>
              <w:jc w:val="right"/>
            </w:pPr>
            <w:r/>
            <w:r>
              <w:rPr>
                <w:sz w:val="16"/>
              </w:rPr>
              <w:t>+21.4%</w:t>
            </w:r>
          </w:p>
        </w:tc>
        <w:tc>
          <w:tcPr>
            <w:tcW w:type="dxa" w:w="1361"/>
          </w:tcPr>
          <w:p>
            <w:pPr>
              <w:jc w:val="right"/>
            </w:pPr>
            <w:r/>
            <w:r>
              <w:rPr>
                <w:sz w:val="16"/>
              </w:rPr>
              <w:t>-51.1%</w:t>
            </w:r>
          </w:p>
        </w:tc>
      </w:tr>
      <w:tr>
        <w:tc>
          <w:tcPr>
            <w:tcW w:type="dxa" w:w="2494"/>
          </w:tcPr>
          <w:p>
            <w:r/>
            <w:r>
              <w:rPr>
                <w:sz w:val="16"/>
              </w:rPr>
              <w:t>2881 WUHAN YOUJI</w:t>
            </w:r>
          </w:p>
        </w:tc>
        <w:tc>
          <w:tcPr>
            <w:tcW w:type="dxa" w:w="1247"/>
          </w:tcPr>
          <w:p>
            <w:pPr>
              <w:jc w:val="right"/>
            </w:pPr>
            <w:r/>
            <w:r>
              <w:rPr>
                <w:sz w:val="16"/>
              </w:rPr>
              <w:t>+71.6%</w:t>
            </w:r>
          </w:p>
        </w:tc>
        <w:tc>
          <w:tcPr>
            <w:tcW w:type="dxa" w:w="1134"/>
          </w:tcPr>
          <w:p>
            <w:pPr>
              <w:jc w:val="right"/>
            </w:pPr>
            <w:r/>
            <w:r>
              <w:rPr>
                <w:sz w:val="16"/>
              </w:rPr>
              <w:t>+79.6%</w:t>
            </w:r>
          </w:p>
        </w:tc>
        <w:tc>
          <w:tcPr>
            <w:tcW w:type="dxa" w:w="1247"/>
          </w:tcPr>
          <w:p>
            <w:pPr>
              <w:jc w:val="right"/>
            </w:pPr>
            <w:r/>
            <w:r>
              <w:rPr>
                <w:sz w:val="16"/>
              </w:rPr>
              <w:t>+8.0%</w:t>
            </w:r>
          </w:p>
        </w:tc>
        <w:tc>
          <w:tcPr>
            <w:tcW w:type="dxa" w:w="1134"/>
          </w:tcPr>
          <w:p>
            <w:pPr>
              <w:jc w:val="right"/>
            </w:pPr>
            <w:r/>
            <w:r>
              <w:rPr>
                <w:sz w:val="16"/>
              </w:rPr>
              <w:t>+27.6%</w:t>
            </w:r>
          </w:p>
        </w:tc>
        <w:tc>
          <w:tcPr>
            <w:tcW w:type="dxa" w:w="1361"/>
          </w:tcPr>
          <w:p>
            <w:pPr>
              <w:jc w:val="right"/>
            </w:pPr>
            <w:r/>
            <w:r>
              <w:rPr>
                <w:sz w:val="16"/>
              </w:rPr>
              <w:t>-44.0%</w:t>
            </w:r>
          </w:p>
        </w:tc>
      </w:tr>
      <w:tr>
        <w:tc>
          <w:tcPr>
            <w:tcW w:type="dxa" w:w="2494"/>
          </w:tcPr>
          <w:p>
            <w:r/>
            <w:r>
              <w:rPr>
                <w:sz w:val="16"/>
              </w:rPr>
              <w:t>2477 WELLCELL HOLD</w:t>
            </w:r>
          </w:p>
        </w:tc>
        <w:tc>
          <w:tcPr>
            <w:tcW w:type="dxa" w:w="1247"/>
          </w:tcPr>
          <w:p>
            <w:pPr>
              <w:jc w:val="right"/>
            </w:pPr>
            <w:r/>
            <w:r>
              <w:rPr>
                <w:sz w:val="16"/>
              </w:rPr>
              <w:t>+64.5%</w:t>
            </w:r>
          </w:p>
        </w:tc>
        <w:tc>
          <w:tcPr>
            <w:tcW w:type="dxa" w:w="1134"/>
          </w:tcPr>
          <w:p>
            <w:pPr>
              <w:jc w:val="right"/>
            </w:pPr>
            <w:r/>
            <w:r>
              <w:rPr>
                <w:sz w:val="16"/>
              </w:rPr>
              <w:t>+77.0%</w:t>
            </w:r>
          </w:p>
        </w:tc>
        <w:tc>
          <w:tcPr>
            <w:tcW w:type="dxa" w:w="1247"/>
          </w:tcPr>
          <w:p>
            <w:pPr>
              <w:jc w:val="right"/>
            </w:pPr>
            <w:r/>
            <w:r>
              <w:rPr>
                <w:sz w:val="16"/>
              </w:rPr>
              <w:t>+12.5%</w:t>
            </w:r>
          </w:p>
        </w:tc>
        <w:tc>
          <w:tcPr>
            <w:tcW w:type="dxa" w:w="1134"/>
          </w:tcPr>
          <w:p>
            <w:pPr>
              <w:jc w:val="right"/>
            </w:pPr>
            <w:r/>
            <w:r>
              <w:rPr>
                <w:sz w:val="16"/>
              </w:rPr>
              <w:t>+164.0%</w:t>
            </w:r>
          </w:p>
        </w:tc>
        <w:tc>
          <w:tcPr>
            <w:tcW w:type="dxa" w:w="1361"/>
          </w:tcPr>
          <w:p>
            <w:pPr>
              <w:jc w:val="right"/>
            </w:pPr>
            <w:r/>
            <w:r>
              <w:rPr>
                <w:sz w:val="16"/>
              </w:rPr>
              <w:t>+99.5%</w:t>
            </w:r>
          </w:p>
        </w:tc>
      </w:tr>
      <w:tr>
        <w:tc>
          <w:tcPr>
            <w:tcW w:type="dxa" w:w="2494"/>
          </w:tcPr>
          <w:p>
            <w:r/>
            <w:r>
              <w:rPr>
                <w:sz w:val="16"/>
              </w:rPr>
              <w:t>2443 AUTOSTREETS</w:t>
            </w:r>
          </w:p>
        </w:tc>
        <w:tc>
          <w:tcPr>
            <w:tcW w:type="dxa" w:w="1247"/>
          </w:tcPr>
          <w:p>
            <w:pPr>
              <w:jc w:val="right"/>
            </w:pPr>
            <w:r/>
            <w:r>
              <w:rPr>
                <w:sz w:val="16"/>
              </w:rPr>
              <w:t>+44.3%</w:t>
            </w:r>
          </w:p>
        </w:tc>
        <w:tc>
          <w:tcPr>
            <w:tcW w:type="dxa" w:w="1134"/>
          </w:tcPr>
          <w:p>
            <w:pPr>
              <w:jc w:val="right"/>
            </w:pPr>
            <w:r/>
            <w:r>
              <w:rPr>
                <w:sz w:val="16"/>
              </w:rPr>
              <w:t>+42.2%</w:t>
            </w:r>
          </w:p>
        </w:tc>
        <w:tc>
          <w:tcPr>
            <w:tcW w:type="dxa" w:w="1247"/>
          </w:tcPr>
          <w:p>
            <w:pPr>
              <w:jc w:val="right"/>
            </w:pPr>
            <w:r/>
            <w:r>
              <w:rPr>
                <w:sz w:val="16"/>
              </w:rPr>
              <w:t>-2.1%</w:t>
            </w:r>
          </w:p>
        </w:tc>
        <w:tc>
          <w:tcPr>
            <w:tcW w:type="dxa" w:w="1134"/>
          </w:tcPr>
          <w:p>
            <w:pPr>
              <w:jc w:val="right"/>
            </w:pPr>
            <w:r/>
            <w:r>
              <w:rPr>
                <w:sz w:val="16"/>
              </w:rPr>
              <w:t>+26.9%</w:t>
            </w:r>
          </w:p>
        </w:tc>
        <w:tc>
          <w:tcPr>
            <w:tcW w:type="dxa" w:w="1361"/>
          </w:tcPr>
          <w:p>
            <w:pPr>
              <w:jc w:val="right"/>
            </w:pPr>
            <w:r/>
            <w:r>
              <w:rPr>
                <w:sz w:val="16"/>
              </w:rPr>
              <w:t>-17.4%</w:t>
            </w:r>
          </w:p>
        </w:tc>
      </w:tr>
      <w:tr>
        <w:tc>
          <w:tcPr>
            <w:tcW w:type="dxa" w:w="2494"/>
          </w:tcPr>
          <w:p>
            <w:r/>
            <w:r>
              <w:rPr>
                <w:sz w:val="16"/>
              </w:rPr>
              <w:t>2550 EASOU TECH</w:t>
            </w:r>
          </w:p>
        </w:tc>
        <w:tc>
          <w:tcPr>
            <w:tcW w:type="dxa" w:w="1247"/>
          </w:tcPr>
          <w:p>
            <w:pPr>
              <w:jc w:val="right"/>
            </w:pPr>
            <w:r/>
            <w:r>
              <w:rPr>
                <w:sz w:val="16"/>
              </w:rPr>
              <w:t>+44.0%</w:t>
            </w:r>
          </w:p>
        </w:tc>
        <w:tc>
          <w:tcPr>
            <w:tcW w:type="dxa" w:w="1134"/>
          </w:tcPr>
          <w:p>
            <w:pPr>
              <w:jc w:val="right"/>
            </w:pPr>
            <w:r/>
            <w:r>
              <w:rPr>
                <w:sz w:val="16"/>
              </w:rPr>
              <w:t>+46.5%</w:t>
            </w:r>
          </w:p>
        </w:tc>
        <w:tc>
          <w:tcPr>
            <w:tcW w:type="dxa" w:w="1247"/>
          </w:tcPr>
          <w:p>
            <w:pPr>
              <w:jc w:val="right"/>
            </w:pPr>
            <w:r/>
            <w:r>
              <w:rPr>
                <w:sz w:val="16"/>
              </w:rPr>
              <w:t>+2.6%</w:t>
            </w:r>
          </w:p>
        </w:tc>
        <w:tc>
          <w:tcPr>
            <w:tcW w:type="dxa" w:w="1134"/>
          </w:tcPr>
          <w:p>
            <w:pPr>
              <w:jc w:val="right"/>
            </w:pPr>
            <w:r/>
            <w:r>
              <w:rPr>
                <w:sz w:val="16"/>
              </w:rPr>
              <w:t>+91.7%</w:t>
            </w:r>
          </w:p>
        </w:tc>
        <w:tc>
          <w:tcPr>
            <w:tcW w:type="dxa" w:w="1361"/>
          </w:tcPr>
          <w:p>
            <w:pPr>
              <w:jc w:val="right"/>
            </w:pPr>
            <w:r/>
            <w:r>
              <w:rPr>
                <w:sz w:val="16"/>
              </w:rPr>
              <w:t>+47.8%</w:t>
            </w:r>
          </w:p>
        </w:tc>
      </w:tr>
      <w:tr>
        <w:tc>
          <w:tcPr>
            <w:tcW w:type="dxa" w:w="2494"/>
          </w:tcPr>
          <w:p>
            <w:r/>
            <w:r>
              <w:rPr>
                <w:sz w:val="16"/>
              </w:rPr>
              <w:t>1333 BRETON</w:t>
            </w:r>
          </w:p>
        </w:tc>
        <w:tc>
          <w:tcPr>
            <w:tcW w:type="dxa" w:w="1247"/>
          </w:tcPr>
          <w:p>
            <w:pPr>
              <w:jc w:val="right"/>
            </w:pPr>
            <w:r/>
            <w:r>
              <w:rPr>
                <w:sz w:val="16"/>
              </w:rPr>
              <w:t>+43.3%</w:t>
            </w:r>
          </w:p>
        </w:tc>
        <w:tc>
          <w:tcPr>
            <w:tcW w:type="dxa" w:w="1134"/>
          </w:tcPr>
          <w:p>
            <w:pPr>
              <w:jc w:val="right"/>
            </w:pPr>
            <w:r/>
            <w:r>
              <w:rPr>
                <w:sz w:val="16"/>
              </w:rPr>
              <w:t>+61.1%</w:t>
            </w:r>
          </w:p>
        </w:tc>
        <w:tc>
          <w:tcPr>
            <w:tcW w:type="dxa" w:w="1247"/>
          </w:tcPr>
          <w:p>
            <w:pPr>
              <w:jc w:val="right"/>
            </w:pPr>
            <w:r/>
            <w:r>
              <w:rPr>
                <w:sz w:val="16"/>
              </w:rPr>
              <w:t>+17.8%</w:t>
            </w:r>
          </w:p>
        </w:tc>
        <w:tc>
          <w:tcPr>
            <w:tcW w:type="dxa" w:w="1134"/>
          </w:tcPr>
          <w:p>
            <w:pPr>
              <w:jc w:val="right"/>
            </w:pPr>
            <w:r/>
            <w:r>
              <w:rPr>
                <w:sz w:val="16"/>
              </w:rPr>
              <w:t>+38.3%</w:t>
            </w:r>
          </w:p>
        </w:tc>
        <w:tc>
          <w:tcPr>
            <w:tcW w:type="dxa" w:w="1361"/>
          </w:tcPr>
          <w:p>
            <w:pPr>
              <w:jc w:val="right"/>
            </w:pPr>
            <w:r/>
            <w:r>
              <w:rPr>
                <w:sz w:val="16"/>
              </w:rPr>
              <w:t>-5.0%</w:t>
            </w:r>
          </w:p>
        </w:tc>
      </w:tr>
      <w:tr>
        <w:tc>
          <w:tcPr>
            <w:tcW w:type="dxa" w:w="2494"/>
          </w:tcPr>
          <w:p>
            <w:r/>
            <w:r>
              <w:rPr>
                <w:sz w:val="16"/>
              </w:rPr>
              <w:t>2505 EDA GROUP HLDGS</w:t>
            </w:r>
          </w:p>
        </w:tc>
        <w:tc>
          <w:tcPr>
            <w:tcW w:type="dxa" w:w="1247"/>
          </w:tcPr>
          <w:p>
            <w:pPr>
              <w:jc w:val="right"/>
            </w:pPr>
            <w:r/>
            <w:r>
              <w:rPr>
                <w:sz w:val="16"/>
              </w:rPr>
              <w:t>+40.8%</w:t>
            </w:r>
          </w:p>
        </w:tc>
        <w:tc>
          <w:tcPr>
            <w:tcW w:type="dxa" w:w="1134"/>
          </w:tcPr>
          <w:p>
            <w:pPr>
              <w:jc w:val="right"/>
            </w:pPr>
            <w:r/>
            <w:r>
              <w:rPr>
                <w:sz w:val="16"/>
              </w:rPr>
              <w:t>+35.5%</w:t>
            </w:r>
          </w:p>
        </w:tc>
        <w:tc>
          <w:tcPr>
            <w:tcW w:type="dxa" w:w="1247"/>
          </w:tcPr>
          <w:p>
            <w:pPr>
              <w:jc w:val="right"/>
            </w:pPr>
            <w:r/>
            <w:r>
              <w:rPr>
                <w:sz w:val="16"/>
              </w:rPr>
              <w:t>-5.3%</w:t>
            </w:r>
          </w:p>
        </w:tc>
        <w:tc>
          <w:tcPr>
            <w:tcW w:type="dxa" w:w="1134"/>
          </w:tcPr>
          <w:p>
            <w:pPr>
              <w:jc w:val="right"/>
            </w:pPr>
            <w:r/>
            <w:r>
              <w:rPr>
                <w:sz w:val="16"/>
              </w:rPr>
              <w:t>+84.2%</w:t>
            </w:r>
          </w:p>
        </w:tc>
        <w:tc>
          <w:tcPr>
            <w:tcW w:type="dxa" w:w="1361"/>
          </w:tcPr>
          <w:p>
            <w:pPr>
              <w:jc w:val="right"/>
            </w:pPr>
            <w:r/>
            <w:r>
              <w:rPr>
                <w:sz w:val="16"/>
              </w:rPr>
              <w:t>+43.4%</w:t>
            </w:r>
          </w:p>
        </w:tc>
      </w:tr>
      <w:tr>
        <w:tc>
          <w:tcPr>
            <w:tcW w:type="dxa" w:w="2494"/>
          </w:tcPr>
          <w:p>
            <w:r/>
            <w:r>
              <w:rPr>
                <w:sz w:val="16"/>
              </w:rPr>
              <w:t>2625 JIANGSU HORIZON</w:t>
            </w:r>
          </w:p>
        </w:tc>
        <w:tc>
          <w:tcPr>
            <w:tcW w:type="dxa" w:w="1247"/>
          </w:tcPr>
          <w:p>
            <w:pPr>
              <w:jc w:val="right"/>
            </w:pPr>
            <w:r/>
            <w:r>
              <w:rPr>
                <w:sz w:val="16"/>
              </w:rPr>
              <w:t>+28.0%</w:t>
            </w:r>
          </w:p>
        </w:tc>
        <w:tc>
          <w:tcPr>
            <w:tcW w:type="dxa" w:w="1134"/>
          </w:tcPr>
          <w:p>
            <w:pPr>
              <w:jc w:val="right"/>
            </w:pPr>
            <w:r/>
            <w:r>
              <w:rPr>
                <w:sz w:val="16"/>
              </w:rPr>
              <w:t>+37.6%</w:t>
            </w:r>
          </w:p>
        </w:tc>
        <w:tc>
          <w:tcPr>
            <w:tcW w:type="dxa" w:w="1247"/>
          </w:tcPr>
          <w:p>
            <w:pPr>
              <w:jc w:val="right"/>
            </w:pPr>
            <w:r/>
            <w:r>
              <w:rPr>
                <w:sz w:val="16"/>
              </w:rPr>
              <w:t>+9.6%</w:t>
            </w:r>
          </w:p>
        </w:tc>
        <w:tc>
          <w:tcPr>
            <w:tcW w:type="dxa" w:w="1134"/>
          </w:tcPr>
          <w:p>
            <w:pPr>
              <w:jc w:val="right"/>
            </w:pPr>
            <w:r/>
            <w:r>
              <w:rPr>
                <w:sz w:val="16"/>
              </w:rPr>
              <w:t>+0.0%</w:t>
            </w:r>
          </w:p>
        </w:tc>
        <w:tc>
          <w:tcPr>
            <w:tcW w:type="dxa" w:w="1361"/>
          </w:tcPr>
          <w:p>
            <w:pPr>
              <w:jc w:val="right"/>
            </w:pPr>
            <w:r/>
            <w:r>
              <w:rPr>
                <w:sz w:val="16"/>
              </w:rPr>
              <w:t>-28.0%</w:t>
            </w:r>
          </w:p>
        </w:tc>
      </w:tr>
      <w:tr>
        <w:tc>
          <w:tcPr>
            <w:tcW w:type="dxa" w:w="2494"/>
          </w:tcPr>
          <w:p>
            <w:r/>
            <w:r>
              <w:rPr>
                <w:sz w:val="16"/>
              </w:rPr>
              <w:t>2609 BAYZED HEALTH</w:t>
            </w:r>
          </w:p>
        </w:tc>
        <w:tc>
          <w:tcPr>
            <w:tcW w:type="dxa" w:w="1247"/>
          </w:tcPr>
          <w:p>
            <w:pPr>
              <w:jc w:val="right"/>
            </w:pPr>
            <w:r/>
            <w:r>
              <w:rPr>
                <w:sz w:val="16"/>
              </w:rPr>
              <w:t>+25.8%</w:t>
            </w:r>
          </w:p>
        </w:tc>
        <w:tc>
          <w:tcPr>
            <w:tcW w:type="dxa" w:w="1134"/>
          </w:tcPr>
          <w:p>
            <w:pPr>
              <w:jc w:val="right"/>
            </w:pPr>
            <w:r/>
            <w:r>
              <w:rPr>
                <w:sz w:val="16"/>
              </w:rPr>
              <w:t>+24.4%</w:t>
            </w:r>
          </w:p>
        </w:tc>
        <w:tc>
          <w:tcPr>
            <w:tcW w:type="dxa" w:w="1247"/>
          </w:tcPr>
          <w:p>
            <w:pPr>
              <w:jc w:val="right"/>
            </w:pPr>
            <w:r/>
            <w:r>
              <w:rPr>
                <w:sz w:val="16"/>
              </w:rPr>
              <w:t>-1.4%</w:t>
            </w:r>
          </w:p>
        </w:tc>
        <w:tc>
          <w:tcPr>
            <w:tcW w:type="dxa" w:w="1134"/>
          </w:tcPr>
          <w:p>
            <w:pPr>
              <w:jc w:val="right"/>
            </w:pPr>
            <w:r/>
            <w:r>
              <w:rPr>
                <w:sz w:val="16"/>
              </w:rPr>
              <w:t>+42.2%</w:t>
            </w:r>
          </w:p>
        </w:tc>
        <w:tc>
          <w:tcPr>
            <w:tcW w:type="dxa" w:w="1361"/>
          </w:tcPr>
          <w:p>
            <w:pPr>
              <w:jc w:val="right"/>
            </w:pPr>
            <w:r/>
            <w:r>
              <w:rPr>
                <w:sz w:val="16"/>
              </w:rPr>
              <w:t>+16.4%</w:t>
            </w:r>
          </w:p>
        </w:tc>
      </w:tr>
      <w:tr>
        <w:tc>
          <w:tcPr>
            <w:tcW w:type="dxa" w:w="2494"/>
          </w:tcPr>
          <w:p>
            <w:r/>
            <w:r>
              <w:rPr>
                <w:sz w:val="16"/>
              </w:rPr>
              <w:t>2582 GUOFUHEE</w:t>
            </w:r>
          </w:p>
        </w:tc>
        <w:tc>
          <w:tcPr>
            <w:tcW w:type="dxa" w:w="1247"/>
          </w:tcPr>
          <w:p>
            <w:pPr>
              <w:jc w:val="right"/>
            </w:pPr>
            <w:r/>
            <w:r>
              <w:rPr>
                <w:sz w:val="16"/>
              </w:rPr>
              <w:t>+24.2%</w:t>
            </w:r>
          </w:p>
        </w:tc>
        <w:tc>
          <w:tcPr>
            <w:tcW w:type="dxa" w:w="1134"/>
          </w:tcPr>
          <w:p>
            <w:pPr>
              <w:jc w:val="right"/>
            </w:pPr>
            <w:r/>
            <w:r>
              <w:rPr>
                <w:sz w:val="16"/>
              </w:rPr>
              <w:t>+26.6%</w:t>
            </w:r>
          </w:p>
        </w:tc>
        <w:tc>
          <w:tcPr>
            <w:tcW w:type="dxa" w:w="1247"/>
          </w:tcPr>
          <w:p>
            <w:pPr>
              <w:jc w:val="right"/>
            </w:pPr>
            <w:r/>
            <w:r>
              <w:rPr>
                <w:sz w:val="16"/>
              </w:rPr>
              <w:t>+2.4%</w:t>
            </w:r>
          </w:p>
        </w:tc>
        <w:tc>
          <w:tcPr>
            <w:tcW w:type="dxa" w:w="1134"/>
          </w:tcPr>
          <w:p>
            <w:pPr>
              <w:jc w:val="right"/>
            </w:pPr>
            <w:r/>
            <w:r>
              <w:rPr>
                <w:sz w:val="16"/>
              </w:rPr>
              <w:t>+20.0%</w:t>
            </w:r>
          </w:p>
        </w:tc>
        <w:tc>
          <w:tcPr>
            <w:tcW w:type="dxa" w:w="1361"/>
          </w:tcPr>
          <w:p>
            <w:pPr>
              <w:jc w:val="right"/>
            </w:pPr>
            <w:r/>
            <w:r>
              <w:rPr>
                <w:sz w:val="16"/>
              </w:rPr>
              <w:t>-4.2%</w:t>
            </w:r>
          </w:p>
        </w:tc>
      </w:tr>
      <w:tr>
        <w:tc>
          <w:tcPr>
            <w:tcW w:type="dxa" w:w="2494"/>
          </w:tcPr>
          <w:p>
            <w:r/>
            <w:r>
              <w:rPr>
                <w:sz w:val="16"/>
              </w:rPr>
              <w:t>2587 HEALTHYWAY INC</w:t>
            </w:r>
          </w:p>
        </w:tc>
        <w:tc>
          <w:tcPr>
            <w:tcW w:type="dxa" w:w="1247"/>
          </w:tcPr>
          <w:p>
            <w:pPr>
              <w:jc w:val="right"/>
            </w:pPr>
            <w:r/>
            <w:r>
              <w:rPr>
                <w:sz w:val="16"/>
              </w:rPr>
              <w:t>+23.3%</w:t>
            </w:r>
          </w:p>
        </w:tc>
        <w:tc>
          <w:tcPr>
            <w:tcW w:type="dxa" w:w="1134"/>
          </w:tcPr>
          <w:p>
            <w:pPr>
              <w:jc w:val="right"/>
            </w:pPr>
            <w:r/>
            <w:r>
              <w:rPr>
                <w:sz w:val="16"/>
              </w:rPr>
              <w:t>+27.6%</w:t>
            </w:r>
          </w:p>
        </w:tc>
        <w:tc>
          <w:tcPr>
            <w:tcW w:type="dxa" w:w="1247"/>
          </w:tcPr>
          <w:p>
            <w:pPr>
              <w:jc w:val="right"/>
            </w:pPr>
            <w:r/>
            <w:r>
              <w:rPr>
                <w:sz w:val="16"/>
              </w:rPr>
              <w:t>+4.2%</w:t>
            </w:r>
          </w:p>
        </w:tc>
        <w:tc>
          <w:tcPr>
            <w:tcW w:type="dxa" w:w="1134"/>
          </w:tcPr>
          <w:p>
            <w:pPr>
              <w:jc w:val="right"/>
            </w:pPr>
            <w:r/>
            <w:r>
              <w:rPr>
                <w:sz w:val="16"/>
              </w:rPr>
              <w:t>+36.7%</w:t>
            </w:r>
          </w:p>
        </w:tc>
        <w:tc>
          <w:tcPr>
            <w:tcW w:type="dxa" w:w="1361"/>
          </w:tcPr>
          <w:p>
            <w:pPr>
              <w:jc w:val="right"/>
            </w:pPr>
            <w:r/>
            <w:r>
              <w:rPr>
                <w:sz w:val="16"/>
              </w:rPr>
              <w:t>+13.3%</w:t>
            </w:r>
          </w:p>
        </w:tc>
      </w:tr>
      <w:tr>
        <w:tc>
          <w:tcPr>
            <w:tcW w:type="dxa" w:w="2494"/>
          </w:tcPr>
          <w:p>
            <w:r/>
            <w:r>
              <w:rPr>
                <w:sz w:val="16"/>
              </w:rPr>
              <w:t>2651 DAZHONG DENTAL</w:t>
            </w:r>
          </w:p>
        </w:tc>
        <w:tc>
          <w:tcPr>
            <w:tcW w:type="dxa" w:w="1247"/>
          </w:tcPr>
          <w:p>
            <w:pPr>
              <w:jc w:val="right"/>
            </w:pPr>
            <w:r/>
            <w:r>
              <w:rPr>
                <w:sz w:val="16"/>
              </w:rPr>
              <w:t>+18.2%</w:t>
            </w:r>
          </w:p>
        </w:tc>
        <w:tc>
          <w:tcPr>
            <w:tcW w:type="dxa" w:w="1134"/>
          </w:tcPr>
          <w:p>
            <w:pPr>
              <w:jc w:val="right"/>
            </w:pPr>
            <w:r/>
            <w:r>
              <w:rPr>
                <w:sz w:val="16"/>
              </w:rPr>
              <w:t>+20.0%</w:t>
            </w:r>
          </w:p>
        </w:tc>
        <w:tc>
          <w:tcPr>
            <w:tcW w:type="dxa" w:w="1247"/>
          </w:tcPr>
          <w:p>
            <w:pPr>
              <w:jc w:val="right"/>
            </w:pPr>
            <w:r/>
            <w:r>
              <w:rPr>
                <w:sz w:val="16"/>
              </w:rPr>
              <w:t>+1.8%</w:t>
            </w:r>
          </w:p>
        </w:tc>
        <w:tc>
          <w:tcPr>
            <w:tcW w:type="dxa" w:w="1134"/>
          </w:tcPr>
          <w:p>
            <w:pPr>
              <w:jc w:val="right"/>
            </w:pPr>
            <w:r/>
            <w:r>
              <w:rPr>
                <w:sz w:val="16"/>
              </w:rPr>
              <w:t>+3.5%</w:t>
            </w:r>
          </w:p>
        </w:tc>
        <w:tc>
          <w:tcPr>
            <w:tcW w:type="dxa" w:w="1361"/>
          </w:tcPr>
          <w:p>
            <w:pPr>
              <w:jc w:val="right"/>
            </w:pPr>
            <w:r/>
            <w:r>
              <w:rPr>
                <w:sz w:val="16"/>
              </w:rPr>
              <w:t>-14.8%</w:t>
            </w:r>
          </w:p>
        </w:tc>
      </w:tr>
      <w:tr>
        <w:tc>
          <w:tcPr>
            <w:tcW w:type="dxa" w:w="2494"/>
          </w:tcPr>
          <w:p>
            <w:r/>
            <w:r>
              <w:rPr>
                <w:sz w:val="16"/>
              </w:rPr>
              <w:t>1334 RUICHANG INTL</w:t>
            </w:r>
          </w:p>
        </w:tc>
        <w:tc>
          <w:tcPr>
            <w:tcW w:type="dxa" w:w="1247"/>
          </w:tcPr>
          <w:p>
            <w:pPr>
              <w:jc w:val="right"/>
            </w:pPr>
            <w:r/>
            <w:r>
              <w:rPr>
                <w:sz w:val="16"/>
              </w:rPr>
              <w:t>+13.3%</w:t>
            </w:r>
          </w:p>
        </w:tc>
        <w:tc>
          <w:tcPr>
            <w:tcW w:type="dxa" w:w="1134"/>
          </w:tcPr>
          <w:p>
            <w:pPr>
              <w:jc w:val="right"/>
            </w:pPr>
            <w:r/>
            <w:r>
              <w:rPr>
                <w:sz w:val="16"/>
              </w:rPr>
              <w:t>+23.8%</w:t>
            </w:r>
          </w:p>
        </w:tc>
        <w:tc>
          <w:tcPr>
            <w:tcW w:type="dxa" w:w="1247"/>
          </w:tcPr>
          <w:p>
            <w:pPr>
              <w:jc w:val="right"/>
            </w:pPr>
            <w:r/>
            <w:r>
              <w:rPr>
                <w:sz w:val="16"/>
              </w:rPr>
              <w:t>+10.5%</w:t>
            </w:r>
          </w:p>
        </w:tc>
        <w:tc>
          <w:tcPr>
            <w:tcW w:type="dxa" w:w="1134"/>
          </w:tcPr>
          <w:p>
            <w:pPr>
              <w:jc w:val="right"/>
            </w:pPr>
            <w:r/>
            <w:r>
              <w:rPr>
                <w:sz w:val="16"/>
              </w:rPr>
              <w:t>+14.3%</w:t>
            </w:r>
          </w:p>
        </w:tc>
        <w:tc>
          <w:tcPr>
            <w:tcW w:type="dxa" w:w="1361"/>
          </w:tcPr>
          <w:p>
            <w:pPr>
              <w:jc w:val="right"/>
            </w:pPr>
            <w:r/>
            <w:r>
              <w:rPr>
                <w:sz w:val="16"/>
              </w:rPr>
              <w:t>+1.0%</w:t>
            </w:r>
          </w:p>
        </w:tc>
      </w:tr>
      <w:tr>
        <w:tc>
          <w:tcPr>
            <w:tcW w:type="dxa" w:w="2494"/>
          </w:tcPr>
          <w:p>
            <w:r/>
            <w:r>
              <w:rPr>
                <w:sz w:val="16"/>
              </w:rPr>
              <w:t>2613 CONTIOCEAN</w:t>
            </w:r>
          </w:p>
        </w:tc>
        <w:tc>
          <w:tcPr>
            <w:tcW w:type="dxa" w:w="1247"/>
          </w:tcPr>
          <w:p>
            <w:pPr>
              <w:jc w:val="right"/>
            </w:pPr>
            <w:r/>
            <w:r>
              <w:rPr>
                <w:sz w:val="16"/>
              </w:rPr>
              <w:t>+6.4%</w:t>
            </w:r>
          </w:p>
        </w:tc>
        <w:tc>
          <w:tcPr>
            <w:tcW w:type="dxa" w:w="1134"/>
          </w:tcPr>
          <w:p>
            <w:pPr>
              <w:jc w:val="right"/>
            </w:pPr>
            <w:r/>
            <w:r>
              <w:rPr>
                <w:sz w:val="16"/>
              </w:rPr>
              <w:t>+6.8%</w:t>
            </w:r>
          </w:p>
        </w:tc>
        <w:tc>
          <w:tcPr>
            <w:tcW w:type="dxa" w:w="1247"/>
          </w:tcPr>
          <w:p>
            <w:pPr>
              <w:jc w:val="right"/>
            </w:pPr>
            <w:r/>
            <w:r>
              <w:rPr>
                <w:sz w:val="16"/>
              </w:rPr>
              <w:t>+0.3%</w:t>
            </w:r>
          </w:p>
        </w:tc>
        <w:tc>
          <w:tcPr>
            <w:tcW w:type="dxa" w:w="1134"/>
          </w:tcPr>
          <w:p>
            <w:pPr>
              <w:jc w:val="right"/>
            </w:pPr>
            <w:r/>
            <w:r>
              <w:rPr>
                <w:sz w:val="16"/>
              </w:rPr>
              <w:t>+6.3%</w:t>
            </w:r>
          </w:p>
        </w:tc>
        <w:tc>
          <w:tcPr>
            <w:tcW w:type="dxa" w:w="1361"/>
          </w:tcPr>
          <w:p>
            <w:pPr>
              <w:jc w:val="right"/>
            </w:pPr>
            <w:r/>
            <w:r>
              <w:rPr>
                <w:sz w:val="16"/>
              </w:rPr>
              <w:t>-0.2%</w:t>
            </w:r>
          </w:p>
        </w:tc>
      </w:tr>
      <w:tr>
        <w:tc>
          <w:tcPr>
            <w:tcW w:type="dxa" w:w="2494"/>
          </w:tcPr>
          <w:p>
            <w:r/>
            <w:r>
              <w:rPr>
                <w:sz w:val="16"/>
              </w:rPr>
              <w:t>0300 MIDEA GROUP</w:t>
            </w:r>
          </w:p>
        </w:tc>
        <w:tc>
          <w:tcPr>
            <w:tcW w:type="dxa" w:w="1247"/>
          </w:tcPr>
          <w:p>
            <w:pPr>
              <w:jc w:val="right"/>
            </w:pPr>
            <w:r/>
            <w:r>
              <w:rPr>
                <w:sz w:val="16"/>
              </w:rPr>
              <w:t>+5.8%</w:t>
            </w:r>
          </w:p>
        </w:tc>
        <w:tc>
          <w:tcPr>
            <w:tcW w:type="dxa" w:w="1134"/>
          </w:tcPr>
          <w:p>
            <w:pPr>
              <w:jc w:val="right"/>
            </w:pPr>
            <w:r/>
            <w:r>
              <w:rPr>
                <w:sz w:val="16"/>
              </w:rPr>
              <w:t>+8.0%</w:t>
            </w:r>
          </w:p>
        </w:tc>
        <w:tc>
          <w:tcPr>
            <w:tcW w:type="dxa" w:w="1247"/>
          </w:tcPr>
          <w:p>
            <w:pPr>
              <w:jc w:val="right"/>
            </w:pPr>
            <w:r/>
            <w:r>
              <w:rPr>
                <w:sz w:val="16"/>
              </w:rPr>
              <w:t>+2.2%</w:t>
            </w:r>
          </w:p>
        </w:tc>
        <w:tc>
          <w:tcPr>
            <w:tcW w:type="dxa" w:w="1134"/>
          </w:tcPr>
          <w:p>
            <w:pPr>
              <w:jc w:val="right"/>
            </w:pPr>
            <w:r/>
            <w:r>
              <w:rPr>
                <w:sz w:val="16"/>
              </w:rPr>
              <w:t>+7.8%</w:t>
            </w:r>
          </w:p>
        </w:tc>
        <w:tc>
          <w:tcPr>
            <w:tcW w:type="dxa" w:w="1361"/>
          </w:tcPr>
          <w:p>
            <w:pPr>
              <w:jc w:val="right"/>
            </w:pPr>
            <w:r/>
            <w:r>
              <w:rPr>
                <w:sz w:val="16"/>
              </w:rPr>
              <w:t>+2.0%</w:t>
            </w:r>
          </w:p>
        </w:tc>
      </w:tr>
      <w:tr>
        <w:tc>
          <w:tcPr>
            <w:tcW w:type="dxa" w:w="2494"/>
          </w:tcPr>
          <w:p>
            <w:r/>
            <w:r>
              <w:rPr>
                <w:sz w:val="16"/>
              </w:rPr>
              <w:t>2585 MOKINGRAN</w:t>
            </w:r>
          </w:p>
        </w:tc>
        <w:tc>
          <w:tcPr>
            <w:tcW w:type="dxa" w:w="1247"/>
          </w:tcPr>
          <w:p>
            <w:pPr>
              <w:jc w:val="right"/>
            </w:pPr>
            <w:r/>
            <w:r>
              <w:rPr>
                <w:sz w:val="16"/>
              </w:rPr>
              <w:t>+4.5%</w:t>
            </w:r>
          </w:p>
        </w:tc>
        <w:tc>
          <w:tcPr>
            <w:tcW w:type="dxa" w:w="1134"/>
          </w:tcPr>
          <w:p>
            <w:pPr>
              <w:jc w:val="right"/>
            </w:pPr>
            <w:r/>
            <w:r>
              <w:rPr>
                <w:sz w:val="16"/>
              </w:rPr>
              <w:t>+4.2%</w:t>
            </w:r>
          </w:p>
        </w:tc>
        <w:tc>
          <w:tcPr>
            <w:tcW w:type="dxa" w:w="1247"/>
          </w:tcPr>
          <w:p>
            <w:pPr>
              <w:jc w:val="right"/>
            </w:pPr>
            <w:r/>
            <w:r>
              <w:rPr>
                <w:sz w:val="16"/>
              </w:rPr>
              <w:t>-0.3%</w:t>
            </w:r>
          </w:p>
        </w:tc>
        <w:tc>
          <w:tcPr>
            <w:tcW w:type="dxa" w:w="1134"/>
          </w:tcPr>
          <w:p>
            <w:pPr>
              <w:jc w:val="right"/>
            </w:pPr>
            <w:r/>
            <w:r>
              <w:rPr>
                <w:sz w:val="16"/>
              </w:rPr>
              <w:t>+7.5%</w:t>
            </w:r>
          </w:p>
        </w:tc>
        <w:tc>
          <w:tcPr>
            <w:tcW w:type="dxa" w:w="1361"/>
          </w:tcPr>
          <w:p>
            <w:pPr>
              <w:jc w:val="right"/>
            </w:pPr>
            <w:r/>
            <w:r>
              <w:rPr>
                <w:sz w:val="16"/>
              </w:rPr>
              <w:t>+3.0%</w:t>
            </w:r>
          </w:p>
        </w:tc>
      </w:tr>
      <w:tr>
        <w:tc>
          <w:tcPr>
            <w:tcW w:type="dxa" w:w="2494"/>
          </w:tcPr>
          <w:p>
            <w:r/>
            <w:r>
              <w:rPr>
                <w:sz w:val="16"/>
              </w:rPr>
              <w:t>1471 ZHONGMIAO</w:t>
            </w:r>
          </w:p>
        </w:tc>
        <w:tc>
          <w:tcPr>
            <w:tcW w:type="dxa" w:w="1247"/>
          </w:tcPr>
          <w:p>
            <w:pPr>
              <w:jc w:val="right"/>
            </w:pPr>
            <w:r/>
            <w:r>
              <w:rPr>
                <w:sz w:val="16"/>
              </w:rPr>
              <w:t>+3.1%</w:t>
            </w:r>
          </w:p>
        </w:tc>
        <w:tc>
          <w:tcPr>
            <w:tcW w:type="dxa" w:w="1134"/>
          </w:tcPr>
          <w:p>
            <w:pPr>
              <w:jc w:val="right"/>
            </w:pPr>
            <w:r/>
            <w:r>
              <w:rPr>
                <w:sz w:val="16"/>
              </w:rPr>
              <w:t>-1.7%</w:t>
            </w:r>
          </w:p>
        </w:tc>
        <w:tc>
          <w:tcPr>
            <w:tcW w:type="dxa" w:w="1247"/>
          </w:tcPr>
          <w:p>
            <w:pPr>
              <w:jc w:val="right"/>
            </w:pPr>
            <w:r/>
            <w:r>
              <w:rPr>
                <w:sz w:val="16"/>
              </w:rPr>
              <w:t>-4.8%</w:t>
            </w:r>
          </w:p>
        </w:tc>
        <w:tc>
          <w:tcPr>
            <w:tcW w:type="dxa" w:w="1134"/>
          </w:tcPr>
          <w:p>
            <w:pPr>
              <w:jc w:val="right"/>
            </w:pPr>
            <w:r/>
            <w:r>
              <w:rPr>
                <w:sz w:val="16"/>
              </w:rPr>
              <w:t>+5.0%</w:t>
            </w:r>
          </w:p>
        </w:tc>
        <w:tc>
          <w:tcPr>
            <w:tcW w:type="dxa" w:w="1361"/>
          </w:tcPr>
          <w:p>
            <w:pPr>
              <w:jc w:val="right"/>
            </w:pPr>
            <w:r/>
            <w:r>
              <w:rPr>
                <w:sz w:val="16"/>
              </w:rPr>
              <w:t>+1.9%</w:t>
            </w:r>
          </w:p>
        </w:tc>
      </w:tr>
      <w:tr>
        <w:tc>
          <w:tcPr>
            <w:tcW w:type="dxa" w:w="2494"/>
          </w:tcPr>
          <w:p>
            <w:r/>
            <w:r>
              <w:rPr>
                <w:sz w:val="16"/>
              </w:rPr>
              <w:t>1354 KINGFARPROPERTY</w:t>
            </w:r>
          </w:p>
        </w:tc>
        <w:tc>
          <w:tcPr>
            <w:tcW w:type="dxa" w:w="1247"/>
          </w:tcPr>
          <w:p>
            <w:pPr>
              <w:jc w:val="right"/>
            </w:pPr>
            <w:r/>
            <w:r>
              <w:rPr>
                <w:sz w:val="16"/>
              </w:rPr>
              <w:t>+0.3%</w:t>
            </w:r>
          </w:p>
        </w:tc>
        <w:tc>
          <w:tcPr>
            <w:tcW w:type="dxa" w:w="1134"/>
          </w:tcPr>
          <w:p>
            <w:pPr>
              <w:jc w:val="right"/>
            </w:pPr>
            <w:r/>
            <w:r>
              <w:rPr>
                <w:sz w:val="16"/>
              </w:rPr>
              <w:t>+2.0%</w:t>
            </w:r>
          </w:p>
        </w:tc>
        <w:tc>
          <w:tcPr>
            <w:tcW w:type="dxa" w:w="1247"/>
          </w:tcPr>
          <w:p>
            <w:pPr>
              <w:jc w:val="right"/>
            </w:pPr>
            <w:r/>
            <w:r>
              <w:rPr>
                <w:sz w:val="16"/>
              </w:rPr>
              <w:t>+1.7%</w:t>
            </w:r>
          </w:p>
        </w:tc>
        <w:tc>
          <w:tcPr>
            <w:tcW w:type="dxa" w:w="1134"/>
          </w:tcPr>
          <w:p>
            <w:pPr>
              <w:jc w:val="right"/>
            </w:pPr>
            <w:r/>
            <w:r>
              <w:rPr>
                <w:sz w:val="16"/>
              </w:rPr>
              <w:t>-11.5%</w:t>
            </w:r>
          </w:p>
        </w:tc>
        <w:tc>
          <w:tcPr>
            <w:tcW w:type="dxa" w:w="1361"/>
          </w:tcPr>
          <w:p>
            <w:pPr>
              <w:jc w:val="right"/>
            </w:pPr>
            <w:r/>
            <w:r>
              <w:rPr>
                <w:sz w:val="16"/>
              </w:rPr>
              <w:t>-11.8%</w:t>
            </w:r>
          </w:p>
        </w:tc>
      </w:tr>
      <w:tr>
        <w:tc>
          <w:tcPr>
            <w:tcW w:type="dxa" w:w="2494"/>
          </w:tcPr>
          <w:p>
            <w:r/>
            <w:r>
              <w:rPr>
                <w:sz w:val="16"/>
              </w:rPr>
              <w:t>2691 NANHUA FUTURES</w:t>
            </w:r>
          </w:p>
        </w:tc>
        <w:tc>
          <w:tcPr>
            <w:tcW w:type="dxa" w:w="1247"/>
          </w:tcPr>
          <w:p>
            <w:pPr>
              <w:jc w:val="right"/>
            </w:pPr>
            <w:r/>
            <w:r>
              <w:rPr>
                <w:sz w:val="16"/>
              </w:rPr>
              <w:t>-7.4%</w:t>
            </w:r>
          </w:p>
        </w:tc>
        <w:tc>
          <w:tcPr>
            <w:tcW w:type="dxa" w:w="1134"/>
          </w:tcPr>
          <w:p>
            <w:pPr>
              <w:jc w:val="right"/>
            </w:pPr>
            <w:r/>
            <w:r>
              <w:rPr>
                <w:sz w:val="16"/>
              </w:rPr>
              <w:t>-23.9%</w:t>
            </w:r>
          </w:p>
        </w:tc>
        <w:tc>
          <w:tcPr>
            <w:tcW w:type="dxa" w:w="1247"/>
          </w:tcPr>
          <w:p>
            <w:pPr>
              <w:jc w:val="right"/>
            </w:pPr>
            <w:r/>
            <w:r>
              <w:rPr>
                <w:sz w:val="16"/>
              </w:rPr>
              <w:t>-16.5%</w:t>
            </w:r>
          </w:p>
        </w:tc>
        <w:tc>
          <w:tcPr>
            <w:tcW w:type="dxa" w:w="1134"/>
          </w:tcPr>
          <w:p>
            <w:pPr>
              <w:jc w:val="right"/>
            </w:pPr>
            <w:r/>
            <w:r>
              <w:rPr>
                <w:sz w:val="16"/>
              </w:rPr>
              <w:t>-24.2%</w:t>
            </w:r>
          </w:p>
        </w:tc>
        <w:tc>
          <w:tcPr>
            <w:tcW w:type="dxa" w:w="1361"/>
          </w:tcPr>
          <w:p>
            <w:pPr>
              <w:jc w:val="right"/>
            </w:pPr>
            <w:r/>
            <w:r>
              <w:rPr>
                <w:sz w:val="16"/>
              </w:rPr>
              <w:t>-16.8%</w:t>
            </w:r>
          </w:p>
        </w:tc>
      </w:tr>
      <w:tr>
        <w:tc>
          <w:tcPr>
            <w:tcW w:type="dxa" w:w="2494"/>
          </w:tcPr>
          <w:p>
            <w:r/>
            <w:r>
              <w:rPr>
                <w:sz w:val="16"/>
              </w:rPr>
              <w:t>9982 CENTRALCHINA MT</w:t>
            </w:r>
          </w:p>
        </w:tc>
        <w:tc>
          <w:tcPr>
            <w:tcW w:type="dxa" w:w="1247"/>
          </w:tcPr>
          <w:p>
            <w:pPr>
              <w:jc w:val="right"/>
            </w:pPr>
            <w:r/>
            <w:r>
              <w:rPr>
                <w:sz w:val="16"/>
              </w:rPr>
              <w:t>-14.0%</w:t>
            </w:r>
          </w:p>
        </w:tc>
        <w:tc>
          <w:tcPr>
            <w:tcW w:type="dxa" w:w="1134"/>
          </w:tcPr>
          <w:p>
            <w:pPr>
              <w:jc w:val="right"/>
            </w:pPr>
            <w:r/>
            <w:r>
              <w:rPr>
                <w:sz w:val="16"/>
              </w:rPr>
              <w:t>-16.7%</w:t>
            </w:r>
          </w:p>
        </w:tc>
        <w:tc>
          <w:tcPr>
            <w:tcW w:type="dxa" w:w="1247"/>
          </w:tcPr>
          <w:p>
            <w:pPr>
              <w:jc w:val="right"/>
            </w:pPr>
            <w:r/>
            <w:r>
              <w:rPr>
                <w:sz w:val="16"/>
              </w:rPr>
              <w:t>-2.7%</w:t>
            </w:r>
          </w:p>
        </w:tc>
        <w:tc>
          <w:tcPr>
            <w:tcW w:type="dxa" w:w="1134"/>
          </w:tcPr>
          <w:p>
            <w:pPr>
              <w:jc w:val="right"/>
            </w:pPr>
            <w:r/>
            <w:r>
              <w:rPr>
                <w:sz w:val="16"/>
              </w:rPr>
              <w:t>-12.0%</w:t>
            </w:r>
          </w:p>
        </w:tc>
        <w:tc>
          <w:tcPr>
            <w:tcW w:type="dxa" w:w="1361"/>
          </w:tcPr>
          <w:p>
            <w:pPr>
              <w:jc w:val="right"/>
            </w:pPr>
            <w:r/>
            <w:r>
              <w:rPr>
                <w:sz w:val="16"/>
              </w:rPr>
              <w:t>+2.0%</w:t>
            </w:r>
          </w:p>
        </w:tc>
      </w:tr>
      <w:tr>
        <w:tc>
          <w:tcPr>
            <w:tcW w:type="dxa" w:w="2494"/>
          </w:tcPr>
          <w:p>
            <w:r/>
            <w:r>
              <w:rPr>
                <w:sz w:val="16"/>
              </w:rPr>
              <w:t>2450 HUAIBEI GD CO</w:t>
            </w:r>
          </w:p>
        </w:tc>
        <w:tc>
          <w:tcPr>
            <w:tcW w:type="dxa" w:w="1247"/>
          </w:tcPr>
          <w:p>
            <w:pPr>
              <w:jc w:val="right"/>
            </w:pPr>
            <w:r/>
            <w:r>
              <w:rPr>
                <w:sz w:val="16"/>
              </w:rPr>
              <w:t>-38.7%</w:t>
            </w:r>
          </w:p>
        </w:tc>
        <w:tc>
          <w:tcPr>
            <w:tcW w:type="dxa" w:w="1134"/>
          </w:tcPr>
          <w:p>
            <w:pPr>
              <w:jc w:val="right"/>
            </w:pPr>
            <w:r/>
            <w:r>
              <w:rPr>
                <w:sz w:val="16"/>
              </w:rPr>
              <w:t>-36.6%</w:t>
            </w:r>
          </w:p>
        </w:tc>
        <w:tc>
          <w:tcPr>
            <w:tcW w:type="dxa" w:w="1247"/>
          </w:tcPr>
          <w:p>
            <w:pPr>
              <w:jc w:val="right"/>
            </w:pPr>
            <w:r/>
            <w:r>
              <w:rPr>
                <w:sz w:val="16"/>
              </w:rPr>
              <w:t>+2.1%</w:t>
            </w:r>
          </w:p>
        </w:tc>
        <w:tc>
          <w:tcPr>
            <w:tcW w:type="dxa" w:w="1134"/>
          </w:tcPr>
          <w:p>
            <w:pPr>
              <w:jc w:val="right"/>
            </w:pPr>
            <w:r/>
            <w:r>
              <w:rPr>
                <w:sz w:val="16"/>
              </w:rPr>
              <w:t>-44.5%</w:t>
            </w:r>
          </w:p>
        </w:tc>
        <w:tc>
          <w:tcPr>
            <w:tcW w:type="dxa" w:w="1361"/>
          </w:tcPr>
          <w:p>
            <w:pPr>
              <w:jc w:val="right"/>
            </w:pPr>
            <w:r/>
            <w:r>
              <w:rPr>
                <w:sz w:val="16"/>
              </w:rPr>
              <w:t>-5.8%</w:t>
            </w:r>
          </w:p>
        </w:tc>
      </w:tr>
    </w:tbl>
    <w:p>
      <w:pPr>
        <w:spacing w:after="40"/>
      </w:pPr>
    </w:p>
    <w:p>
      <w:pPr>
        <w:spacing w:after="120"/>
      </w:pPr>
      <w:r>
        <w:rPr>
          <w:b w:val="0"/>
          <w:i w:val="0"/>
          <w:sz w:val="21"/>
        </w:rPr>
        <w:t>Grey against the pop: the median gap is -0.0% and the rank correlation is 0.98. The grey close IS the opening price. The evening session finds the level, and the auction next morning opens there.</w:t>
      </w:r>
    </w:p>
    <w:p>
      <w:pPr>
        <w:spacing w:after="120"/>
      </w:pPr>
      <w:r>
        <w:rPr>
          <w:b w:val="0"/>
          <w:i w:val="0"/>
          <w:sz w:val="21"/>
        </w:rPr>
        <w:t>Grey against the day-one close: the median gap is -4.8%, and the close beat the grey in only 10 of 26 deals. For most of them the grey session was the high point of the whole event. If you can sell in the grey, that is usually the best price you will see.</w:t>
      </w:r>
    </w:p>
    <w:p>
      <w:pPr>
        <w:spacing w:after="80"/>
      </w:pPr>
      <w:r>
        <w:rPr>
          <w:b/>
          <w:i w:val="0"/>
          <w:sz w:val="24"/>
        </w:rPr>
        <w:t>8. How complete is the grey data, and where does it come from?</w:t>
      </w:r>
    </w:p>
    <w:p>
      <w:pPr>
        <w:spacing w:after="120"/>
      </w:pPr>
      <w:r>
        <w:rPr>
          <w:b w:val="0"/>
          <w:i w:val="0"/>
          <w:sz w:val="21"/>
        </w:rPr>
        <w:t>456 of 519 deals in the database now carry a grey close (261 in the previous version, 130 the week before). Coverage by listing year:</w:t>
      </w:r>
    </w:p>
    <w:tbl>
      <w:tblPr>
        <w:tblStyle w:val="TableGrid"/>
        <w:tblW w:type="auto" w:w="0"/>
        <w:tblLook w:firstColumn="1" w:firstRow="1" w:lastColumn="0" w:lastRow="0" w:noHBand="0" w:noVBand="1" w:val="04A0"/>
      </w:tblPr>
      <w:tblGrid>
        <w:gridCol w:w="2493"/>
        <w:gridCol w:w="2493"/>
        <w:gridCol w:w="2493"/>
        <w:gridCol w:w="2493"/>
      </w:tblGrid>
      <w:tr>
        <w:tc>
          <w:tcPr>
            <w:tcW w:type="dxa" w:w="1701"/>
          </w:tcPr>
          <w:p>
            <w:r/>
            <w:r>
              <w:rPr>
                <w:b/>
                <w:sz w:val="17"/>
              </w:rPr>
              <w:t>Listing year</w:t>
            </w:r>
          </w:p>
        </w:tc>
        <w:tc>
          <w:tcPr>
            <w:tcW w:type="dxa" w:w="1701"/>
          </w:tcPr>
          <w:p>
            <w:r/>
            <w:r>
              <w:rPr>
                <w:b/>
                <w:sz w:val="17"/>
              </w:rPr>
              <w:t>Deals</w:t>
            </w:r>
          </w:p>
        </w:tc>
        <w:tc>
          <w:tcPr>
            <w:tcW w:type="dxa" w:w="2268"/>
          </w:tcPr>
          <w:p>
            <w:r/>
            <w:r>
              <w:rPr>
                <w:b/>
                <w:sz w:val="17"/>
              </w:rPr>
              <w:t>With a grey close</w:t>
            </w:r>
          </w:p>
        </w:tc>
        <w:tc>
          <w:tcPr>
            <w:tcW w:type="dxa" w:w="1701"/>
          </w:tcPr>
          <w:p>
            <w:r/>
            <w:r>
              <w:rPr>
                <w:b/>
                <w:sz w:val="17"/>
              </w:rPr>
              <w:t>Coverage</w:t>
            </w:r>
          </w:p>
        </w:tc>
      </w:tr>
      <w:tr>
        <w:tc>
          <w:tcPr>
            <w:tcW w:type="dxa" w:w="1701"/>
          </w:tcPr>
          <w:p>
            <w:r/>
            <w:r>
              <w:rPr>
                <w:sz w:val="17"/>
              </w:rPr>
              <w:t>2021</w:t>
            </w:r>
          </w:p>
        </w:tc>
        <w:tc>
          <w:tcPr>
            <w:tcW w:type="dxa" w:w="1701"/>
          </w:tcPr>
          <w:p>
            <w:pPr>
              <w:jc w:val="right"/>
            </w:pPr>
            <w:r/>
            <w:r>
              <w:rPr>
                <w:sz w:val="17"/>
              </w:rPr>
              <w:t>92</w:t>
            </w:r>
          </w:p>
        </w:tc>
        <w:tc>
          <w:tcPr>
            <w:tcW w:type="dxa" w:w="2268"/>
          </w:tcPr>
          <w:p>
            <w:pPr>
              <w:jc w:val="right"/>
            </w:pPr>
            <w:r/>
            <w:r>
              <w:rPr>
                <w:sz w:val="17"/>
              </w:rPr>
              <w:t>42</w:t>
            </w:r>
          </w:p>
        </w:tc>
        <w:tc>
          <w:tcPr>
            <w:tcW w:type="dxa" w:w="1701"/>
          </w:tcPr>
          <w:p>
            <w:pPr>
              <w:jc w:val="right"/>
            </w:pPr>
            <w:r/>
            <w:r>
              <w:rPr>
                <w:sz w:val="17"/>
              </w:rPr>
              <w:t>46%</w:t>
            </w:r>
          </w:p>
        </w:tc>
      </w:tr>
      <w:tr>
        <w:tc>
          <w:tcPr>
            <w:tcW w:type="dxa" w:w="1701"/>
          </w:tcPr>
          <w:p>
            <w:r/>
            <w:r>
              <w:rPr>
                <w:sz w:val="17"/>
              </w:rPr>
              <w:t>2022</w:t>
            </w:r>
          </w:p>
        </w:tc>
        <w:tc>
          <w:tcPr>
            <w:tcW w:type="dxa" w:w="1701"/>
          </w:tcPr>
          <w:p>
            <w:pPr>
              <w:jc w:val="right"/>
            </w:pPr>
            <w:r/>
            <w:r>
              <w:rPr>
                <w:sz w:val="17"/>
              </w:rPr>
              <w:t>72</w:t>
            </w:r>
          </w:p>
        </w:tc>
        <w:tc>
          <w:tcPr>
            <w:tcW w:type="dxa" w:w="2268"/>
          </w:tcPr>
          <w:p>
            <w:pPr>
              <w:jc w:val="right"/>
            </w:pPr>
            <w:r/>
            <w:r>
              <w:rPr>
                <w:sz w:val="17"/>
              </w:rPr>
              <w:t>68</w:t>
            </w:r>
          </w:p>
        </w:tc>
        <w:tc>
          <w:tcPr>
            <w:tcW w:type="dxa" w:w="1701"/>
          </w:tcPr>
          <w:p>
            <w:pPr>
              <w:jc w:val="right"/>
            </w:pPr>
            <w:r/>
            <w:r>
              <w:rPr>
                <w:sz w:val="17"/>
              </w:rPr>
              <w:t>94%</w:t>
            </w:r>
          </w:p>
        </w:tc>
      </w:tr>
      <w:tr>
        <w:tc>
          <w:tcPr>
            <w:tcW w:type="dxa" w:w="1701"/>
          </w:tcPr>
          <w:p>
            <w:r/>
            <w:r>
              <w:rPr>
                <w:sz w:val="17"/>
              </w:rPr>
              <w:t>2023</w:t>
            </w:r>
          </w:p>
        </w:tc>
        <w:tc>
          <w:tcPr>
            <w:tcW w:type="dxa" w:w="1701"/>
          </w:tcPr>
          <w:p>
            <w:pPr>
              <w:jc w:val="right"/>
            </w:pPr>
            <w:r/>
            <w:r>
              <w:rPr>
                <w:sz w:val="17"/>
              </w:rPr>
              <w:t>68</w:t>
            </w:r>
          </w:p>
        </w:tc>
        <w:tc>
          <w:tcPr>
            <w:tcW w:type="dxa" w:w="2268"/>
          </w:tcPr>
          <w:p>
            <w:pPr>
              <w:jc w:val="right"/>
            </w:pPr>
            <w:r/>
            <w:r>
              <w:rPr>
                <w:sz w:val="17"/>
              </w:rPr>
              <w:t>60</w:t>
            </w:r>
          </w:p>
        </w:tc>
        <w:tc>
          <w:tcPr>
            <w:tcW w:type="dxa" w:w="1701"/>
          </w:tcPr>
          <w:p>
            <w:pPr>
              <w:jc w:val="right"/>
            </w:pPr>
            <w:r/>
            <w:r>
              <w:rPr>
                <w:sz w:val="17"/>
              </w:rPr>
              <w:t>88%</w:t>
            </w:r>
          </w:p>
        </w:tc>
      </w:tr>
      <w:tr>
        <w:tc>
          <w:tcPr>
            <w:tcW w:type="dxa" w:w="1701"/>
          </w:tcPr>
          <w:p>
            <w:r/>
            <w:r>
              <w:rPr>
                <w:sz w:val="17"/>
              </w:rPr>
              <w:t>2024</w:t>
            </w:r>
          </w:p>
        </w:tc>
        <w:tc>
          <w:tcPr>
            <w:tcW w:type="dxa" w:w="1701"/>
          </w:tcPr>
          <w:p>
            <w:pPr>
              <w:jc w:val="right"/>
            </w:pPr>
            <w:r/>
            <w:r>
              <w:rPr>
                <w:sz w:val="17"/>
              </w:rPr>
              <w:t>67</w:t>
            </w:r>
          </w:p>
        </w:tc>
        <w:tc>
          <w:tcPr>
            <w:tcW w:type="dxa" w:w="2268"/>
          </w:tcPr>
          <w:p>
            <w:pPr>
              <w:jc w:val="right"/>
            </w:pPr>
            <w:r/>
            <w:r>
              <w:rPr>
                <w:sz w:val="17"/>
              </w:rPr>
              <w:t>67</w:t>
            </w:r>
          </w:p>
        </w:tc>
        <w:tc>
          <w:tcPr>
            <w:tcW w:type="dxa" w:w="1701"/>
          </w:tcPr>
          <w:p>
            <w:pPr>
              <w:jc w:val="right"/>
            </w:pPr>
            <w:r/>
            <w:r>
              <w:rPr>
                <w:sz w:val="17"/>
              </w:rPr>
              <w:t>100%</w:t>
            </w:r>
          </w:p>
        </w:tc>
      </w:tr>
      <w:tr>
        <w:tc>
          <w:tcPr>
            <w:tcW w:type="dxa" w:w="1701"/>
          </w:tcPr>
          <w:p>
            <w:r/>
            <w:r>
              <w:rPr>
                <w:sz w:val="17"/>
              </w:rPr>
              <w:t>2025</w:t>
            </w:r>
          </w:p>
        </w:tc>
        <w:tc>
          <w:tcPr>
            <w:tcW w:type="dxa" w:w="1701"/>
          </w:tcPr>
          <w:p>
            <w:pPr>
              <w:jc w:val="right"/>
            </w:pPr>
            <w:r/>
            <w:r>
              <w:rPr>
                <w:sz w:val="17"/>
              </w:rPr>
              <w:t>112</w:t>
            </w:r>
          </w:p>
        </w:tc>
        <w:tc>
          <w:tcPr>
            <w:tcW w:type="dxa" w:w="2268"/>
          </w:tcPr>
          <w:p>
            <w:pPr>
              <w:jc w:val="right"/>
            </w:pPr>
            <w:r/>
            <w:r>
              <w:rPr>
                <w:sz w:val="17"/>
              </w:rPr>
              <w:t>111</w:t>
            </w:r>
          </w:p>
        </w:tc>
        <w:tc>
          <w:tcPr>
            <w:tcW w:type="dxa" w:w="1701"/>
          </w:tcPr>
          <w:p>
            <w:pPr>
              <w:jc w:val="right"/>
            </w:pPr>
            <w:r/>
            <w:r>
              <w:rPr>
                <w:sz w:val="17"/>
              </w:rPr>
              <w:t>99%</w:t>
            </w:r>
          </w:p>
        </w:tc>
      </w:tr>
      <w:tr>
        <w:tc>
          <w:tcPr>
            <w:tcW w:type="dxa" w:w="1701"/>
          </w:tcPr>
          <w:p>
            <w:r/>
            <w:r>
              <w:rPr>
                <w:sz w:val="17"/>
              </w:rPr>
              <w:t>2026</w:t>
            </w:r>
          </w:p>
        </w:tc>
        <w:tc>
          <w:tcPr>
            <w:tcW w:type="dxa" w:w="1701"/>
          </w:tcPr>
          <w:p>
            <w:pPr>
              <w:jc w:val="right"/>
            </w:pPr>
            <w:r/>
            <w:r>
              <w:rPr>
                <w:sz w:val="17"/>
              </w:rPr>
              <w:t>108</w:t>
            </w:r>
          </w:p>
        </w:tc>
        <w:tc>
          <w:tcPr>
            <w:tcW w:type="dxa" w:w="2268"/>
          </w:tcPr>
          <w:p>
            <w:pPr>
              <w:jc w:val="right"/>
            </w:pPr>
            <w:r/>
            <w:r>
              <w:rPr>
                <w:sz w:val="17"/>
              </w:rPr>
              <w:t>108</w:t>
            </w:r>
          </w:p>
        </w:tc>
        <w:tc>
          <w:tcPr>
            <w:tcW w:type="dxa" w:w="1701"/>
          </w:tcPr>
          <w:p>
            <w:pPr>
              <w:jc w:val="right"/>
            </w:pPr>
            <w:r/>
            <w:r>
              <w:rPr>
                <w:sz w:val="17"/>
              </w:rPr>
              <w:t>100%</w:t>
            </w:r>
          </w:p>
        </w:tc>
      </w:tr>
    </w:tbl>
    <w:p>
      <w:pPr>
        <w:spacing w:after="40"/>
      </w:pPr>
    </w:p>
    <w:p>
      <w:pPr>
        <w:spacing w:after="120"/>
      </w:pPr>
      <w:r>
        <w:rPr>
          <w:b w:val="0"/>
          <w:i w:val="0"/>
          <w:sz w:val="21"/>
        </w:rPr>
        <w:t>Where each number comes from, in order of preference:</w:t>
      </w:r>
    </w:p>
    <w:p>
      <w:pPr>
        <w:pStyle w:val="ListBullet"/>
        <w:spacing w:after="60"/>
      </w:pPr>
      <w:r>
        <w:rPr>
          <w:sz w:val="21"/>
        </w:rPr>
        <w:t>etnet's per-deal IPO page (231 deals). It keeps the evening session for all three brokers, Bright Smart (耀才), Phillip (輝立) and Futu (富途), with each one's close and volume. The database takes the venue with the most volume and records which one it was. It starts on 2 October 2024.</w:t>
      </w:r>
    </w:p>
    <w:p>
      <w:pPr>
        <w:pStyle w:val="ListBullet"/>
        <w:spacing w:after="60"/>
      </w:pPr>
      <w:r>
        <w:rPr>
          <w:sz w:val="21"/>
        </w:rPr>
        <w:t>etnet's news wire (200 deals). Every evening etnet writes the session up: "藥師幫暗盤收高30%… 輝立暗盤收報26元". Its articles are numbered by date (e.g. 20230627388), so I read every article on each grey-session evening and the next morning, back to January 2021, and took Phillip's close from the story. Where etnet's table also exists the two agree to the cent (FWD 36.75, Anjoy 59.6).</w:t>
      </w:r>
    </w:p>
    <w:p>
      <w:pPr>
        <w:pStyle w:val="ListBullet"/>
        <w:spacing w:after="60"/>
      </w:pPr>
      <w:r>
        <w:rPr>
          <w:sz w:val="21"/>
        </w:rPr>
        <w:t>AAStocks' standard headline, 《新股》…暗盤收報…元 (5 deals), captured each week for new listings.</w:t>
      </w:r>
    </w:p>
    <w:p>
      <w:pPr>
        <w:pStyle w:val="ListBullet"/>
        <w:spacing w:after="60"/>
      </w:pPr>
      <w:r>
        <w:rPr>
          <w:sz w:val="21"/>
        </w:rPr>
        <w:t>Press reports: HKET, Sina, 163, 華盛通, Futu and others (20 deals).</w:t>
      </w:r>
    </w:p>
    <w:p>
      <w:pPr>
        <w:spacing w:after="120"/>
      </w:pPr>
      <w:r>
        <w:rPr>
          <w:b w:val="0"/>
          <w:i w:val="0"/>
          <w:sz w:val="21"/>
        </w:rPr>
        <w:t>Every print was checked the same way: the close divided by the offer price has to give the stated percentage.</w:t>
      </w:r>
    </w:p>
    <w:p>
      <w:pPr>
        <w:spacing w:after="120"/>
      </w:pPr>
      <w:r>
        <w:rPr>
          <w:b w:val="0"/>
          <w:i w:val="0"/>
          <w:sz w:val="21"/>
        </w:rPr>
        <w:t>63 deals still have no grey close. The reasons:</w:t>
      </w:r>
    </w:p>
    <w:p>
      <w:pPr>
        <w:pStyle w:val="ListBullet"/>
        <w:spacing w:after="60"/>
      </w:pPr>
      <w:r>
        <w:rPr>
          <w:sz w:val="21"/>
        </w:rPr>
        <w:t>33 deals, mostly from early 2021, where etnet reported only the session's opening or mid-session price and never the close. An open is not a close, so no number is recorded. The database note gives the open instead.</w:t>
      </w:r>
    </w:p>
    <w:p>
      <w:pPr>
        <w:pStyle w:val="ListBullet"/>
        <w:spacing w:after="60"/>
      </w:pPr>
      <w:r>
        <w:rPr>
          <w:sz w:val="21"/>
        </w:rPr>
        <w:t>7 of the first deals settled on HKEX's new FINI platform (December 2023). etnet wrote no price story for their grey sessions.</w:t>
      </w:r>
    </w:p>
    <w:p>
      <w:pPr>
        <w:pStyle w:val="ListBullet"/>
        <w:spacing w:after="60"/>
      </w:pPr>
      <w:r>
        <w:rPr>
          <w:sz w:val="21"/>
        </w:rPr>
        <w:t>22 deals with no story about the session anywhere I could read, most of them 2021 listings (property services, pre-revenue biotech).</w:t>
      </w:r>
    </w:p>
    <w:p>
      <w:pPr>
        <w:pStyle w:val="ListBullet"/>
        <w:spacing w:after="60"/>
      </w:pPr>
      <w:r>
        <w:rPr>
          <w:sz w:val="21"/>
        </w:rPr>
        <w:t>1 follow-on offering by a stock that was already trading, so there was no grey session.</w:t>
      </w:r>
    </w:p>
    <w:p>
      <w:pPr>
        <w:spacing w:after="120"/>
      </w:pPr>
      <w:r>
        <w:rPr>
          <w:b w:val="0"/>
          <w:i w:val="0"/>
          <w:sz w:val="21"/>
        </w:rPr>
        <w:t>Every blank in the database carries a note saying which of these applies.</w:t>
      </w:r>
    </w:p>
    <w:p>
      <w:pPr>
        <w:spacing w:after="80"/>
      </w:pPr>
      <w:r>
        <w:rPr>
          <w:b/>
          <w:i w:val="0"/>
          <w:sz w:val="25"/>
        </w:rPr>
        <w:t>9. Why some keep rising after the open and some give it back</w:t>
      </w:r>
    </w:p>
    <w:p>
      <w:pPr>
        <w:spacing w:after="120"/>
      </w:pPr>
      <w:r>
        <w:rPr>
          <w:b w:val="0"/>
          <w:i w:val="0"/>
          <w:sz w:val="21"/>
        </w:rPr>
        <w:t>Inside the cluster, 9 deals closed above their open and 18 closed below it. Both groups opened at the same level (median +35.5% against +36.0%). What separates them is what the tape did after the open.</w:t>
      </w:r>
    </w:p>
    <w:tbl>
      <w:tblPr>
        <w:tblStyle w:val="TableGrid"/>
        <w:tblW w:type="auto" w:w="0"/>
        <w:tblLook w:firstColumn="1" w:firstRow="1" w:lastColumn="0" w:lastRow="0" w:noHBand="0" w:noVBand="1" w:val="04A0"/>
      </w:tblPr>
      <w:tblGrid>
        <w:gridCol w:w="3324"/>
        <w:gridCol w:w="3324"/>
        <w:gridCol w:w="3324"/>
      </w:tblGrid>
      <w:tr>
        <w:tc>
          <w:tcPr>
            <w:tcW w:type="dxa" w:w="3628"/>
          </w:tcPr>
          <w:p>
            <w:r/>
            <w:r>
              <w:rPr>
                <w:b/>
                <w:sz w:val="17"/>
              </w:rPr>
            </w:r>
          </w:p>
        </w:tc>
        <w:tc>
          <w:tcPr>
            <w:tcW w:type="dxa" w:w="2154"/>
          </w:tcPr>
          <w:p>
            <w:r/>
            <w:r>
              <w:rPr>
                <w:b/>
                <w:sz w:val="17"/>
              </w:rPr>
              <w:t>Closed above the open</w:t>
            </w:r>
          </w:p>
        </w:tc>
        <w:tc>
          <w:tcPr>
            <w:tcW w:type="dxa" w:w="1928"/>
          </w:tcPr>
          <w:p>
            <w:r/>
            <w:r>
              <w:rPr>
                <w:b/>
                <w:sz w:val="17"/>
              </w:rPr>
              <w:t>Gave it back</w:t>
            </w:r>
          </w:p>
        </w:tc>
      </w:tr>
      <w:tr>
        <w:tc>
          <w:tcPr>
            <w:tcW w:type="dxa" w:w="3628"/>
          </w:tcPr>
          <w:p>
            <w:r/>
            <w:r>
              <w:rPr>
                <w:sz w:val="17"/>
              </w:rPr>
              <w:t>Deals</w:t>
            </w:r>
          </w:p>
        </w:tc>
        <w:tc>
          <w:tcPr>
            <w:tcW w:type="dxa" w:w="2154"/>
          </w:tcPr>
          <w:p>
            <w:pPr>
              <w:jc w:val="right"/>
            </w:pPr>
            <w:r/>
            <w:r>
              <w:rPr>
                <w:sz w:val="17"/>
              </w:rPr>
              <w:t>9</w:t>
            </w:r>
          </w:p>
        </w:tc>
        <w:tc>
          <w:tcPr>
            <w:tcW w:type="dxa" w:w="1928"/>
          </w:tcPr>
          <w:p>
            <w:pPr>
              <w:jc w:val="right"/>
            </w:pPr>
            <w:r/>
            <w:r>
              <w:rPr>
                <w:sz w:val="17"/>
              </w:rPr>
              <w:t>18</w:t>
            </w:r>
          </w:p>
        </w:tc>
      </w:tr>
      <w:tr>
        <w:tc>
          <w:tcPr>
            <w:tcW w:type="dxa" w:w="3628"/>
          </w:tcPr>
          <w:p>
            <w:r/>
            <w:r>
              <w:rPr>
                <w:sz w:val="17"/>
              </w:rPr>
              <w:t>Median pop</w:t>
            </w:r>
          </w:p>
        </w:tc>
        <w:tc>
          <w:tcPr>
            <w:tcW w:type="dxa" w:w="2154"/>
          </w:tcPr>
          <w:p>
            <w:pPr>
              <w:jc w:val="right"/>
            </w:pPr>
            <w:r/>
            <w:r>
              <w:rPr>
                <w:sz w:val="17"/>
              </w:rPr>
              <w:t>+35.5%</w:t>
            </w:r>
          </w:p>
        </w:tc>
        <w:tc>
          <w:tcPr>
            <w:tcW w:type="dxa" w:w="1928"/>
          </w:tcPr>
          <w:p>
            <w:pPr>
              <w:jc w:val="right"/>
            </w:pPr>
            <w:r/>
            <w:r>
              <w:rPr>
                <w:sz w:val="17"/>
              </w:rPr>
              <w:t>+36.0%</w:t>
            </w:r>
          </w:p>
        </w:tc>
      </w:tr>
      <w:tr>
        <w:tc>
          <w:tcPr>
            <w:tcW w:type="dxa" w:w="3628"/>
          </w:tcPr>
          <w:p>
            <w:r/>
            <w:r>
              <w:rPr>
                <w:sz w:val="17"/>
              </w:rPr>
              <w:t>Median day-1</w:t>
            </w:r>
          </w:p>
        </w:tc>
        <w:tc>
          <w:tcPr>
            <w:tcW w:type="dxa" w:w="2154"/>
          </w:tcPr>
          <w:p>
            <w:pPr>
              <w:jc w:val="right"/>
            </w:pPr>
            <w:r/>
            <w:r>
              <w:rPr>
                <w:sz w:val="17"/>
              </w:rPr>
              <w:t>+84.2%</w:t>
            </w:r>
          </w:p>
        </w:tc>
        <w:tc>
          <w:tcPr>
            <w:tcW w:type="dxa" w:w="1928"/>
          </w:tcPr>
          <w:p>
            <w:pPr>
              <w:jc w:val="right"/>
            </w:pPr>
            <w:r/>
            <w:r>
              <w:rPr>
                <w:sz w:val="17"/>
              </w:rPr>
              <w:t>+20.7%</w:t>
            </w:r>
          </w:p>
        </w:tc>
      </w:tr>
      <w:tr>
        <w:tc>
          <w:tcPr>
            <w:tcW w:type="dxa" w:w="3628"/>
          </w:tcPr>
          <w:p>
            <w:r/>
            <w:r>
              <w:rPr>
                <w:sz w:val="17"/>
              </w:rPr>
              <w:t>Day-1 volume ÷ shares retail got</w:t>
            </w:r>
          </w:p>
        </w:tc>
        <w:tc>
          <w:tcPr>
            <w:tcW w:type="dxa" w:w="2154"/>
          </w:tcPr>
          <w:p>
            <w:pPr>
              <w:jc w:val="right"/>
            </w:pPr>
            <w:r/>
            <w:r>
              <w:rPr>
                <w:sz w:val="17"/>
              </w:rPr>
              <w:t>1.4x</w:t>
            </w:r>
          </w:p>
        </w:tc>
        <w:tc>
          <w:tcPr>
            <w:tcW w:type="dxa" w:w="1928"/>
          </w:tcPr>
          <w:p>
            <w:pPr>
              <w:jc w:val="right"/>
            </w:pPr>
            <w:r/>
            <w:r>
              <w:rPr>
                <w:sz w:val="17"/>
              </w:rPr>
              <w:t>2.6x</w:t>
            </w:r>
          </w:p>
        </w:tc>
      </w:tr>
      <w:tr>
        <w:tc>
          <w:tcPr>
            <w:tcW w:type="dxa" w:w="3628"/>
          </w:tcPr>
          <w:p>
            <w:r/>
            <w:r>
              <w:rPr>
                <w:sz w:val="17"/>
              </w:rPr>
              <w:t>Day-1 range (high − low) ÷ open</w:t>
            </w:r>
          </w:p>
        </w:tc>
        <w:tc>
          <w:tcPr>
            <w:tcW w:type="dxa" w:w="2154"/>
          </w:tcPr>
          <w:p>
            <w:pPr>
              <w:jc w:val="right"/>
            </w:pPr>
            <w:r/>
            <w:r>
              <w:rPr>
                <w:sz w:val="17"/>
              </w:rPr>
              <w:t>22.7%</w:t>
            </w:r>
          </w:p>
        </w:tc>
        <w:tc>
          <w:tcPr>
            <w:tcW w:type="dxa" w:w="1928"/>
          </w:tcPr>
          <w:p>
            <w:pPr>
              <w:jc w:val="right"/>
            </w:pPr>
            <w:r/>
            <w:r>
              <w:rPr>
                <w:sz w:val="17"/>
              </w:rPr>
              <w:t>29.2%</w:t>
            </w:r>
          </w:p>
        </w:tc>
      </w:tr>
      <w:tr>
        <w:tc>
          <w:tcPr>
            <w:tcW w:type="dxa" w:w="3628"/>
          </w:tcPr>
          <w:p>
            <w:r/>
            <w:r>
              <w:rPr>
                <w:sz w:val="17"/>
              </w:rPr>
              <w:t>Retail %</w:t>
            </w:r>
          </w:p>
        </w:tc>
        <w:tc>
          <w:tcPr>
            <w:tcW w:type="dxa" w:w="2154"/>
          </w:tcPr>
          <w:p>
            <w:pPr>
              <w:jc w:val="right"/>
            </w:pPr>
            <w:r/>
            <w:r>
              <w:rPr>
                <w:sz w:val="17"/>
              </w:rPr>
              <w:t>12.8%</w:t>
            </w:r>
          </w:p>
        </w:tc>
        <w:tc>
          <w:tcPr>
            <w:tcW w:type="dxa" w:w="1928"/>
          </w:tcPr>
          <w:p>
            <w:pPr>
              <w:jc w:val="right"/>
            </w:pPr>
            <w:r/>
            <w:r>
              <w:rPr>
                <w:sz w:val="17"/>
              </w:rPr>
              <w:t>17.2%</w:t>
            </w:r>
          </w:p>
        </w:tc>
      </w:tr>
      <w:tr>
        <w:tc>
          <w:tcPr>
            <w:tcW w:type="dxa" w:w="3628"/>
          </w:tcPr>
          <w:p>
            <w:r/>
            <w:r>
              <w:rPr>
                <w:sz w:val="17"/>
              </w:rPr>
              <w:t>Retail book</w:t>
            </w:r>
          </w:p>
        </w:tc>
        <w:tc>
          <w:tcPr>
            <w:tcW w:type="dxa" w:w="2154"/>
          </w:tcPr>
          <w:p>
            <w:pPr>
              <w:jc w:val="right"/>
            </w:pPr>
            <w:r/>
            <w:r>
              <w:rPr>
                <w:sz w:val="17"/>
              </w:rPr>
              <w:t>34.4x</w:t>
            </w:r>
          </w:p>
        </w:tc>
        <w:tc>
          <w:tcPr>
            <w:tcW w:type="dxa" w:w="1928"/>
          </w:tcPr>
          <w:p>
            <w:pPr>
              <w:jc w:val="right"/>
            </w:pPr>
            <w:r/>
            <w:r>
              <w:rPr>
                <w:sz w:val="17"/>
              </w:rPr>
              <w:t>89.4x</w:t>
            </w:r>
          </w:p>
        </w:tc>
      </w:tr>
      <w:tr>
        <w:tc>
          <w:tcPr>
            <w:tcW w:type="dxa" w:w="3628"/>
          </w:tcPr>
          <w:p>
            <w:r/>
            <w:r>
              <w:rPr>
                <w:sz w:val="17"/>
              </w:rPr>
              <w:t>Deal size HK$m</w:t>
            </w:r>
          </w:p>
        </w:tc>
        <w:tc>
          <w:tcPr>
            <w:tcW w:type="dxa" w:w="2154"/>
          </w:tcPr>
          <w:p>
            <w:pPr>
              <w:jc w:val="right"/>
            </w:pPr>
            <w:r/>
            <w:r>
              <w:rPr>
                <w:sz w:val="17"/>
              </w:rPr>
              <w:t>339</w:t>
            </w:r>
          </w:p>
        </w:tc>
        <w:tc>
          <w:tcPr>
            <w:tcW w:type="dxa" w:w="1928"/>
          </w:tcPr>
          <w:p>
            <w:pPr>
              <w:jc w:val="right"/>
            </w:pPr>
            <w:r/>
            <w:r>
              <w:rPr>
                <w:sz w:val="17"/>
              </w:rPr>
              <w:t>168</w:t>
            </w:r>
          </w:p>
        </w:tc>
      </w:tr>
      <w:tr>
        <w:tc>
          <w:tcPr>
            <w:tcW w:type="dxa" w:w="3628"/>
          </w:tcPr>
          <w:p>
            <w:r/>
            <w:r>
              <w:rPr>
                <w:sz w:val="17"/>
              </w:rPr>
              <w:t>1 week later, from the day-1 close</w:t>
            </w:r>
          </w:p>
        </w:tc>
        <w:tc>
          <w:tcPr>
            <w:tcW w:type="dxa" w:w="2154"/>
          </w:tcPr>
          <w:p>
            <w:pPr>
              <w:jc w:val="right"/>
            </w:pPr>
            <w:r/>
            <w:r>
              <w:rPr>
                <w:sz w:val="17"/>
              </w:rPr>
              <w:t>+2.8%</w:t>
            </w:r>
          </w:p>
        </w:tc>
        <w:tc>
          <w:tcPr>
            <w:tcW w:type="dxa" w:w="1928"/>
          </w:tcPr>
          <w:p>
            <w:pPr>
              <w:jc w:val="right"/>
            </w:pPr>
            <w:r/>
            <w:r>
              <w:rPr>
                <w:sz w:val="17"/>
              </w:rPr>
              <w:t>-7.1%</w:t>
            </w:r>
          </w:p>
        </w:tc>
      </w:tr>
      <w:tr>
        <w:tc>
          <w:tcPr>
            <w:tcW w:type="dxa" w:w="3628"/>
          </w:tcPr>
          <w:p>
            <w:r/>
            <w:r>
              <w:rPr>
                <w:sz w:val="17"/>
              </w:rPr>
              <w:t>1 month later, from the day-1 close</w:t>
            </w:r>
          </w:p>
        </w:tc>
        <w:tc>
          <w:tcPr>
            <w:tcW w:type="dxa" w:w="2154"/>
          </w:tcPr>
          <w:p>
            <w:pPr>
              <w:jc w:val="right"/>
            </w:pPr>
            <w:r/>
            <w:r>
              <w:rPr>
                <w:sz w:val="17"/>
              </w:rPr>
              <w:t>+17.8%</w:t>
            </w:r>
          </w:p>
        </w:tc>
        <w:tc>
          <w:tcPr>
            <w:tcW w:type="dxa" w:w="1928"/>
          </w:tcPr>
          <w:p>
            <w:pPr>
              <w:jc w:val="right"/>
            </w:pPr>
            <w:r/>
            <w:r>
              <w:rPr>
                <w:sz w:val="17"/>
              </w:rPr>
              <w:t>-0.6%</w:t>
            </w:r>
          </w:p>
        </w:tc>
      </w:tr>
    </w:tbl>
    <w:p>
      <w:pPr>
        <w:spacing w:after="40"/>
      </w:pPr>
    </w:p>
    <w:p>
      <w:pPr>
        <w:spacing w:after="120"/>
      </w:pPr>
      <w:r>
        <w:rPr>
          <w:b w:val="0"/>
          <w:i w:val="0"/>
          <w:sz w:val="21"/>
        </w:rPr>
        <w:t>Volume against the retail float is the tell, and it is the strongest relationship in the whole study (rank correlation -0.55 with the move from open to close).</w:t>
      </w:r>
    </w:p>
    <w:p>
      <w:pPr>
        <w:pStyle w:val="ListBullet"/>
        <w:spacing w:after="60"/>
      </w:pPr>
      <w:r>
        <w:rPr>
          <w:sz w:val="21"/>
        </w:rPr>
        <w:t>9 deals traded 1.4x or less of the shares retail received. Their moves from open to close were small in either direction, a median 7.1 points. The placees were sitting still.</w:t>
      </w:r>
    </w:p>
    <w:p>
      <w:pPr>
        <w:pStyle w:val="ListBullet"/>
        <w:spacing w:after="60"/>
      </w:pPr>
      <w:r>
        <w:rPr>
          <w:sz w:val="21"/>
        </w:rPr>
        <w:t>15 deals traded 2x or more. Their moves were large, a median 14.5 points, and 11 of the 15 were downward. Every big give-back is in this group: Fujing Holdings -30.5% on 2.6x, Wuhan Youji -28.9% on 2.9x, Jiangsu Horizon -27.3% on 3.1x, Shougang Lanza -24.8% on 6.2x, Newtrend Group -24.1% on 3.1x.</w:t>
      </w:r>
    </w:p>
    <w:p>
      <w:pPr>
        <w:pStyle w:val="ListBullet"/>
        <w:spacing w:after="60"/>
      </w:pPr>
      <w:r>
        <w:rPr>
          <w:sz w:val="21"/>
        </w:rPr>
        <w:t>4 of those heavy-volume deals still closed above their open: Ab&amp;B Bio-Tech-B (pop +155.8%, close +158.0%), Excelland Robot (pop +142.2%, close +153.8%), Easou Tech (pop +46.5%, close +91.7%), Eda Group Hldgs (pop +35.5%, close +84.2%). Heavy volume with a rising price means the selling was met by heavier buying. 163.com described exactly this on EDA and called it 貨源歸邊 — the shares gathering into hands that wanted them.</w:t>
      </w:r>
    </w:p>
    <w:p>
      <w:pPr>
        <w:spacing w:after="120"/>
      </w:pPr>
      <w:r>
        <w:rPr>
          <w:b w:val="0"/>
          <w:i w:val="0"/>
          <w:sz w:val="21"/>
        </w:rPr>
        <w:t>Two supporting facts, both pointing the same way. The more shares retail received, the more likely the pop was given back (rank correlation -0.35) — more retail holders means more sellers at the open. The hotter the retail book, the more likely it was given back (-0.44). The grey does not help here (-0.22: a bigger grey went with a bigger give-back) and neither does the index (-0.03).</w:t>
      </w:r>
    </w:p>
    <w:p>
      <w:pPr>
        <w:spacing w:after="120"/>
      </w:pPr>
      <w:r>
        <w:rPr>
          <w:b w:val="0"/>
          <w:i w:val="0"/>
          <w:sz w:val="21"/>
        </w:rPr>
        <w:t>Shougang Lanza is the clearest give-back: 93% of its entire offering traded on day one, 6.2x its retail tranche, in a 43% range, and it closed 25 points below its open. Ruichang is the same story smaller: it opened +23.8%, closed +14.3%, and had net mega-lot outflow of HK$2.69m on the day, which 21財經 reported at the time as 主力出逃 — the main holders leaving.</w:t>
      </w:r>
    </w:p>
    <w:p>
      <w:pPr>
        <w:spacing w:after="120"/>
      </w:pPr>
      <w:r>
        <w:rPr>
          <w:b w:val="0"/>
          <w:i w:val="0"/>
          <w:sz w:val="21"/>
        </w:rPr>
        <w:t>After day one the outcome is genuinely two-sided. One month on, measured from the day-1 close, the cluster's median is +9.5% but the range runs from -46.1% to +103.7%. Three months on it runs from -59.7% to +202.7%, with half positive. A placing book of about 120 names holding 85% of a HK$200m company can walk the price up for months or let it go, and nothing in the terms tells you which.</w:t>
      </w:r>
    </w:p>
    <w:p>
      <w:pPr>
        <w:spacing w:after="80"/>
      </w:pPr>
      <w:r>
        <w:rPr>
          <w:b/>
          <w:i w:val="0"/>
          <w:sz w:val="25"/>
        </w:rPr>
        <w:t>10. What can you know before the allotment result?</w:t>
      </w:r>
    </w:p>
    <w:p>
      <w:pPr>
        <w:spacing w:after="120"/>
      </w:pPr>
      <w:r>
        <w:rPr>
          <w:b w:val="0"/>
          <w:i w:val="0"/>
          <w:sz w:val="21"/>
        </w:rPr>
        <w:t>For retail demand, a lot. The brokers publish running margin-financing totals through the offer period and the press aggregates them daily as 孖展超購X倍. Two examples from your list:</w:t>
      </w:r>
    </w:p>
    <w:p>
      <w:pPr>
        <w:pStyle w:val="ListBullet"/>
        <w:spacing w:after="60"/>
      </w:pPr>
      <w:r>
        <w:rPr>
          <w:sz w:val="21"/>
        </w:rPr>
        <w:t>Shougang Lanza: 36x on day two of the offer; HK$77.6bn of margin and 1,133.5x on the margin count alone at the close; final official retail book 1,421.5x from 110,000 applicants.</w:t>
      </w:r>
    </w:p>
    <w:p>
      <w:pPr>
        <w:pStyle w:val="ListBullet"/>
        <w:spacing w:after="60"/>
      </w:pPr>
      <w:r>
        <w:rPr>
          <w:sz w:val="21"/>
        </w:rPr>
        <w:t>AB&amp;B: 225x on day one; HK$32.6bn and 629x at the close; final 4,007.6x from 195,000 applicants, with a one-lot hit rate of 1%.</w:t>
      </w:r>
    </w:p>
    <w:p>
      <w:pPr>
        <w:spacing w:after="120"/>
      </w:pPr>
      <w:r>
        <w:rPr>
          <w:b w:val="0"/>
          <w:i w:val="0"/>
          <w:sz w:val="21"/>
        </w:rPr>
        <w:t>The margin count is a floor — roughly half to four-fifths of the final number, because cash applications and non-reporting brokers sit outside it.</w:t>
      </w:r>
    </w:p>
    <w:p>
      <w:pPr>
        <w:spacing w:after="120"/>
      </w:pPr>
      <w:r>
        <w:rPr>
          <w:b w:val="0"/>
          <w:i w:val="0"/>
          <w:sz w:val="21"/>
        </w:rPr>
        <w:t>For the placing, nothing reliable. There is no published tally. The market chatter that appears in the same articles cannot tell a placing filled to 0.95x by 120 friendly accounts from one filled 5x by real institutions. The first hard number is the allotment notice itself, published the evening before listing: the placee count, the placing multiple and the final split are all on its cover table. About 100 to 170 placees at 0.9-something, on a deal whose retail book is 50x or more, is the pattern — and you know it by 18:00 the night before, which is when the grey session closes.</w:t>
      </w:r>
    </w:p>
    <w:p>
      <w:pPr>
        <w:spacing w:after="80"/>
      </w:pPr>
      <w:r>
        <w:rPr>
          <w:b/>
          <w:i w:val="0"/>
          <w:sz w:val="25"/>
        </w:rPr>
        <w:t>11. What to do with this</w:t>
      </w:r>
    </w:p>
    <w:p>
      <w:pPr>
        <w:pStyle w:val="ListBullet"/>
        <w:spacing w:after="60"/>
      </w:pPr>
      <w:r>
        <w:rPr>
          <w:sz w:val="21"/>
        </w:rPr>
        <w:t>Before allotment: deal under about HK$500m, margin count above 100x, Mechanism A or pre-August-2025 rules, no large cornerstone. Expect a placing of 0.9-something, 100 to 170 placees, retail 6% to 20%, and a large pop whatever the company does for a living.</w:t>
      </w:r>
    </w:p>
    <w:p>
      <w:pPr>
        <w:pStyle w:val="ListBullet"/>
        <w:spacing w:after="60"/>
      </w:pPr>
      <w:r>
        <w:rPr>
          <w:sz w:val="21"/>
        </w:rPr>
        <w:t>The evening before listing: read the allotment notice. If the placing is 0.85x to 0.99x, the grey close that same evening is where it will open, not a target to hope past.</w:t>
      </w:r>
    </w:p>
    <w:p>
      <w:pPr>
        <w:pStyle w:val="ListBullet"/>
        <w:spacing w:after="60"/>
      </w:pPr>
      <w:r>
        <w:rPr>
          <w:sz w:val="21"/>
        </w:rPr>
        <w:t>The first hour: watch volume against the shares retail received. Past about 2x by mid-morning the placing book is active and the day will be big — down 11 times out of 15 in this sample, up on the four occasions the buying was heavier. Near 1x nothing much will happen either way.</w:t>
      </w:r>
    </w:p>
    <w:p>
      <w:pPr>
        <w:pStyle w:val="ListBullet"/>
        <w:spacing w:after="60"/>
      </w:pPr>
      <w:r>
        <w:rPr>
          <w:sz w:val="21"/>
        </w:rPr>
        <w:t>Holding period: treat it as a controlled float, because it is one. Size the position for a −60% and a +200% three-month outcome. Both are in the sample.</w:t>
      </w:r>
    </w:p>
    <w:p>
      <w:pPr>
        <w:pStyle w:val="ListBullet"/>
        <w:spacing w:after="60"/>
      </w:pPr>
      <w:r>
        <w:rPr>
          <w:sz w:val="21"/>
        </w:rPr>
        <w:t>Under the new rules the tell has moved. Read the mechanism in the prospectus. Mechanism B gives retail 10% legally with a fully covered book, so the starved open is now normal for every hot deal. Mechanism A with a 0.9x placing is the old trick from a 5% base.</w:t>
      </w:r>
    </w:p>
    <w:p>
      <w:pPr>
        <w:spacing w:after="80"/>
      </w:pPr>
      <w:r>
        <w:rPr>
          <w:b/>
          <w:i w:val="0"/>
          <w:sz w:val="22"/>
        </w:rPr>
        <w:t>Sources</w:t>
      </w:r>
    </w:p>
    <w:p>
      <w:pPr>
        <w:pStyle w:val="ListBullet"/>
        <w:spacing w:after="60"/>
      </w:pPr>
      <w:r>
        <w:rPr>
          <w:sz w:val="17"/>
        </w:rPr>
        <w:t>HKEX allotment results announcements for every deal in the book — international section, final split, claw-back line, initial retail tranche — re-read for this note. AB&amp;B Bio-Tech prospectus, section "Reallocation and clawback". Excelland Robotics allotment results, 8 September 2026.</w:t>
      </w:r>
    </w:p>
    <w:p>
      <w:pPr>
        <w:pStyle w:val="ListBullet"/>
        <w:spacing w:after="60"/>
      </w:pPr>
      <w:r>
        <w:rPr>
          <w:sz w:val="17"/>
        </w:rPr>
        <w:t>Grey market: etnet per-deal IPO pages (暗盤數據 by broker, from October 2024); etnet's news wire, every article on every grey-session evening since January 2021, read by article ID (Phillip's close); AAStocks 《新股》…暗盤收報 headlines; and press reports — HKET (Breton, Wellcell, Autostreets, Bayzed, Midea, CentralChina, AB&amp;B), etnet news (Cirrus), AAStocks (Black Sesame), Sina/財聯社 (Easou), 163.com (EDA), 華盛通 (Mokingran), StockFisher (Guofuhee), Futu (Fujing).</w:t>
      </w:r>
    </w:p>
    <w:p>
      <w:pPr>
        <w:pStyle w:val="ListBullet"/>
        <w:spacing w:after="60"/>
      </w:pPr>
      <w:r>
        <w:rPr>
          <w:sz w:val="17"/>
        </w:rPr>
        <w:t>Mechanism and commentary: HKET 中慧生物-B 2627首掛…怪象令回撥由50%變12%？ (11 Aug 2025); HKET 首鋼朗澤2553首掛收升44%…國際配售認購不足、公開發售佔比增至15% (3 Jun 2026); HKET 佰澤醫療2609 (20 Jun 2025); 證券之星 宜搜科技(02550)「套路回撥」加持 (11 Jun 2024); 網易/163 上演貨源歸邊，EDA集團控股 (May 2024); 21財經 瑞昌國際控股…首日熱潮與背後的主力出逃 (12 Jul 2024); 中金在線 夢金園，又來套路回撥 (29 Nov 2024).</w:t>
      </w:r>
    </w:p>
    <w:p>
      <w:pPr>
        <w:pStyle w:val="ListBullet"/>
        <w:spacing w:after="60"/>
      </w:pPr>
      <w:r>
        <w:rPr>
          <w:sz w:val="17"/>
        </w:rPr>
        <w:t>Margin data before allotment: 明報 中慧生物首日招股 孖展超購逾225倍 (1 Aug 2025); HKET 中慧生物…孖展326億超購629倍; 新浪 首鋼朗澤招股次日孖展超36倍 (27 May 2026); TastyMoney 首鋼朗澤2553獲11萬人入飛、超購1426倍.</w:t>
      </w:r>
    </w:p>
    <w:p>
      <w:pPr>
        <w:pStyle w:val="ListBullet"/>
        <w:spacing w:after="60"/>
      </w:pPr>
      <w:r>
        <w:rPr>
          <w:sz w:val="17"/>
        </w:rPr>
        <w:t>Index levels: Hang Seng Index and HSCEI daily closes, Yahoo Finance. Listing-day open, high, low, close and volume: Tencent daily bars, 518 of 519 deals.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