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b/>
          <w:bCs/>
          <w:color w:val="1F3864"/>
          <w:sz w:val="56"/>
          <w:szCs w:val="56"/>
        </w:rPr>
        <w:t xml:space="preserve">MOE SERPS</w:t>
      </w:r>
    </w:p>
    <w:p>
      <w:pPr>
        <w:spacing w:after="80" w:before="0"/>
        <w:jc w:val="center"/>
      </w:pPr>
      <w:r>
        <w:rPr>
          <w:b/>
          <w:bCs/>
          <w:color w:val="2E5FA3"/>
          <w:sz w:val="36"/>
          <w:szCs w:val="36"/>
        </w:rPr>
        <w:t xml:space="preserve">Presenter Knowledge Base</w:t>
      </w:r>
    </w:p>
    <w:p>
      <w:pPr>
        <w:spacing w:after="40" w:before="0"/>
        <w:jc w:val="center"/>
      </w:pPr>
      <w:r>
        <w:rPr>
          <w:i/>
          <w:iCs/>
          <w:color w:val="0E7490"/>
          <w:sz w:val="24"/>
          <w:szCs w:val="24"/>
        </w:rPr>
        <w:t xml:space="preserve">School Enterprise Resource Planning System</w:t>
      </w:r>
    </w:p>
    <w:p>
      <w:pPr>
        <w:spacing w:after="600" w:before="0"/>
        <w:jc w:val="center"/>
      </w:pPr>
      <w:r>
        <w:rPr>
          <w:i/>
          <w:iCs/>
          <w:color w:val="0E7490"/>
          <w:sz w:val="24"/>
          <w:szCs w:val="24"/>
        </w:rPr>
        <w:t xml:space="preserve">Ministry of Education, Brunei Darussalam</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EF4FF" w:val="clear"/>
            <w:tcMar>
              <w:top w:type="dxa" w:w="200"/>
              <w:left w:type="dxa" w:w="300"/>
              <w:bottom w:type="dxa" w:w="200"/>
              <w:right w:type="dxa" w:w="300"/>
            </w:tcMar>
          </w:tcPr>
          <w:p>
            <w:pPr>
              <w:spacing w:after="80" w:before="0"/>
            </w:pPr>
            <w:r>
              <w:rPr>
                <w:b/>
                <w:bCs/>
                <w:color w:val="1F3864"/>
                <w:sz w:val="22"/>
                <w:szCs w:val="22"/>
              </w:rPr>
              <w:t xml:space="preserve">Purpose of this document</w:t>
            </w:r>
          </w:p>
          <w:p>
            <w:pPr>
              <w:spacing w:after="80" w:before="80"/>
            </w:pPr>
            <w:r>
              <w:rPr>
                <w:sz w:val="22"/>
                <w:szCs w:val="22"/>
              </w:rPr>
              <w:t xml:space="preserve">This document is your complete briefing guide as a foreign presenter demonstrating the SERPS POC to the Brunei Ministry of Education. Read it cover to cover before the presentation. Each section gives you exactly what you need to speak confidently - no more, no less.</w:t>
            </w:r>
          </w:p>
          <w:p>
            <w:pPr>
              <w:spacing w:after="60" w:before="60"/>
            </w:pPr>
            <w:r>
              <w:t xml:space="preserve"/>
            </w:r>
          </w:p>
          <w:p>
            <w:pPr>
              <w:spacing w:after="80" w:before="80"/>
            </w:pPr>
            <w:r>
              <w:rPr>
                <w:b/>
                <w:bCs/>
                <w:sz w:val="22"/>
                <w:szCs w:val="22"/>
              </w:rPr>
              <w:t xml:space="preserve">Estimated reading time: </w:t>
            </w:r>
            <w:r>
              <w:rPr>
                <w:color w:val="2E5FA3"/>
                <w:sz w:val="22"/>
                <w:szCs w:val="22"/>
              </w:rPr>
              <w:t xml:space="preserve">45 - 60 minutes</w:t>
            </w:r>
          </w:p>
          <w:p>
            <w:pPr>
              <w:spacing w:after="80" w:before="80"/>
            </w:pPr>
            <w:r>
              <w:rPr>
                <w:b/>
                <w:bCs/>
                <w:sz w:val="22"/>
                <w:szCs w:val="22"/>
              </w:rPr>
              <w:t xml:space="preserve">Presentation date: </w:t>
            </w:r>
            <w:r>
              <w:rPr>
                <w:sz w:val="22"/>
                <w:szCs w:val="22"/>
              </w:rPr>
              <w:t xml:space="preserve">To be confirmed</w:t>
            </w:r>
          </w:p>
        </w:tc>
      </w:tr>
    </w:tbl>
    <w:p>
      <w:r>
        <w:br w:type="page"/>
      </w:r>
    </w:p>
    <w:p>
      <w:pPr>
        <w:spacing w:after="200" w:before="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FA3" w:sz="4" w:space="6"/>
        </w:pBdr>
        <w:spacing w:after="160" w:before="400"/>
      </w:pPr>
      <w:bookmarkStart w:name="s1" w:id="1"/>
      <w:r>
        <w:rPr>
          <w:b/>
          <w:bCs/>
          <w:color w:val="1F3864"/>
          <w:sz w:val="32"/>
          <w:szCs w:val="32"/>
        </w:rPr>
        <w:t xml:space="preserve">1. Brunei Darussalam — Country Overview</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B45309" w:sz="12"/>
              <w:bottom w:val="none" w:color="FFFFFF" w:sz="0"/>
              <w:right w:val="none" w:color="FFFFFF" w:sz="0"/>
            </w:tcBorders>
            <w:shd w:fill="FFFBEB" w:val="clear"/>
            <w:tcMar>
              <w:top w:type="dxa" w:w="100"/>
              <w:left w:type="dxa" w:w="200"/>
              <w:bottom w:type="dxa" w:w="100"/>
              <w:right w:type="dxa" w:w="120"/>
            </w:tcMar>
          </w:tcPr>
          <w:p>
            <w:pPr>
              <w:spacing w:after="0" w:before="0"/>
            </w:pPr>
            <w:r>
              <w:rPr>
                <w:i/>
                <w:iCs/>
                <w:color w:val="B45309"/>
                <w:sz w:val="22"/>
                <w:szCs w:val="22"/>
              </w:rPr>
              <w:t xml:space="preserve">Know this section well. Reviewers appreciate it when a foreign presenter shows genuine understanding of Brunei's national context.</w:t>
            </w:r>
          </w:p>
        </w:tc>
      </w:tr>
    </w:tbl>
    <w:p>
      <w:pPr>
        <w:spacing w:after="60" w:before="60"/>
      </w:pPr>
      <w:r>
        <w:t xml:space="preserve"/>
      </w:r>
    </w:p>
    <w:p>
      <w:pPr>
        <w:pStyle w:val="Heading2"/>
        <w:spacing w:after="100" w:before="280"/>
      </w:pPr>
      <w:r>
        <w:rPr>
          <w:b/>
          <w:bCs/>
          <w:color w:val="2E5FA3"/>
          <w:sz w:val="26"/>
          <w:szCs w:val="26"/>
        </w:rPr>
        <w:t xml:space="preserve">1.1 Basic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Item</w:t>
            </w:r>
          </w:p>
        </w:tc>
        <w:tc>
          <w:tcPr>
            <w:tcW w:type="dxa" w:w="68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Full name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Negara Brunei Darussalam ("State of Brunei, Abode of Peace")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Location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Southeast Asia, island of Borneo; bordered by Malaysia (Sarawak)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Population</w:t>
            </w:r>
          </w:p>
        </w:tc>
        <w:tc>
          <w:tcPr>
            <w:tcW w:type="dxa" w:w="6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~450,000 people (2024 estimate)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Capital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Bandar Seri Begawan (BSB)</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Religion</w:t>
            </w:r>
          </w:p>
        </w:tc>
        <w:tc>
          <w:tcPr>
            <w:tcW w:type="dxa" w:w="6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Islam is the official state religion; Malay Islamic Monarchy (MIB) is the national ideology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Language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Bahasa Melayu (official), English widely used in education and government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Currency</w:t>
            </w:r>
          </w:p>
        </w:tc>
        <w:tc>
          <w:tcPr>
            <w:tcW w:type="dxa" w:w="6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Brunei Dollar (BND) — pegged 1:1 with Singapore Dollar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Economy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Oil and gas (dominant); government is actively diversifying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Government</w:t>
            </w:r>
          </w:p>
        </w:tc>
        <w:tc>
          <w:tcPr>
            <w:tcW w:type="dxa" w:w="6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Absolute monarchy. His Majesty Sultan Hassanal Bolkiah has ruled since 1967</w:t>
            </w:r>
          </w:p>
        </w:tc>
      </w:tr>
    </w:tbl>
    <w:p>
      <w:pPr>
        <w:spacing w:after="60" w:before="60"/>
      </w:pPr>
      <w:r>
        <w:t xml:space="preserve"/>
      </w:r>
    </w:p>
    <w:p>
      <w:pPr>
        <w:pStyle w:val="Heading2"/>
        <w:spacing w:after="100" w:before="280"/>
      </w:pPr>
      <w:r>
        <w:rPr>
          <w:b/>
          <w:bCs/>
          <w:color w:val="2E5FA3"/>
          <w:sz w:val="26"/>
          <w:szCs w:val="26"/>
        </w:rPr>
        <w:t xml:space="preserve">1.2 Wawasan Brunei 2035 — The National Vision</w:t>
      </w:r>
    </w:p>
    <w:p>
      <w:pPr>
        <w:spacing w:after="80" w:before="80"/>
      </w:pPr>
      <w:r>
        <w:rPr>
          <w:sz w:val="22"/>
          <w:szCs w:val="22"/>
        </w:rPr>
        <w:t xml:space="preserve">Wawasan 2035 (Vision 2035) is Brunei's long-term development blueprint. Three goals are central:</w:t>
      </w:r>
    </w:p>
    <w:p>
      <w:pPr>
        <w:pStyle w:val="ListParagraph"/>
        <w:numPr>
          <w:ilvl w:val="0"/>
          <w:numId w:val="2"/>
        </w:numPr>
        <w:spacing w:after="40" w:before="40"/>
      </w:pPr>
      <w:r>
        <w:rPr>
          <w:sz w:val="22"/>
          <w:szCs w:val="22"/>
        </w:rPr>
        <w:t xml:space="preserve">Educated and highly-skilled people — produce world-class graduates</w:t>
      </w:r>
    </w:p>
    <w:p>
      <w:pPr>
        <w:pStyle w:val="ListParagraph"/>
        <w:numPr>
          <w:ilvl w:val="0"/>
          <w:numId w:val="2"/>
        </w:numPr>
        <w:spacing w:after="40" w:before="40"/>
      </w:pPr>
      <w:r>
        <w:rPr>
          <w:sz w:val="22"/>
          <w:szCs w:val="22"/>
        </w:rPr>
        <w:t xml:space="preserve">High quality of life — sustained, improving standards for all citizens</w:t>
      </w:r>
    </w:p>
    <w:p>
      <w:pPr>
        <w:pStyle w:val="ListParagraph"/>
        <w:numPr>
          <w:ilvl w:val="0"/>
          <w:numId w:val="2"/>
        </w:numPr>
        <w:spacing w:after="40" w:before="40"/>
      </w:pPr>
      <w:r>
        <w:rPr>
          <w:sz w:val="22"/>
          <w:szCs w:val="22"/>
        </w:rPr>
        <w:t xml:space="preserve">Dynamic and sustainable economy — diversify beyond oil and gas</w:t>
      </w:r>
    </w:p>
    <w:p>
      <w:pPr>
        <w:spacing w:after="6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E7490" w:sz="12"/>
              <w:bottom w:val="none" w:color="FFFFFF" w:sz="0"/>
              <w:right w:val="none" w:color="FFFFFF" w:sz="0"/>
            </w:tcBorders>
            <w:shd w:fill="F0FDFA" w:val="clear"/>
            <w:tcMar>
              <w:top w:type="dxa" w:w="100"/>
              <w:left w:type="dxa" w:w="200"/>
              <w:bottom w:type="dxa" w:w="100"/>
              <w:right w:type="dxa" w:w="120"/>
            </w:tcMar>
          </w:tcPr>
          <w:p>
            <w:pPr>
              <w:spacing w:after="0" w:before="0"/>
            </w:pPr>
            <w:r>
              <w:rPr>
                <w:i/>
                <w:iCs/>
                <w:color w:val="0E7490"/>
                <w:sz w:val="22"/>
                <w:szCs w:val="22"/>
              </w:rPr>
              <w:t xml:space="preserve">WHY IT MATTERS FOR YOUR PRESENTATION: Every time you say "SERPS supports Wawasan 2035" you are speaking the language of your audience. MOE officials are evaluated against Wawasan goals. Mentioning it signals you understand the big picture.</w:t>
            </w:r>
          </w:p>
        </w:tc>
      </w:tr>
    </w:tbl>
    <w:p>
      <w:pPr>
        <w:spacing w:after="60" w:before="60"/>
      </w:pPr>
      <w:r>
        <w:t xml:space="preserve"/>
      </w:r>
    </w:p>
    <w:p>
      <w:pPr>
        <w:pStyle w:val="Heading2"/>
        <w:spacing w:after="100" w:before="280"/>
      </w:pPr>
      <w:r>
        <w:rPr>
          <w:b/>
          <w:bCs/>
          <w:color w:val="2E5FA3"/>
          <w:sz w:val="26"/>
          <w:szCs w:val="26"/>
        </w:rPr>
        <w:t xml:space="preserve">1.3 MIB — Malay Islamic Monarchy</w:t>
      </w:r>
    </w:p>
    <w:p>
      <w:pPr>
        <w:spacing w:after="80" w:before="80"/>
      </w:pPr>
      <w:r>
        <w:rPr>
          <w:sz w:val="22"/>
          <w:szCs w:val="22"/>
        </w:rPr>
        <w:t xml:space="preserve">MIB (Melayu Islam Beraja) is not just religion — it is the ideological foundation of Brunei. It fuses Malay culture, Islamic values, and monarchy into one national identity. Brunei's schools, especially MORA schools, strongly embody MIB. Acknowledge it respectfully; never challenge or trivialise it.</w:t>
      </w:r>
    </w:p>
    <w:p>
      <w:pPr>
        <w:spacing w:after="60" w:before="60"/>
      </w:pPr>
      <w:r>
        <w:t xml:space="preserve"/>
      </w:r>
    </w:p>
    <w:p>
      <w:pPr>
        <w:pStyle w:val="Heading2"/>
        <w:spacing w:after="100" w:before="280"/>
      </w:pPr>
      <w:r>
        <w:rPr>
          <w:b/>
          <w:bCs/>
          <w:color w:val="2E5FA3"/>
          <w:sz w:val="26"/>
          <w:szCs w:val="26"/>
        </w:rPr>
        <w:t xml:space="preserve">1.4 Government Digital Infrastructure</w:t>
      </w:r>
    </w:p>
    <w:p>
      <w:pPr>
        <w:spacing w:after="80" w:before="80"/>
      </w:pPr>
      <w:r>
        <w:rPr>
          <w:sz w:val="22"/>
          <w:szCs w:val="22"/>
        </w:rPr>
        <w:t xml:space="preserve">Brunei operates a national e-government infrastructure under the E-Government National Centre (EGNC). SERPS must integrate with it. Key systems:</w:t>
      </w:r>
    </w:p>
    <w:p>
      <w:pPr>
        <w:pStyle w:val="ListParagraph"/>
        <w:numPr>
          <w:ilvl w:val="0"/>
          <w:numId w:val="2"/>
        </w:numPr>
        <w:spacing w:after="40" w:before="40"/>
      </w:pPr>
      <w:r>
        <w:rPr>
          <w:b/>
          <w:bCs/>
          <w:sz w:val="22"/>
          <w:szCs w:val="22"/>
        </w:rPr>
        <w:t xml:space="preserve">EGNC (E-Government National Centre): </w:t>
      </w:r>
      <w:r>
        <w:rPr>
          <w:sz w:val="22"/>
          <w:szCs w:val="22"/>
        </w:rPr>
        <w:t xml:space="preserve">The government's central IT hub. Hosts all government systems on sovereign infrastructure (OGPC cloud + NCDB database platform).</w:t>
      </w:r>
    </w:p>
    <w:p>
      <w:pPr>
        <w:pStyle w:val="ListParagraph"/>
        <w:numPr>
          <w:ilvl w:val="0"/>
          <w:numId w:val="2"/>
        </w:numPr>
        <w:spacing w:after="40" w:before="40"/>
      </w:pPr>
      <w:r>
        <w:rPr>
          <w:b/>
          <w:bCs/>
          <w:sz w:val="22"/>
          <w:szCs w:val="22"/>
        </w:rPr>
        <w:t xml:space="preserve">Brunei Digital ID: </w:t>
      </w:r>
      <w:r>
        <w:rPr>
          <w:sz w:val="22"/>
          <w:szCs w:val="22"/>
        </w:rPr>
        <w:t xml:space="preserve">National digital identity system. Citizens log in to government services using one unified ID — like Singapore's SingPass. SERPS integrates with this for SSO.</w:t>
      </w:r>
    </w:p>
    <w:p>
      <w:pPr>
        <w:pStyle w:val="ListParagraph"/>
        <w:numPr>
          <w:ilvl w:val="0"/>
          <w:numId w:val="2"/>
        </w:numPr>
        <w:spacing w:after="40" w:before="40"/>
      </w:pPr>
      <w:r>
        <w:rPr>
          <w:b/>
          <w:bCs/>
          <w:sz w:val="22"/>
          <w:szCs w:val="22"/>
        </w:rPr>
        <w:t xml:space="preserve">NIH (National Information Hub): </w:t>
      </w:r>
      <w:r>
        <w:rPr>
          <w:sz w:val="22"/>
          <w:szCs w:val="22"/>
        </w:rPr>
        <w:t xml:space="preserve">A secure data-sharing platform across government agencies. SERPS will publish student and educator data to NIH.</w:t>
      </w:r>
    </w:p>
    <w:p>
      <w:pPr>
        <w:pStyle w:val="ListParagraph"/>
        <w:numPr>
          <w:ilvl w:val="0"/>
          <w:numId w:val="2"/>
        </w:numPr>
        <w:spacing w:after="40" w:before="40"/>
      </w:pPr>
      <w:r>
        <w:rPr>
          <w:b/>
          <w:bCs/>
          <w:sz w:val="22"/>
          <w:szCs w:val="22"/>
        </w:rPr>
        <w:t xml:space="preserve">SSM (Sistem Saraan Malaysia / Staff Management System): </w:t>
      </w:r>
      <w:r>
        <w:rPr>
          <w:sz w:val="22"/>
          <w:szCs w:val="22"/>
        </w:rPr>
        <w:t xml:space="preserve">Government HR system that holds official staff records. SERPS syncs educator data bidirectionally with SSM.</w:t>
      </w:r>
    </w:p>
    <w:p>
      <w:pPr>
        <w:spacing w:after="60" w:before="60"/>
      </w:pPr>
      <w:r>
        <w:t xml:space="preserve"/>
      </w:r>
    </w:p>
    <w:p>
      <w:r>
        <w:br w:type="page"/>
      </w:r>
    </w:p>
    <w:p>
      <w:pPr>
        <w:pStyle w:val="Heading1"/>
        <w:pBdr>
          <w:bottom w:val="single" w:color="2E5FA3" w:sz="4" w:space="6"/>
        </w:pBdr>
        <w:spacing w:after="160" w:before="400"/>
      </w:pPr>
      <w:bookmarkStart w:name="s2" w:id="1"/>
      <w:r>
        <w:rPr>
          <w:b/>
          <w:bCs/>
          <w:color w:val="1F3864"/>
          <w:sz w:val="32"/>
          <w:szCs w:val="32"/>
        </w:rPr>
        <w:t xml:space="preserve">2. Brunei's Education System</w:t>
      </w:r>
      <w:bookmarkEnd w:id="1"/>
    </w:p>
    <w:p>
      <w:pPr>
        <w:pStyle w:val="Heading2"/>
        <w:spacing w:after="100" w:before="280"/>
      </w:pPr>
      <w:r>
        <w:rPr>
          <w:b/>
          <w:bCs/>
          <w:color w:val="2E5FA3"/>
          <w:sz w:val="26"/>
          <w:szCs w:val="26"/>
        </w:rPr>
        <w:t xml:space="preserve">2.1 The Three Authorities</w:t>
      </w:r>
    </w:p>
    <w:p>
      <w:pPr>
        <w:spacing w:after="80" w:before="80"/>
      </w:pPr>
      <w:r>
        <w:rPr>
          <w:sz w:val="22"/>
          <w:szCs w:val="22"/>
        </w:rPr>
        <w:t xml:space="preserve">Brunei's schools fall under three governing authorities. SERPS serves all three — a key differentiator in our demo.</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838"/>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Authority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School Types</w:t>
            </w:r>
          </w:p>
        </w:tc>
        <w:tc>
          <w:tcPr>
            <w:tcW w:type="dxa" w:w="28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Language Focus</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MOE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Ministry of Education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Primary, Secondary, Pre-University</w:t>
            </w:r>
          </w:p>
        </w:tc>
        <w:tc>
          <w:tcPr>
            <w:tcW w:type="dxa" w:w="2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English + Malay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MORA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Ministry of Religious Affairs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Religious Primary &amp; Secondary (Ugama + Menengah Agama)</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Arabic + Malay + Religious studies</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Private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Dept of Private Education (under MOE)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International schools, tutoring centres</w:t>
            </w:r>
          </w:p>
        </w:tc>
        <w:tc>
          <w:tcPr>
            <w:tcW w:type="dxa" w:w="2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Varies (IB, Cambridge, National)</w:t>
            </w:r>
          </w:p>
        </w:tc>
      </w:tr>
    </w:tbl>
    <w:p>
      <w:pPr>
        <w:spacing w:after="60" w:before="60"/>
      </w:pPr>
      <w:r>
        <w:t xml:space="preserve"/>
      </w:r>
    </w:p>
    <w:p>
      <w:pPr>
        <w:pStyle w:val="Heading2"/>
        <w:spacing w:after="100" w:before="280"/>
      </w:pPr>
      <w:r>
        <w:rPr>
          <w:b/>
          <w:bCs/>
          <w:color w:val="2E5FA3"/>
          <w:sz w:val="26"/>
          <w:szCs w:val="26"/>
        </w:rPr>
        <w:t xml:space="preserve">2.2 SPN21 — The National Curriculum</w:t>
      </w:r>
    </w:p>
    <w:p>
      <w:pPr>
        <w:spacing w:after="80" w:before="80"/>
      </w:pPr>
      <w:r>
        <w:rPr>
          <w:sz w:val="22"/>
          <w:szCs w:val="22"/>
        </w:rPr>
        <w:t xml:space="preserve">SPN21 (Sistem Pendidikan Negara Abad ke-21 = "National Education System for the 21st Century") was introduced in 2008. It replaced the old O-Level-only track. Key features:</w:t>
      </w:r>
    </w:p>
    <w:p>
      <w:pPr>
        <w:pStyle w:val="ListParagraph"/>
        <w:numPr>
          <w:ilvl w:val="0"/>
          <w:numId w:val="2"/>
        </w:numPr>
        <w:spacing w:after="40" w:before="40"/>
      </w:pPr>
      <w:r>
        <w:rPr>
          <w:sz w:val="22"/>
          <w:szCs w:val="22"/>
        </w:rPr>
        <w:t xml:space="preserve">12 years of schooling: Year 1 (age 6) through Year 12/13 (age 17/18)</w:t>
      </w:r>
    </w:p>
    <w:p>
      <w:pPr>
        <w:pStyle w:val="ListParagraph"/>
        <w:numPr>
          <w:ilvl w:val="0"/>
          <w:numId w:val="2"/>
        </w:numPr>
        <w:spacing w:after="40" w:before="40"/>
      </w:pPr>
      <w:r>
        <w:rPr>
          <w:sz w:val="22"/>
          <w:szCs w:val="22"/>
        </w:rPr>
        <w:t xml:space="preserve">Bilingual from Year 1: English for Mathematics and Sciences; Malay for Humanities</w:t>
      </w:r>
    </w:p>
    <w:p>
      <w:pPr>
        <w:pStyle w:val="ListParagraph"/>
        <w:numPr>
          <w:ilvl w:val="0"/>
          <w:numId w:val="2"/>
        </w:numPr>
        <w:spacing w:after="40" w:before="40"/>
      </w:pPr>
      <w:r>
        <w:rPr>
          <w:sz w:val="22"/>
          <w:szCs w:val="22"/>
        </w:rPr>
        <w:t xml:space="preserve">Students are streamed at Year 7 (secondary entry) based on primary school results</w:t>
      </w:r>
    </w:p>
    <w:p>
      <w:pPr>
        <w:pStyle w:val="ListParagraph"/>
        <w:numPr>
          <w:ilvl w:val="0"/>
          <w:numId w:val="2"/>
        </w:numPr>
        <w:spacing w:after="40" w:before="40"/>
      </w:pPr>
      <w:r>
        <w:rPr>
          <w:sz w:val="22"/>
          <w:szCs w:val="22"/>
        </w:rPr>
        <w:t xml:space="preserve">Multiple exit pathways: vocational, academic, or technical tracks</w:t>
      </w:r>
    </w:p>
    <w:p>
      <w:pPr>
        <w:pStyle w:val="ListParagraph"/>
        <w:numPr>
          <w:ilvl w:val="0"/>
          <w:numId w:val="2"/>
        </w:numPr>
        <w:spacing w:after="40" w:before="40"/>
      </w:pPr>
      <w:r>
        <w:rPr>
          <w:sz w:val="22"/>
          <w:szCs w:val="22"/>
        </w:rPr>
        <w:t xml:space="preserve">National examinations include PSR (Year 6) and national O-Level equivalent at Year 10/11</w:t>
      </w:r>
    </w:p>
    <w:p>
      <w:pPr>
        <w:spacing w:after="60" w:before="60"/>
      </w:pPr>
      <w:r>
        <w:t xml:space="preserve"/>
      </w:r>
    </w:p>
    <w:p>
      <w:pPr>
        <w:pStyle w:val="Heading2"/>
        <w:spacing w:after="100" w:before="280"/>
      </w:pPr>
      <w:r>
        <w:rPr>
          <w:b/>
          <w:bCs/>
          <w:color w:val="2E5FA3"/>
          <w:sz w:val="26"/>
          <w:szCs w:val="26"/>
        </w:rPr>
        <w:t xml:space="preserve">2.3 School Year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2038"/>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Year Levels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Ages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MOE Code</w:t>
            </w:r>
          </w:p>
        </w:tc>
        <w:tc>
          <w:tcPr>
            <w:tcW w:type="dxa" w:w="2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MORA Equivalent</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Primary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1–6</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6–11</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SRPB, SR...</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 Rendah Ugama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Lower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12–14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SM... (secondary)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Tingkatan 1–3</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Upper Secondary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10–11</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15–16</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 (secondary)</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Tingkatan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Pre-University / 6th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12–13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17–18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ITB, Sixth Form Centre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N/A (rare)</w:t>
            </w:r>
          </w:p>
        </w:tc>
      </w:tr>
    </w:tbl>
    <w:p>
      <w:pPr>
        <w:spacing w:after="6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E5FA3" w:sz="12"/>
              <w:bottom w:val="none" w:color="FFFFFF" w:sz="0"/>
              <w:right w:val="none" w:color="FFFFFF" w:sz="0"/>
            </w:tcBorders>
            <w:shd w:fill="EEF4FF" w:val="clear"/>
            <w:tcMar>
              <w:top w:type="dxa" w:w="100"/>
              <w:left w:type="dxa" w:w="200"/>
              <w:bottom w:type="dxa" w:w="100"/>
              <w:right w:type="dxa" w:w="120"/>
            </w:tcMar>
          </w:tcPr>
          <w:p>
            <w:pPr>
              <w:spacing w:after="0" w:before="0"/>
            </w:pPr>
            <w:r>
              <w:rPr>
                <w:i/>
                <w:iCs/>
                <w:color w:val="2E5FA3"/>
                <w:sz w:val="22"/>
                <w:szCs w:val="22"/>
              </w:rPr>
              <w:t xml:space="preserve">QUICK MEMORY AID: Year 7 = First year of secondary school = age 12. Ahmad, our demo student, is in Year 7A (first year of secondary). His sister is in Year 9C (third year secondary, age 14).</w:t>
            </w:r>
          </w:p>
        </w:tc>
      </w:tr>
    </w:tbl>
    <w:p>
      <w:pPr>
        <w:spacing w:after="60" w:before="60"/>
      </w:pPr>
      <w:r>
        <w:t xml:space="preserve"/>
      </w:r>
    </w:p>
    <w:p>
      <w:pPr>
        <w:pStyle w:val="Heading2"/>
        <w:spacing w:after="100" w:before="280"/>
      </w:pPr>
      <w:r>
        <w:rPr>
          <w:b/>
          <w:bCs/>
          <w:color w:val="2E5FA3"/>
          <w:sz w:val="26"/>
          <w:szCs w:val="26"/>
        </w:rPr>
        <w:t xml:space="preserve">2.4 Age-to-Grade Mapping (SPN21 Convention)</w:t>
      </w:r>
    </w:p>
    <w:tbl>
      <w:tblPr>
        <w:tblW w:type="dxa" w:w="4819"/>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Year Level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Stage</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1</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Primary</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3</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Primary</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5</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Primary (PSR year)</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12</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7</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Secondary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Secondary</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14</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9</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Secondary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Secondary</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16</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11</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Secondary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Pre-University</w:t>
            </w:r>
          </w:p>
        </w:tc>
      </w:tr>
    </w:tbl>
    <w:p>
      <w:pPr>
        <w:spacing w:after="60" w:before="60"/>
      </w:pPr>
      <w:r>
        <w:t xml:space="preserve"/>
      </w:r>
    </w:p>
    <w:p>
      <w:pPr>
        <w:pStyle w:val="Heading2"/>
        <w:spacing w:after="100" w:before="280"/>
      </w:pPr>
      <w:r>
        <w:rPr>
          <w:b/>
          <w:bCs/>
          <w:color w:val="2E5FA3"/>
          <w:sz w:val="26"/>
          <w:szCs w:val="26"/>
        </w:rPr>
        <w:t xml:space="preserve">2.5 National Examinations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438"/>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Exam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Year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34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PSR</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6</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Penilaian Sekolah Rendah (Primary School Assessment)</w:t>
            </w:r>
          </w:p>
        </w:tc>
        <w:tc>
          <w:tcPr>
            <w:tcW w:type="dxa" w:w="34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End-of-primary national exam. Results determine secondary streaming.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IGCSE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10–11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International General Certificate of Secondary Education</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Cambridge-based exam used in MOE secondary schools for upper secondary.</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A-Level / IB</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12–13</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Advanced Level / International Baccalaureate</w:t>
            </w:r>
          </w:p>
        </w:tc>
        <w:tc>
          <w:tcPr>
            <w:tcW w:type="dxa" w:w="34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Pre-university qualifications for university entry.</w:t>
            </w:r>
          </w:p>
        </w:tc>
      </w:tr>
    </w:tbl>
    <w:p>
      <w:pPr>
        <w:spacing w:after="60" w:before="60"/>
      </w:pPr>
      <w:r>
        <w:t xml:space="preserve"/>
      </w:r>
    </w:p>
    <w:p>
      <w:r>
        <w:br w:type="page"/>
      </w:r>
    </w:p>
    <w:p>
      <w:pPr>
        <w:pStyle w:val="Heading1"/>
        <w:pBdr>
          <w:bottom w:val="single" w:color="2E5FA3" w:sz="4" w:space="6"/>
        </w:pBdr>
        <w:spacing w:after="160" w:before="400"/>
      </w:pPr>
      <w:bookmarkStart w:name="s3" w:id="1"/>
      <w:r>
        <w:rPr>
          <w:b/>
          <w:bCs/>
          <w:color w:val="1F3864"/>
          <w:sz w:val="32"/>
          <w:szCs w:val="32"/>
        </w:rPr>
        <w:t xml:space="preserve">3. Ministry of Education — Structure &amp; Key People</w:t>
      </w:r>
      <w:bookmarkEnd w:id="1"/>
    </w:p>
    <w:p>
      <w:pPr>
        <w:spacing w:after="80" w:before="80"/>
      </w:pPr>
      <w:r>
        <w:rPr>
          <w:sz w:val="22"/>
          <w:szCs w:val="22"/>
        </w:rPr>
        <w:t xml:space="preserve">You are presenting to the Ministry of Education. Understanding its structure prevents you from accidentally saying the wrong thing to the wrong person.</w:t>
      </w:r>
    </w:p>
    <w:p>
      <w:pPr>
        <w:spacing w:after="60" w:before="60"/>
      </w:pPr>
      <w:r>
        <w:t xml:space="preserve"/>
      </w:r>
    </w:p>
    <w:p>
      <w:pPr>
        <w:pStyle w:val="Heading2"/>
        <w:spacing w:after="100" w:before="280"/>
      </w:pPr>
      <w:r>
        <w:rPr>
          <w:b/>
          <w:bCs/>
          <w:color w:val="2E5FA3"/>
          <w:sz w:val="26"/>
          <w:szCs w:val="26"/>
        </w:rPr>
        <w:t xml:space="preserve">3.1 MOE Core Departments Relevant to SERPS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Department</w:t>
            </w:r>
          </w:p>
        </w:tc>
        <w:tc>
          <w:tcPr>
            <w:tcW w:type="dxa" w:w="64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 they do / why relevant to SERPS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Department of Schools (DoS)</w:t>
            </w:r>
          </w:p>
        </w:tc>
        <w:tc>
          <w:tcPr>
            <w:tcW w:type="dxa" w:w="64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Oversees all government schools. Primary audience for SIS and SMS modules.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Dept of Information &amp; Communications Technology (DICT)</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Issued the SERPS tender (MOE/LTK/55/2025/2026). They are the technical evaluators. Cares deeply about EGNC integration and security.</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Dept of Schools Management</w:t>
            </w:r>
          </w:p>
        </w:tc>
        <w:tc>
          <w:tcPr>
            <w:tcW w:type="dxa" w:w="64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Manages school staff deployment, transfers, promotions. EMS module is built for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Dept of Private Education (DPE)</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Regulates private schools: licensing, inspections, compliance. Our Private Education Oversight module serves them exclusively.</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Dept of Special Education</w:t>
            </w:r>
          </w:p>
        </w:tc>
        <w:tc>
          <w:tcPr>
            <w:tcW w:type="dxa" w:w="64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Manages SEN (Special Educational Needs) students and SPED-certified teachers. SIS SEN module and EMS SPED tagging serve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Human Resource Division</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Manages educator records — syncs to SSM. Connected to EMS module.</w:t>
            </w:r>
          </w:p>
        </w:tc>
      </w:tr>
    </w:tbl>
    <w:p>
      <w:pPr>
        <w:spacing w:after="60" w:before="60"/>
      </w:pPr>
      <w:r>
        <w:t xml:space="preserve"/>
      </w:r>
    </w:p>
    <w:p>
      <w:pPr>
        <w:pStyle w:val="Heading2"/>
        <w:spacing w:after="100" w:before="280"/>
      </w:pPr>
      <w:r>
        <w:rPr>
          <w:b/>
          <w:bCs/>
          <w:color w:val="2E5FA3"/>
          <w:sz w:val="26"/>
          <w:szCs w:val="26"/>
        </w:rPr>
        <w:t xml:space="preserve">3.2 Tender Reference</w:t>
      </w:r>
    </w:p>
    <w:p>
      <w:pPr>
        <w:spacing w:after="80" w:before="80"/>
      </w:pPr>
      <w:r>
        <w:rPr>
          <w:b/>
          <w:bCs/>
          <w:sz w:val="22"/>
          <w:szCs w:val="22"/>
        </w:rPr>
        <w:t xml:space="preserve">Tender ID: </w:t>
      </w:r>
      <w:r>
        <w:rPr>
          <w:color w:val="0E7490"/>
          <w:sz w:val="22"/>
          <w:szCs w:val="22"/>
        </w:rPr>
        <w:t xml:space="preserve">MOE/LTK/55/2025/2026 (ICT-OGOS-2025)</w:t>
      </w:r>
    </w:p>
    <w:p>
      <w:pPr>
        <w:spacing w:after="80" w:before="80"/>
      </w:pPr>
      <w:r>
        <w:rPr>
          <w:sz w:val="22"/>
          <w:szCs w:val="22"/>
        </w:rPr>
        <w:t xml:space="preserve">When asked "which tender is this for?", state this reference precisely. It signals professionalism.</w:t>
      </w:r>
    </w:p>
    <w:p>
      <w:pPr>
        <w:spacing w:after="60" w:before="60"/>
      </w:pPr>
      <w:r>
        <w:t xml:space="preserve"/>
      </w:r>
    </w:p>
    <w:p>
      <w:r>
        <w:br w:type="page"/>
      </w:r>
    </w:p>
    <w:p>
      <w:pPr>
        <w:pStyle w:val="Heading1"/>
        <w:pBdr>
          <w:bottom w:val="single" w:color="2E5FA3" w:sz="4" w:space="6"/>
        </w:pBdr>
        <w:spacing w:after="160" w:before="400"/>
      </w:pPr>
      <w:bookmarkStart w:name="s4" w:id="1"/>
      <w:r>
        <w:rPr>
          <w:b/>
          <w:bCs/>
          <w:color w:val="1F3864"/>
          <w:sz w:val="32"/>
          <w:szCs w:val="32"/>
        </w:rPr>
        <w:t xml:space="preserve">4. School Roles — Who Does What</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B45309" w:sz="12"/>
              <w:bottom w:val="none" w:color="FFFFFF" w:sz="0"/>
              <w:right w:val="none" w:color="FFFFFF" w:sz="0"/>
            </w:tcBorders>
            <w:shd w:fill="FFFBEB" w:val="clear"/>
            <w:tcMar>
              <w:top w:type="dxa" w:w="100"/>
              <w:left w:type="dxa" w:w="200"/>
              <w:bottom w:type="dxa" w:w="100"/>
              <w:right w:type="dxa" w:w="120"/>
            </w:tcMar>
          </w:tcPr>
          <w:p>
            <w:pPr>
              <w:spacing w:after="0" w:before="0"/>
            </w:pPr>
            <w:r>
              <w:rPr>
                <w:i/>
                <w:iCs/>
                <w:color w:val="B45309"/>
                <w:sz w:val="22"/>
                <w:szCs w:val="22"/>
              </w:rPr>
              <w:t xml:space="preserve">In the demo you will switch between 8 different login accounts. Know what each role does in real Brunei school life, not just in the system.</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600"/>
        <w:gridCol w:w="2038"/>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School</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 they do</w:t>
            </w:r>
          </w:p>
        </w:tc>
        <w:tc>
          <w:tcPr>
            <w:tcW w:type="dxa" w:w="2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Demo account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The head of the school. Signs off on key decisions. In Brunei secondary schools, Principals are often Hajah (female) or Haji (male) — senior educators. In SERPS: approves performance evaluations and sees the Command Center dashboard.</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Hjh Rashidah Binti Mohamad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 (Head of Department)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Each subject area has a HOD — e.g., HOD Mathematics, HOD Science. They supervise teachers in their department, conduct observations, and manage CPD. In SERPS: the HOD reviews teacher performance evaluations, approves leave and self-service requests, and sees department-level dashboards.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Dr. Azman Bin Ishak</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Form Teacher</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Every class (e.g., Year 7A) has a dedicated Form Teacher. In Brunei, the Form Teacher is the primary point of contact between school and parents — similar to a Homeroom Teacher. In SERPS: they mark attendance, enter grades, and can see their form class's data.</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Ms. Aminah Binti Hassan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Counselor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School guidance counselors handle student welfare, at-risk cases, disciplinary follow-ups, and liaise with parents. In SERPS: counselors receive auto-generated cases when students hit risk thresholds, add case notes, and schedule parent meetings.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Ms. Farah Binti Aziz</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Admissions Officer</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Processes student applications, verifies documents, and assigns students to classes. In SERPS: manages the admissions workflow from submitted → under review → approved/rejected.</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Cik Nurul Binti Ali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DPE Officer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MOE HQ</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An officer of the Dept of Private Education at MOE headquarters. They do not work in a single school — they oversee all private schools in Brunei. In SERPS: they access the Private Education Oversight module to manage licenses, inspections, and compliance circulars across all private institutions.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Pg Hjh Salmah Binti Pg Tahir</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Parent/Guardian</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Parents access the parent portal to view their child's attendance, grades, conduct record, and communicate with the school. In our demo: the parent also initiates the admission application, reflecting the real-world ITT requirement.</w:t>
            </w:r>
          </w:p>
        </w:tc>
        <w:tc>
          <w:tcPr>
            <w:tcW w:type="dxa" w:w="2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Mrs. Siti Binti Mohamed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Student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SMHK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7 students access a personal portal to view their own timetable, grades, assignments, and announcements. In our demo: student "Adam" (linked to Ahmad's storyline) shows the student-facing view.</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Adam Bin Haris</w:t>
            </w:r>
          </w:p>
        </w:tc>
      </w:tr>
    </w:tbl>
    <w:p>
      <w:pPr>
        <w:spacing w:after="60" w:before="60"/>
      </w:pPr>
      <w:r>
        <w:t xml:space="preserve"/>
      </w:r>
    </w:p>
    <w:p>
      <w:r>
        <w:br w:type="page"/>
      </w:r>
    </w:p>
    <w:p>
      <w:pPr>
        <w:pStyle w:val="Heading1"/>
        <w:pBdr>
          <w:bottom w:val="single" w:color="2E5FA3" w:sz="4" w:space="6"/>
        </w:pBdr>
        <w:spacing w:after="160" w:before="400"/>
      </w:pPr>
      <w:bookmarkStart w:name="s5" w:id="1"/>
      <w:r>
        <w:rPr>
          <w:b/>
          <w:bCs/>
          <w:color w:val="1F3864"/>
          <w:sz w:val="32"/>
          <w:szCs w:val="32"/>
        </w:rPr>
        <w:t xml:space="preserve">5. Key Terminology</w:t>
      </w:r>
      <w:bookmarkEnd w:id="1"/>
    </w:p>
    <w:p>
      <w:pPr>
        <w:pStyle w:val="Heading2"/>
        <w:spacing w:after="100" w:before="280"/>
      </w:pPr>
      <w:r>
        <w:rPr>
          <w:b/>
          <w:bCs/>
          <w:color w:val="2E5FA3"/>
          <w:sz w:val="26"/>
          <w:szCs w:val="26"/>
        </w:rPr>
        <w:t xml:space="preserve">5.1 Education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Acronym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Term</w:t>
            </w:r>
          </w:p>
        </w:tc>
        <w:tc>
          <w:tcPr>
            <w:tcW w:type="dxa" w:w="5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 it means for your presentation</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SPN21</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Sistem Pendidikan Negara Abad ke-21</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Brunei's national curriculum introduced in 2008. Structures schooling from Year 1 to Year 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PSR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Penilaian Sekolah Rendah</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National primary school exam at Year 6 (age 11). Similar to the Malaysian UPSR. Results determine secondary school placement and streaming.</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CCA</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Co-Curricular Activities</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Clubs, sports teams, cultural groups, and other extra-curricular activities. Mandatory participation for students. Tracked in the SERPS SIS module.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Special Educational Needs</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Students who require additional support due to learning disabilities, developmental conditions (autism, dyslexia, etc.), or physical needs. The SIS has a dedicated SEN module.</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IEP</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Individualized Education Plan</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 formal document created for each SEN student detailing their learning goals, support strategies, and progress milestones.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Teacher Performance Appraisal</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The formal annual evaluation of teachers. In Brunei MOE, TPA uses two main domains: LO1 (Learning Outcomes/Teaching) and LO2 (Professional contributions). Scores feed into promotion decisions.</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CPD</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Continuous Professional Development</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Ongoing training and upskilling for teachers. MOE sets annual CPD hour targets. SERPS tracks CPD enrolments, attendance, and total hours per educator.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Head of Department</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Senior teacher responsible for a subject department (e.g., HOD Science). Mid-level academic management.</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BruHIMS</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Brunei Health Information Management System</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Government health records system. Educator health data in SERPS can reference BruHIMS IDs.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MIB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Melayu Islam Beraja</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Malay Islamic Monarchy — the national ideology binding Malay culture, Islam, and the Sultan's leadership. Underpins all government institutions including education.</w:t>
            </w:r>
          </w:p>
        </w:tc>
      </w:tr>
    </w:tbl>
    <w:p>
      <w:pPr>
        <w:spacing w:after="60" w:before="60"/>
      </w:pPr>
      <w:r>
        <w:t xml:space="preserve"/>
      </w:r>
    </w:p>
    <w:p>
      <w:pPr>
        <w:pStyle w:val="Heading2"/>
        <w:spacing w:after="100" w:before="280"/>
      </w:pPr>
      <w:r>
        <w:rPr>
          <w:b/>
          <w:bCs/>
          <w:color w:val="2E5FA3"/>
          <w:sz w:val="26"/>
          <w:szCs w:val="26"/>
        </w:rPr>
        <w:t xml:space="preserve">5.2 Technology &amp; Government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5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 it means for SERPS</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EGNC</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E-Government National Centre</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Brunei's national government IT infrastructure. Hosts all government systems. All SERPS servers must run on EGNC infrastructure (OGPC cloud + NCDB Oracle databases).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OGPC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One Government Private Cloud</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The virtual machine hosting service within EGNC. Like AWS but government-owned. SERPS servers live here.</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NCDB</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National Centralized Database</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Oracle 19c database hosting within EGNC. All government production databases must run on NCDB.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NIH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National Information Hub</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Government data-sharing platform (like an API gateway between ministries). SERPS publishes student/educator statistics to NIH for inter-agency use.</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SSM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Sistem Saraan Malaysia / Staff Management</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Government HR master system for all civil servants. Educator records (salary grade, employment status, leave) originate in SSM. SERPS syncs bidirectionally.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Brunei 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Brunei Digital ID</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National single sign-on identity system. Citizens use one digital ID for all government services. SERPS integrates this as SSO — users aged 12+ log in with Brunei ID.</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KOHA</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KOHA Library System</w:t>
            </w:r>
          </w:p>
        </w:tc>
        <w:tc>
          <w:tcPr>
            <w:tcW w:type="dxa" w:w="5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Open-source library management system used by Brunei schools. SERPS library module integrates with KOHA via Z39.50 protocol.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IDPM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Identity &amp; Profile Management</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EGNC's identity management system. Used alongside Brunei ID for government staff authentication.</w:t>
            </w:r>
          </w:p>
        </w:tc>
      </w:tr>
    </w:tbl>
    <w:p>
      <w:pPr>
        <w:spacing w:after="60" w:before="60"/>
      </w:pPr>
      <w:r>
        <w:t xml:space="preserve"/>
      </w:r>
    </w:p>
    <w:p>
      <w:r>
        <w:br w:type="page"/>
      </w:r>
    </w:p>
    <w:p>
      <w:pPr>
        <w:pStyle w:val="Heading1"/>
        <w:pBdr>
          <w:bottom w:val="single" w:color="2E5FA3" w:sz="4" w:space="6"/>
        </w:pBdr>
        <w:spacing w:after="160" w:before="400"/>
      </w:pPr>
      <w:bookmarkStart w:name="s6" w:id="1"/>
      <w:r>
        <w:rPr>
          <w:b/>
          <w:bCs/>
          <w:color w:val="1F3864"/>
          <w:sz w:val="32"/>
          <w:szCs w:val="32"/>
        </w:rPr>
        <w:t xml:space="preserve">6. The SERPS Project — What You Are Presenting</w:t>
      </w:r>
      <w:bookmarkEnd w:id="1"/>
    </w:p>
    <w:p>
      <w:pPr>
        <w:pStyle w:val="Heading2"/>
        <w:spacing w:after="100" w:before="280"/>
      </w:pPr>
      <w:r>
        <w:rPr>
          <w:b/>
          <w:bCs/>
          <w:color w:val="2E5FA3"/>
          <w:sz w:val="26"/>
          <w:szCs w:val="26"/>
        </w:rPr>
        <w:t xml:space="preserve">6.1 The Problem Being Solved</w:t>
      </w:r>
    </w:p>
    <w:p>
      <w:pPr>
        <w:spacing w:after="80" w:before="80"/>
      </w:pPr>
      <w:r>
        <w:rPr>
          <w:sz w:val="22"/>
          <w:szCs w:val="22"/>
        </w:rPr>
        <w:t xml:space="preserve">Before SERPS, Brunei's government schools managed student, educator, and school data through:</w:t>
      </w:r>
    </w:p>
    <w:p>
      <w:pPr>
        <w:pStyle w:val="ListParagraph"/>
        <w:numPr>
          <w:ilvl w:val="0"/>
          <w:numId w:val="2"/>
        </w:numPr>
        <w:spacing w:after="40" w:before="40"/>
      </w:pPr>
      <w:r>
        <w:rPr>
          <w:sz w:val="22"/>
          <w:szCs w:val="22"/>
        </w:rPr>
        <w:t xml:space="preserve">Disconnected standalone databases — each school kept its own Excel files</w:t>
      </w:r>
    </w:p>
    <w:p>
      <w:pPr>
        <w:pStyle w:val="ListParagraph"/>
        <w:numPr>
          <w:ilvl w:val="0"/>
          <w:numId w:val="2"/>
        </w:numPr>
        <w:spacing w:after="40" w:before="40"/>
      </w:pPr>
      <w:r>
        <w:rPr>
          <w:sz w:val="22"/>
          <w:szCs w:val="22"/>
        </w:rPr>
        <w:t xml:space="preserve">Manual paper-based processes — attendance registers, grade sheets, leave forms</w:t>
      </w:r>
    </w:p>
    <w:p>
      <w:pPr>
        <w:pStyle w:val="ListParagraph"/>
        <w:numPr>
          <w:ilvl w:val="0"/>
          <w:numId w:val="2"/>
        </w:numPr>
        <w:spacing w:after="40" w:before="40"/>
      </w:pPr>
      <w:r>
        <w:rPr>
          <w:sz w:val="22"/>
          <w:szCs w:val="22"/>
        </w:rPr>
        <w:t xml:space="preserve">No real-time visibility — MOE headquarters could not see live data from schools</w:t>
      </w:r>
    </w:p>
    <w:p>
      <w:pPr>
        <w:pStyle w:val="ListParagraph"/>
        <w:numPr>
          <w:ilvl w:val="0"/>
          <w:numId w:val="2"/>
        </w:numPr>
        <w:spacing w:after="40" w:before="40"/>
      </w:pPr>
      <w:r>
        <w:rPr>
          <w:sz w:val="22"/>
          <w:szCs w:val="22"/>
        </w:rPr>
        <w:t xml:space="preserve">No standardisation — different schools used different formats and systems</w:t>
      </w:r>
    </w:p>
    <w:p>
      <w:pPr>
        <w:spacing w:after="60" w:before="60"/>
      </w:pPr>
      <w:r>
        <w:t xml:space="preserve"/>
      </w:r>
    </w:p>
    <w:p>
      <w:pPr>
        <w:spacing w:after="80" w:before="80"/>
      </w:pPr>
      <w:r>
        <w:rPr>
          <w:sz w:val="22"/>
          <w:szCs w:val="22"/>
        </w:rPr>
        <w:t xml:space="preserve">SERPS replaces all of this with one unified platform. It is not a website — it is the entire digital backbone of Brunei's school system.</w:t>
      </w:r>
    </w:p>
    <w:p>
      <w:pPr>
        <w:spacing w:after="60" w:before="60"/>
      </w:pPr>
      <w:r>
        <w:t xml:space="preserve"/>
      </w:r>
    </w:p>
    <w:p>
      <w:pPr>
        <w:pStyle w:val="Heading2"/>
        <w:spacing w:after="100" w:before="280"/>
      </w:pPr>
      <w:r>
        <w:rPr>
          <w:b/>
          <w:bCs/>
          <w:color w:val="2E5FA3"/>
          <w:sz w:val="26"/>
          <w:szCs w:val="26"/>
        </w:rPr>
        <w:t xml:space="preserve">6.2 The Three Core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838"/>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 it manages</w:t>
            </w:r>
          </w:p>
        </w:tc>
        <w:tc>
          <w:tcPr>
            <w:tcW w:type="dxa" w:w="28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Key users</w:t>
            </w:r>
          </w:p>
        </w:tc>
      </w:tr>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4"/>
                <w:szCs w:val="24"/>
              </w:rPr>
              <w:t xml:space="preserve">SIS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Student Information System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Student profiles, admissions, enrolment, attendance, grades, assessments, CCA, counselling, SEN/IEP, parent portal</w:t>
            </w:r>
          </w:p>
        </w:tc>
        <w:tc>
          <w:tcPr>
            <w:tcW w:type="dxa" w:w="2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Principals, Admissions Officers, Form Teachers, Counselors, Parents, Students</w:t>
            </w:r>
          </w:p>
        </w:tc>
      </w:tr>
      <w:tr>
        <w:tc>
          <w:tcPr>
            <w:tcW w:type="dxa" w:w="1400"/>
            <w:tcBorders>
              <w:top w:val="single" w:color="CCCCCC" w:sz="1"/>
              <w:left w:val="single" w:color="CCCCCC" w:sz="1"/>
              <w:bottom w:val="single" w:color="CCCCCC" w:sz="1"/>
              <w:right w:val="single" w:color="CCCCCC" w:sz="1"/>
            </w:tcBorders>
            <w:shd w:fill="0E7490" w:val="clear"/>
            <w:tcMar>
              <w:top w:type="dxa" w:w="80"/>
              <w:left w:type="dxa" w:w="120"/>
              <w:bottom w:type="dxa" w:w="80"/>
              <w:right w:type="dxa" w:w="120"/>
            </w:tcMar>
          </w:tcPr>
          <w:p>
            <w:pPr>
              <w:spacing w:after="0" w:before="0"/>
            </w:pPr>
            <w:r>
              <w:rPr>
                <w:b/>
                <w:bCs/>
                <w:color w:val="FFFFFF"/>
                <w:sz w:val="24"/>
                <w:szCs w:val="24"/>
              </w:rPr>
              <w:t xml:space="preserve">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Educator Management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Teacher profiles, CPD, leave, performance evaluations (TPA), postings/transfers, retirement planning, awards, self-service requests</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HODs, Principals, HR, Teachers</w:t>
            </w:r>
          </w:p>
        </w:tc>
      </w:tr>
      <w:tr>
        <w:tc>
          <w:tcPr>
            <w:tcW w:type="dxa" w:w="14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spacing w:after="0" w:before="0"/>
            </w:pPr>
            <w:r>
              <w:rPr>
                <w:b/>
                <w:bCs/>
                <w:color w:val="FFFFFF"/>
                <w:sz w:val="24"/>
                <w:szCs w:val="24"/>
              </w:rPr>
              <w:t xml:space="preserve">SMS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School Management System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Timetabling, exams, library, inventory, CCA management, school calendar, facilities, consent forms, discipline, transport, hostel, private school oversight</w:t>
            </w:r>
          </w:p>
        </w:tc>
        <w:tc>
          <w:tcPr>
            <w:tcW w:type="dxa" w:w="2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School Admins, Managers, Librarians, DPE Officers, Finance</w:t>
            </w:r>
          </w:p>
        </w:tc>
      </w:tr>
    </w:tbl>
    <w:p>
      <w:pPr>
        <w:spacing w:after="60" w:before="60"/>
      </w:pPr>
      <w:r>
        <w:t xml:space="preserve"/>
      </w:r>
    </w:p>
    <w:p>
      <w:pPr>
        <w:pStyle w:val="Heading2"/>
        <w:spacing w:after="100" w:before="280"/>
      </w:pPr>
      <w:r>
        <w:rPr>
          <w:b/>
          <w:bCs/>
          <w:color w:val="2E5FA3"/>
          <w:sz w:val="26"/>
          <w:szCs w:val="26"/>
        </w:rPr>
        <w:t xml:space="preserve">6.3 What Makes SERPS Different</w:t>
      </w:r>
    </w:p>
    <w:p>
      <w:pPr>
        <w:spacing w:after="80" w:before="80"/>
      </w:pPr>
      <w:r>
        <w:rPr>
          <w:sz w:val="22"/>
          <w:szCs w:val="22"/>
        </w:rPr>
        <w:t xml:space="preserve">When asked "why should we choose you?", you have three strong answers:</w:t>
      </w:r>
    </w:p>
    <w:p>
      <w:pPr>
        <w:pStyle w:val="ListParagraph"/>
        <w:numPr>
          <w:ilvl w:val="0"/>
          <w:numId w:val="3"/>
        </w:numPr>
        <w:spacing w:after="40" w:before="40"/>
      </w:pPr>
      <w:r>
        <w:rPr>
          <w:sz w:val="22"/>
          <w:szCs w:val="22"/>
        </w:rPr>
        <w:t xml:space="preserve">Data stays connected — one action ripples through the whole system. When a teacher marks a student absent, the risk score updates, the counsellor is alerted, the parent is notified, and the dashboard changes — all automatically.</w:t>
      </w:r>
    </w:p>
    <w:p>
      <w:pPr>
        <w:pStyle w:val="ListParagraph"/>
        <w:numPr>
          <w:ilvl w:val="0"/>
          <w:numId w:val="3"/>
        </w:numPr>
        <w:spacing w:after="40" w:before="40"/>
      </w:pPr>
      <w:r>
        <w:rPr>
          <w:sz w:val="22"/>
          <w:szCs w:val="22"/>
        </w:rPr>
        <w:t xml:space="preserve">Same data, different lenses — a Form Teacher, a Counsellor, a HOD, a Principal, and a Parent all see the same student's record but only what they are authorised to see. This RBAC (Role-Based Access Control) is enforced at the database layer, not just the screen.</w:t>
      </w:r>
    </w:p>
    <w:p>
      <w:pPr>
        <w:pStyle w:val="ListParagraph"/>
        <w:numPr>
          <w:ilvl w:val="0"/>
          <w:numId w:val="3"/>
        </w:numPr>
        <w:spacing w:after="40" w:before="40"/>
      </w:pPr>
      <w:r>
        <w:rPr>
          <w:sz w:val="22"/>
          <w:szCs w:val="22"/>
        </w:rPr>
        <w:t xml:space="preserve">Built for Brunei, not adapted — SPN21 year levels, Brunei ID integration, SSM sync, EGNC hosting, Bahasa Melayu support, BND currency, and KOHA library integration are native features, not afterthoughts.</w:t>
      </w:r>
    </w:p>
    <w:p>
      <w:pPr>
        <w:spacing w:after="60" w:before="60"/>
      </w:pPr>
      <w:r>
        <w:t xml:space="preserve"/>
      </w:r>
    </w:p>
    <w:p>
      <w:pPr>
        <w:pStyle w:val="Heading2"/>
        <w:spacing w:after="100" w:before="280"/>
      </w:pPr>
      <w:r>
        <w:rPr>
          <w:b/>
          <w:bCs/>
          <w:color w:val="2E5FA3"/>
          <w:sz w:val="26"/>
          <w:szCs w:val="26"/>
        </w:rPr>
        <w:t xml:space="preserve">6.4 This is a Proof of Concept (POC)</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1B1B" w:sz="12"/>
              <w:bottom w:val="none" w:color="FFFFFF" w:sz="0"/>
              <w:right w:val="none" w:color="FFFFFF" w:sz="0"/>
            </w:tcBorders>
            <w:shd w:fill="FEF2F2" w:val="clear"/>
            <w:tcMar>
              <w:top w:type="dxa" w:w="100"/>
              <w:left w:type="dxa" w:w="200"/>
              <w:bottom w:type="dxa" w:w="100"/>
              <w:right w:type="dxa" w:w="120"/>
            </w:tcMar>
          </w:tcPr>
          <w:p>
            <w:pPr>
              <w:spacing w:after="0" w:before="0"/>
            </w:pPr>
            <w:r>
              <w:rPr>
                <w:i/>
                <w:iCs/>
                <w:color w:val="991B1B"/>
                <w:sz w:val="22"/>
                <w:szCs w:val="22"/>
              </w:rPr>
              <w:t xml:space="preserve">IMPORTANT: Be honest about what a POC is. The SERPS POC demonstrates all modules with real, seeded data — but it runs on SQLite (not the production Oracle database), government integrations are simulated with professional façades, and native mobile apps are planned for Phase 2. Say "this POC demonstrates the full system design; production wiring to EGNC/SSM/Brunei ID follows the integration contracts in our technical documentation."</w:t>
            </w:r>
          </w:p>
        </w:tc>
      </w:tr>
    </w:tbl>
    <w:p>
      <w:pPr>
        <w:spacing w:after="60" w:before="60"/>
      </w:pPr>
      <w:r>
        <w:t xml:space="preserve"/>
      </w:r>
    </w:p>
    <w:p>
      <w:r>
        <w:br w:type="page"/>
      </w:r>
    </w:p>
    <w:p>
      <w:pPr>
        <w:pStyle w:val="Heading1"/>
        <w:pBdr>
          <w:bottom w:val="single" w:color="2E5FA3" w:sz="4" w:space="6"/>
        </w:pBdr>
        <w:spacing w:after="160" w:before="400"/>
      </w:pPr>
      <w:bookmarkStart w:name="s7" w:id="1"/>
      <w:r>
        <w:rPr>
          <w:b/>
          <w:bCs/>
          <w:color w:val="1F3864"/>
          <w:sz w:val="32"/>
          <w:szCs w:val="32"/>
        </w:rPr>
        <w:t xml:space="preserve">7. Demo Schools in the System</w:t>
      </w:r>
      <w:bookmarkEnd w:id="1"/>
    </w:p>
    <w:p>
      <w:pPr>
        <w:spacing w:after="80" w:before="80"/>
      </w:pPr>
      <w:r>
        <w:rPr>
          <w:sz w:val="22"/>
          <w:szCs w:val="22"/>
        </w:rPr>
        <w:t xml:space="preserve">The POC contains 8 schools spanning all three authorities. This is a deliberate design choice — it proves the system handles MOE, MORA, and Private schools from one platform.</w:t>
      </w:r>
    </w:p>
    <w:p>
      <w:pPr>
        <w:spacing w:after="60" w:before="60"/>
      </w:pPr>
      <w:r>
        <w:t xml:space="preserve"/>
      </w:r>
    </w:p>
    <w:p>
      <w:pPr>
        <w:pStyle w:val="Heading2"/>
        <w:spacing w:after="100" w:before="280"/>
      </w:pPr>
      <w:r>
        <w:rPr>
          <w:b/>
          <w:bCs/>
          <w:color w:val="2E5FA3"/>
          <w:sz w:val="26"/>
          <w:szCs w:val="26"/>
        </w:rPr>
        <w:t xml:space="preserve">7.1 MOE Government Schools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1800"/>
        <w:gridCol w:w="123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Code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Grade Levels</w:t>
            </w:r>
          </w:p>
        </w:tc>
        <w:tc>
          <w:tcPr>
            <w:tcW w:type="dxa" w:w="1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Est.</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SMHK</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 Menengah Hj Kamaruddin</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Secondary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Year 7–11</w:t>
            </w:r>
          </w:p>
        </w:tc>
        <w:tc>
          <w:tcPr>
            <w:tcW w:type="dxa" w:w="1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1978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SRPB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Sekolah Rendah Pusat Bandar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Year 1–6</w:t>
            </w:r>
          </w:p>
        </w:tc>
        <w:tc>
          <w:tcPr>
            <w:tcW w:type="dxa" w:w="1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1965</w:t>
            </w:r>
          </w:p>
        </w:tc>
      </w:tr>
    </w:tbl>
    <w:p>
      <w:pPr>
        <w:spacing w:after="6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E7490" w:sz="12"/>
              <w:bottom w:val="none" w:color="FFFFFF" w:sz="0"/>
              <w:right w:val="none" w:color="FFFFFF" w:sz="0"/>
            </w:tcBorders>
            <w:shd w:fill="F0FDFA" w:val="clear"/>
            <w:tcMar>
              <w:top w:type="dxa" w:w="100"/>
              <w:left w:type="dxa" w:w="200"/>
              <w:bottom w:type="dxa" w:w="100"/>
              <w:right w:type="dxa" w:w="120"/>
            </w:tcMar>
          </w:tcPr>
          <w:p>
            <w:pPr>
              <w:spacing w:after="0" w:before="0"/>
            </w:pPr>
            <w:r>
              <w:rPr>
                <w:i/>
                <w:iCs/>
                <w:color w:val="0E7490"/>
                <w:sz w:val="22"/>
                <w:szCs w:val="22"/>
              </w:rPr>
              <w:t xml:space="preserve">SMHK is the main demo school. Nearly all of the 60-minute storyline takes place here. When you log in as admin, teacher, counsellor, or parent, you are inside SMHK.</w:t>
            </w:r>
          </w:p>
        </w:tc>
      </w:tr>
    </w:tbl>
    <w:p>
      <w:pPr>
        <w:spacing w:after="60" w:before="60"/>
      </w:pPr>
      <w:r>
        <w:t xml:space="preserve"/>
      </w:r>
    </w:p>
    <w:p>
      <w:pPr>
        <w:pStyle w:val="Heading2"/>
        <w:spacing w:after="100" w:before="280"/>
      </w:pPr>
      <w:r>
        <w:rPr>
          <w:b/>
          <w:bCs/>
          <w:color w:val="2E5FA3"/>
          <w:sz w:val="26"/>
          <w:szCs w:val="26"/>
        </w:rPr>
        <w:t xml:space="preserve">7.2 MORA School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1800"/>
        <w:gridCol w:w="123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Code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Grade Levels</w:t>
            </w:r>
          </w:p>
        </w:tc>
        <w:tc>
          <w:tcPr>
            <w:tcW w:type="dxa" w:w="1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Est.</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SMAB</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 Menengah Agama Berakas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Religious Secondary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Tingkatan 1–5</w:t>
            </w:r>
          </w:p>
        </w:tc>
        <w:tc>
          <w:tcPr>
            <w:tcW w:type="dxa" w:w="1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1985</w:t>
            </w:r>
          </w:p>
        </w:tc>
      </w:tr>
    </w:tbl>
    <w:p>
      <w:pPr>
        <w:spacing w:after="60" w:before="60"/>
      </w:pPr>
      <w:r>
        <w:t xml:space="preserve"/>
      </w:r>
    </w:p>
    <w:p>
      <w:pPr>
        <w:spacing w:after="80" w:before="80"/>
      </w:pPr>
      <w:r>
        <w:rPr>
          <w:sz w:val="22"/>
          <w:szCs w:val="22"/>
        </w:rPr>
        <w:t xml:space="preserve">Note: MORA schools use "Tingkatan" (Form) instead of "Year" for grade levels. Tingkatan 1 = Year 7 equivalent. This is correctly reflected in the system.</w:t>
      </w:r>
    </w:p>
    <w:p>
      <w:pPr>
        <w:spacing w:after="60" w:before="60"/>
      </w:pPr>
      <w:r>
        <w:t xml:space="preserve"/>
      </w:r>
    </w:p>
    <w:p>
      <w:pPr>
        <w:pStyle w:val="Heading2"/>
        <w:spacing w:after="100" w:before="280"/>
      </w:pPr>
      <w:r>
        <w:rPr>
          <w:b/>
          <w:bCs/>
          <w:color w:val="2E5FA3"/>
          <w:sz w:val="26"/>
          <w:szCs w:val="26"/>
        </w:rPr>
        <w:t xml:space="preserve">7.3 Private Schools (Pre-existing)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1800"/>
        <w:gridCol w:w="123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Code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Full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Curriculum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Grade Levels</w:t>
            </w:r>
          </w:p>
        </w:tc>
        <w:tc>
          <w:tcPr>
            <w:tcW w:type="dxa" w:w="1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Est.</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ISB</w:t>
            </w:r>
          </w:p>
        </w:tc>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International School of Brunei</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IB + Cambridge</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Grade 7–12</w:t>
            </w:r>
          </w:p>
        </w:tc>
        <w:tc>
          <w:tcPr>
            <w:tcW w:type="dxa" w:w="1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1994</w:t>
            </w:r>
          </w:p>
        </w:tc>
      </w:tr>
    </w:tbl>
    <w:p>
      <w:pPr>
        <w:spacing w:after="60" w:before="60"/>
      </w:pPr>
      <w:r>
        <w:t xml:space="preserve"/>
      </w:r>
    </w:p>
    <w:p>
      <w:pPr>
        <w:pStyle w:val="Heading2"/>
        <w:spacing w:after="100" w:before="280"/>
      </w:pPr>
      <w:r>
        <w:rPr>
          <w:b/>
          <w:bCs/>
          <w:color w:val="2E5FA3"/>
          <w:sz w:val="26"/>
          <w:szCs w:val="26"/>
        </w:rPr>
        <w:t xml:space="preserve">7.4 DPE-Regulated Private Schools (Compliance Storyline)</w:t>
      </w:r>
    </w:p>
    <w:p>
      <w:pPr>
        <w:spacing w:after="80" w:before="80"/>
      </w:pPr>
      <w:r>
        <w:rPr>
          <w:sz w:val="22"/>
          <w:szCs w:val="22"/>
        </w:rPr>
        <w:t xml:space="preserve">These four schools form the narrative of the Private Education Oversight module (Act 3 of the demo). Each is seeded to tell a different compliance story:</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403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School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License Status</w:t>
            </w:r>
          </w:p>
        </w:tc>
        <w:tc>
          <w:tcPr>
            <w:tcW w:type="dxa" w:w="4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Story</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SPB</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 Pintar Brunei</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0" w:before="0"/>
            </w:pPr>
            <w:r>
              <w:rPr>
                <w:b/>
                <w:bCs/>
                <w:color w:val="166534"/>
                <w:sz w:val="20"/>
                <w:szCs w:val="20"/>
              </w:rPr>
              <w:t xml:space="preserve">ACTIVE</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Model school. License valid until 2028. Last inspection rated EXCELLENT. The "gold standard"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PPAH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Pusat Pendidikan Al-Hidayah</w:t>
            </w:r>
          </w:p>
        </w:tc>
        <w:tc>
          <w:tcPr>
            <w:tcW w:type="dxa" w:w="1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spacing w:after="0" w:before="0"/>
            </w:pPr>
            <w:r>
              <w:rPr>
                <w:b/>
                <w:bCs/>
                <w:color w:val="B45309"/>
                <w:sz w:val="20"/>
                <w:szCs w:val="20"/>
              </w:rPr>
              <w:t xml:space="preserve">EXPIRING SOON</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License expiring in ~45 days. Last inspection NEEDS IMPROVEMENT. Has 2 unapproved teachers. Follow-up overdue. Amber-alert school.</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ILA</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International Learning Academy</w:t>
            </w:r>
          </w:p>
        </w:tc>
        <w:tc>
          <w:tcPr>
            <w:tcW w:type="dxa" w:w="1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spacing w:after="0" w:before="0"/>
            </w:pPr>
            <w:r>
              <w:rPr>
                <w:b/>
                <w:bCs/>
                <w:color w:val="B45309"/>
                <w:sz w:val="20"/>
                <w:szCs w:val="20"/>
              </w:rPr>
              <w:t xml:space="preserve">ACTIVE</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License valid but SATISFACTORY inspection with 2 open findings: fire evacuation records missing + Bahasa Melayu hours insufficient.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Tutorial Centre Anggerek</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b/>
                <w:bCs/>
                <w:color w:val="991B1B"/>
                <w:sz w:val="20"/>
                <w:szCs w:val="20"/>
              </w:rPr>
              <w:t xml:space="preserve">SUSPENDED</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License expired 30 days ago. Status: SUSPENDED. Last inspection UNSATISFACTORY: 4 unqualified teachers, no financial audit, fire safety lapsed. 3 MAJOR findings. Follow-up overdue. The "crisis" school that drives the red alert on the dashboard.</w:t>
            </w:r>
          </w:p>
        </w:tc>
      </w:tr>
    </w:tbl>
    <w:p>
      <w:pPr>
        <w:spacing w:after="60" w:before="60"/>
      </w:pPr>
      <w:r>
        <w:t xml:space="preserve"/>
      </w:r>
    </w:p>
    <w:p>
      <w:r>
        <w:br w:type="page"/>
      </w:r>
    </w:p>
    <w:p>
      <w:pPr>
        <w:pStyle w:val="Heading1"/>
        <w:pBdr>
          <w:bottom w:val="single" w:color="2E5FA3" w:sz="4" w:space="6"/>
        </w:pBdr>
        <w:spacing w:after="160" w:before="400"/>
      </w:pPr>
      <w:bookmarkStart w:name="s8" w:id="1"/>
      <w:r>
        <w:rPr>
          <w:b/>
          <w:bCs/>
          <w:color w:val="1F3864"/>
          <w:sz w:val="32"/>
          <w:szCs w:val="32"/>
        </w:rPr>
        <w:t xml:space="preserve">8. Demo Personas — People in the Storyline</w:t>
      </w:r>
      <w:bookmarkEnd w:id="1"/>
    </w:p>
    <w:p>
      <w:pPr>
        <w:spacing w:after="80" w:before="80"/>
      </w:pPr>
      <w:r>
        <w:rPr>
          <w:sz w:val="22"/>
          <w:szCs w:val="22"/>
        </w:rPr>
        <w:t xml:space="preserve">The demo follows specific characters. Knowing their names and roles makes you sound natural — "let's see what Mrs. Siti sees as a parent" sounds far better than "let's log in to the parent account".</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8FAFC" w:val="clear"/>
            <w:tcMar>
              <w:top w:type="dxa" w:w="120"/>
              <w:left w:type="dxa" w:w="200"/>
              <w:bottom w:type="dxa" w:w="120"/>
              <w:right w:type="dxa" w:w="200"/>
            </w:tcMar>
          </w:tcPr>
          <w:p>
            <w:pPr>
              <w:spacing w:after="80" w:before="0"/>
            </w:pPr>
            <w:r>
              <w:rPr>
                <w:b/>
                <w:bCs/>
                <w:color w:val="1F3864"/>
                <w:sz w:val="24"/>
                <w:szCs w:val="24"/>
              </w:rPr>
              <w:t xml:space="preserve">Ahmad Bin Abdullah</w:t>
            </w:r>
            <w:r>
              <w:rPr>
                <w:color w:val="64748B"/>
                <w:sz w:val="18"/>
                <w:szCs w:val="18"/>
              </w:rPr>
              <w:t xml:space="preserve">  ·  login: student001  ·  role: student</w:t>
            </w:r>
          </w:p>
          <w:p>
            <w:pPr>
              <w:spacing w:after="0" w:before="0"/>
            </w:pPr>
            <w:r>
              <w:rPr>
                <w:sz w:val="20"/>
                <w:szCs w:val="20"/>
              </w:rPr>
              <w:t xml:space="preserve">Year 7A student at SMHK. Age 12. He is the central figure of Acts 1 and 2. He has an older sibling (Hafiz, Year 9C) which qualifies him for sibling priority in admissions. After the teacher marks absences and enters a failing grade, Ahmad reaches HIGH RISK (82%) and the system automatically opens a counsellor case. His story shows: admission, attendance, grade entry, risk scoring, counsellor intervention, and RBAC all in sequence.</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0F9FF" w:val="clear"/>
            <w:tcMar>
              <w:top w:type="dxa" w:w="120"/>
              <w:left w:type="dxa" w:w="200"/>
              <w:bottom w:type="dxa" w:w="120"/>
              <w:right w:type="dxa" w:w="200"/>
            </w:tcMar>
          </w:tcPr>
          <w:p>
            <w:pPr>
              <w:spacing w:after="80" w:before="0"/>
            </w:pPr>
            <w:r>
              <w:rPr>
                <w:b/>
                <w:bCs/>
                <w:color w:val="1F3864"/>
                <w:sz w:val="24"/>
                <w:szCs w:val="24"/>
              </w:rPr>
              <w:t xml:space="preserve">Mrs. Siti Binti Mohamed</w:t>
            </w:r>
            <w:r>
              <w:rPr>
                <w:color w:val="64748B"/>
                <w:sz w:val="18"/>
                <w:szCs w:val="18"/>
              </w:rPr>
              <w:t xml:space="preserve">  ·  login: parent.siti  ·  role: parent</w:t>
            </w:r>
          </w:p>
          <w:p>
            <w:pPr>
              <w:spacing w:after="0" w:before="0"/>
            </w:pPr>
            <w:r>
              <w:rPr>
                <w:sz w:val="20"/>
                <w:szCs w:val="20"/>
              </w:rPr>
              <w:t xml:space="preserve">Ahmad's mother. In the demo she applies for Ahmad's admission online as Act 1 Scene 1. She receives notifications when he is absent and when his grade is entered. She can view his attendance and grades but cannot see other students' data — demonstrating parent-scoped RBAC. She also sees the Parent-Teacher Meeting the counsellor scheduled.</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8FAFC" w:val="clear"/>
            <w:tcMar>
              <w:top w:type="dxa" w:w="120"/>
              <w:left w:type="dxa" w:w="200"/>
              <w:bottom w:type="dxa" w:w="120"/>
              <w:right w:type="dxa" w:w="200"/>
            </w:tcMar>
          </w:tcPr>
          <w:p>
            <w:pPr>
              <w:spacing w:after="80" w:before="0"/>
            </w:pPr>
            <w:r>
              <w:rPr>
                <w:b/>
                <w:bCs/>
                <w:color w:val="1F3864"/>
                <w:sz w:val="24"/>
                <w:szCs w:val="24"/>
              </w:rPr>
              <w:t xml:space="preserve">Ms. Aminah Binti Hassan</w:t>
            </w:r>
            <w:r>
              <w:rPr>
                <w:color w:val="64748B"/>
                <w:sz w:val="18"/>
                <w:szCs w:val="18"/>
              </w:rPr>
              <w:t xml:space="preserve">  ·  login: teacher01  ·  role: teacher</w:t>
            </w:r>
          </w:p>
          <w:p>
            <w:pPr>
              <w:spacing w:after="0" w:before="0"/>
            </w:pPr>
            <w:r>
              <w:rPr>
                <w:sz w:val="20"/>
                <w:szCs w:val="20"/>
              </w:rPr>
              <w:t xml:space="preserve">Form Teacher of Year 7A. In Brunei, the Form Teacher is particularly important — they know every student in their class personally. In the demo she marks attendance (flagging Ahmad as absent), enters his Mathematics grade of 42%, and applies for medical leave. Her leave triggers the timetable conflict detection and substitute teacher assignment.</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0F9FF" w:val="clear"/>
            <w:tcMar>
              <w:top w:type="dxa" w:w="120"/>
              <w:left w:type="dxa" w:w="200"/>
              <w:bottom w:type="dxa" w:w="120"/>
              <w:right w:type="dxa" w:w="200"/>
            </w:tcMar>
          </w:tcPr>
          <w:p>
            <w:pPr>
              <w:spacing w:after="80" w:before="0"/>
            </w:pPr>
            <w:r>
              <w:rPr>
                <w:b/>
                <w:bCs/>
                <w:color w:val="1F3864"/>
                <w:sz w:val="24"/>
                <w:szCs w:val="24"/>
              </w:rPr>
              <w:t xml:space="preserve">Ms. Farah Binti Aziz</w:t>
            </w:r>
            <w:r>
              <w:rPr>
                <w:color w:val="64748B"/>
                <w:sz w:val="18"/>
                <w:szCs w:val="18"/>
              </w:rPr>
              <w:t xml:space="preserve">  ·  login: farah  ·  role: counselor</w:t>
            </w:r>
          </w:p>
          <w:p>
            <w:pPr>
              <w:spacing w:after="0" w:before="0"/>
            </w:pPr>
            <w:r>
              <w:rPr>
                <w:sz w:val="20"/>
                <w:szCs w:val="20"/>
              </w:rPr>
              <w:t xml:space="preserve">SMHK's school counsellor. When Ahmad's risk score exceeds the threshold, the system auto-opens a case assigned to her. She adds a case note and schedules a Parent-Teacher Meeting from within the case — all in the same screen. She demonstrates how the counsellor role sees a different slice of Ahmad's data than the teacher or parent.</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8FAFC" w:val="clear"/>
            <w:tcMar>
              <w:top w:type="dxa" w:w="120"/>
              <w:left w:type="dxa" w:w="200"/>
              <w:bottom w:type="dxa" w:w="120"/>
              <w:right w:type="dxa" w:w="200"/>
            </w:tcMar>
          </w:tcPr>
          <w:p>
            <w:pPr>
              <w:spacing w:after="80" w:before="0"/>
            </w:pPr>
            <w:r>
              <w:rPr>
                <w:b/>
                <w:bCs/>
                <w:color w:val="1F3864"/>
                <w:sz w:val="24"/>
                <w:szCs w:val="24"/>
              </w:rPr>
              <w:t xml:space="preserve">Dr. Azman Bin Ishak</w:t>
            </w:r>
            <w:r>
              <w:rPr>
                <w:color w:val="64748B"/>
                <w:sz w:val="18"/>
                <w:szCs w:val="18"/>
              </w:rPr>
              <w:t xml:space="preserve">  ·  login: hod01  ·  role: hod</w:t>
            </w:r>
          </w:p>
          <w:p>
            <w:pPr>
              <w:spacing w:after="0" w:before="0"/>
            </w:pPr>
            <w:r>
              <w:rPr>
                <w:sz w:val="20"/>
                <w:szCs w:val="20"/>
              </w:rPr>
              <w:t xml:space="preserve">Head of Department at SMHK. In the demo he appears in the approvals workflow: he approves Ms. Aminah's self-service training request, and later approves her leave application. He also submits a performance evaluation (TPA) for Ms. Aminah, which then goes to the Principal for final approval. His HOD Dashboard shows students of concern in his department.</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0F9FF" w:val="clear"/>
            <w:tcMar>
              <w:top w:type="dxa" w:w="120"/>
              <w:left w:type="dxa" w:w="200"/>
              <w:bottom w:type="dxa" w:w="120"/>
              <w:right w:type="dxa" w:w="200"/>
            </w:tcMar>
          </w:tcPr>
          <w:p>
            <w:pPr>
              <w:spacing w:after="80" w:before="0"/>
            </w:pPr>
            <w:r>
              <w:rPr>
                <w:b/>
                <w:bCs/>
                <w:color w:val="1F3864"/>
                <w:sz w:val="24"/>
                <w:szCs w:val="24"/>
              </w:rPr>
              <w:t xml:space="preserve">Hjh Rashidah Binti Mohamad</w:t>
            </w:r>
            <w:r>
              <w:rPr>
                <w:color w:val="64748B"/>
                <w:sz w:val="18"/>
                <w:szCs w:val="18"/>
              </w:rPr>
              <w:t xml:space="preserve">  ·  login: principal  ·  role: principal</w:t>
            </w:r>
          </w:p>
          <w:p>
            <w:pPr>
              <w:spacing w:after="0" w:before="0"/>
            </w:pPr>
            <w:r>
              <w:rPr>
                <w:sz w:val="20"/>
                <w:szCs w:val="20"/>
              </w:rPr>
              <w:t xml:space="preserve">Principal of SMHK. She gives final approval on Ms. Aminah's performance evaluation after Dr. Azman submits it. She has access to the Command Center showing school-wide KPIs. The title "Hjh" (Hajah) indicates she has completed the Hajj pilgrimage — a common honorific for senior Malay women in official positions.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8FAFC" w:val="clear"/>
            <w:tcMar>
              <w:top w:type="dxa" w:w="120"/>
              <w:left w:type="dxa" w:w="200"/>
              <w:bottom w:type="dxa" w:w="120"/>
              <w:right w:type="dxa" w:w="200"/>
            </w:tcMar>
          </w:tcPr>
          <w:p>
            <w:pPr>
              <w:spacing w:after="80" w:before="0"/>
            </w:pPr>
            <w:r>
              <w:rPr>
                <w:b/>
                <w:bCs/>
                <w:color w:val="1F3864"/>
                <w:sz w:val="24"/>
                <w:szCs w:val="24"/>
              </w:rPr>
              <w:t xml:space="preserve">Hj Kamaruddin</w:t>
            </w:r>
            <w:r>
              <w:rPr>
                <w:color w:val="64748B"/>
                <w:sz w:val="18"/>
                <w:szCs w:val="18"/>
              </w:rPr>
              <w:t xml:space="preserve">  ·  login: manager  ·  role: manager</w:t>
            </w:r>
          </w:p>
          <w:p>
            <w:pPr>
              <w:spacing w:after="0" w:before="0"/>
            </w:pPr>
            <w:r>
              <w:rPr>
                <w:sz w:val="20"/>
                <w:szCs w:val="20"/>
              </w:rPr>
              <w:t xml:space="preserve">School Manager / Administrator at SMHK. An administrative role with broad access to manage day-to-day school operations across all modules.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4"/>
              <w:left w:val="single" w:color="CCCCCC" w:sz="1"/>
              <w:bottom w:val="single" w:color="CCCCCC" w:sz="1"/>
              <w:right w:val="single" w:color="CCCCCC" w:sz="1"/>
            </w:tcBorders>
            <w:shd w:fill="F0F9FF" w:val="clear"/>
            <w:tcMar>
              <w:top w:type="dxa" w:w="120"/>
              <w:left w:type="dxa" w:w="200"/>
              <w:bottom w:type="dxa" w:w="120"/>
              <w:right w:type="dxa" w:w="200"/>
            </w:tcMar>
          </w:tcPr>
          <w:p>
            <w:pPr>
              <w:spacing w:after="80" w:before="0"/>
            </w:pPr>
            <w:r>
              <w:rPr>
                <w:b/>
                <w:bCs/>
                <w:color w:val="1F3864"/>
                <w:sz w:val="24"/>
                <w:szCs w:val="24"/>
              </w:rPr>
              <w:t xml:space="preserve">Pg Hjh Salmah Binti Pg Tahir</w:t>
            </w:r>
            <w:r>
              <w:rPr>
                <w:color w:val="64748B"/>
                <w:sz w:val="18"/>
                <w:szCs w:val="18"/>
              </w:rPr>
              <w:t xml:space="preserve">  ·  login: dpeofficer  ·  role: priv_ed_officer</w:t>
            </w:r>
          </w:p>
          <w:p>
            <w:pPr>
              <w:spacing w:after="0" w:before="0"/>
            </w:pPr>
            <w:r>
              <w:rPr>
                <w:sz w:val="20"/>
                <w:szCs w:val="20"/>
              </w:rPr>
              <w:t xml:space="preserve">DPE Officer at MOE headquarters. She sees the Private Education Oversight dashboard — the only person in the demo who looks across all 4 DPE private schools. She records a new inspection, renews a license, and issues a compliance circular. "Pg" (Pengiran) is a Brunei noble title.</w:t>
            </w:r>
          </w:p>
        </w:tc>
      </w:tr>
    </w:tbl>
    <w:p>
      <w:pPr>
        <w:spacing w:after="60" w:before="60"/>
      </w:pPr>
      <w:r>
        <w:t xml:space="preserve"/>
      </w:r>
    </w:p>
    <w:p>
      <w:r>
        <w:br w:type="page"/>
      </w:r>
    </w:p>
    <w:p>
      <w:pPr>
        <w:pStyle w:val="Heading1"/>
        <w:pBdr>
          <w:bottom w:val="single" w:color="2E5FA3" w:sz="4" w:space="6"/>
        </w:pBdr>
        <w:spacing w:after="160" w:before="400"/>
      </w:pPr>
      <w:bookmarkStart w:name="s9" w:id="1"/>
      <w:r>
        <w:rPr>
          <w:b/>
          <w:bCs/>
          <w:color w:val="1F3864"/>
          <w:sz w:val="32"/>
          <w:szCs w:val="32"/>
        </w:rPr>
        <w:t xml:space="preserve">9. The 60-Minute Demo — Storyline in Plain Language</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E7490" w:sz="12"/>
              <w:bottom w:val="none" w:color="FFFFFF" w:sz="0"/>
              <w:right w:val="none" w:color="FFFFFF" w:sz="0"/>
            </w:tcBorders>
            <w:shd w:fill="F0FDFA" w:val="clear"/>
            <w:tcMar>
              <w:top w:type="dxa" w:w="100"/>
              <w:left w:type="dxa" w:w="200"/>
              <w:bottom w:type="dxa" w:w="100"/>
              <w:right w:type="dxa" w:w="120"/>
            </w:tcMar>
          </w:tcPr>
          <w:p>
            <w:pPr>
              <w:spacing w:after="0" w:before="0"/>
            </w:pPr>
            <w:r>
              <w:rPr>
                <w:i/>
                <w:iCs/>
                <w:color w:val="0E7490"/>
                <w:sz w:val="22"/>
                <w:szCs w:val="22"/>
              </w:rPr>
              <w:t xml:space="preserve">Read this section as a story, not as instructions. If you understand the narrative, the screen actions will feel natural rather than scripted.</w:t>
            </w:r>
          </w:p>
        </w:tc>
      </w:tr>
    </w:tbl>
    <w:p>
      <w:pPr>
        <w:spacing w:after="60" w:before="60"/>
      </w:pPr>
      <w:r>
        <w:t xml:space="preserve"/>
      </w:r>
    </w:p>
    <w:p>
      <w:pPr>
        <w:pStyle w:val="Heading2"/>
        <w:spacing w:after="100" w:before="280"/>
      </w:pPr>
      <w:r>
        <w:rPr>
          <w:b/>
          <w:bCs/>
          <w:color w:val="2E5FA3"/>
          <w:sz w:val="26"/>
          <w:szCs w:val="26"/>
        </w:rPr>
        <w:t xml:space="preserve">The Central Story</w:t>
      </w:r>
    </w:p>
    <w:p>
      <w:pPr>
        <w:spacing w:after="80" w:before="80"/>
      </w:pPr>
      <w:r>
        <w:rPr>
          <w:sz w:val="22"/>
          <w:szCs w:val="22"/>
        </w:rPr>
        <w:t xml:space="preserve">It is the beginning of a new school term at SMHK. Ahmad Bin Abdullah's mother has applied for his admission online. He gets enrolled. His Form Teacher marks him absent three times in a week while also entering a failing test score. The system automatically flags him as HIGH RISK. The counsellor is alerted, investigates, and schedules a meeting with his mother. Meanwhile, the principal and HOD can see Ahmad's situation through their own dashboards — without anyone manually escalating it. That is the power of integration.</w:t>
      </w:r>
    </w:p>
    <w:p>
      <w:pPr>
        <w:spacing w:after="60" w:before="60"/>
      </w:pPr>
      <w:r>
        <w:t xml:space="preserve"/>
      </w:r>
    </w:p>
    <w:p>
      <w:pPr>
        <w:pStyle w:val="Heading2"/>
        <w:spacing w:after="100" w:before="280"/>
      </w:pPr>
      <w:r>
        <w:rPr>
          <w:b/>
          <w:bCs/>
          <w:color w:val="2E5FA3"/>
          <w:sz w:val="26"/>
          <w:szCs w:val="26"/>
        </w:rPr>
        <w:t xml:space="preserve">9.1 Act 0 — The Opening (4 minutes)</w:t>
      </w:r>
    </w:p>
    <w:p>
      <w:pPr>
        <w:spacing w:after="80" w:before="80"/>
      </w:pPr>
      <w:r>
        <w:rPr>
          <w:sz w:val="22"/>
          <w:szCs w:val="22"/>
        </w:rPr>
        <w:t xml:space="preserve">Login as Admin. The Command Center Dashboard opens. Point out the live KPI tiles: 3,503 students, teacher counts, attendance rate, pending admissions. Navigate to the At-Risk Dashboard and show Ahmad Bin Abdullah at the top — HIGH RISK, 82% score. Tell the audience: "We'll come back to him. First let's show you how he got into the school."</w:t>
      </w:r>
    </w:p>
    <w:p>
      <w:pPr>
        <w:spacing w:after="60" w:before="60"/>
      </w:pPr>
      <w:r>
        <w:t xml:space="preserve"/>
      </w:r>
    </w:p>
    <w:p>
      <w:pPr>
        <w:pStyle w:val="Heading2"/>
        <w:spacing w:after="100" w:before="280"/>
      </w:pPr>
      <w:r>
        <w:rPr>
          <w:b/>
          <w:bCs/>
          <w:color w:val="2E5FA3"/>
          <w:sz w:val="26"/>
          <w:szCs w:val="26"/>
        </w:rPr>
        <w:t xml:space="preserve">9.2 Act 1 — Ahmad's Journey (24 minutes)</w:t>
      </w:r>
    </w:p>
    <w:p>
      <w:pPr>
        <w:pStyle w:val="Heading3"/>
        <w:spacing w:after="80" w:before="200"/>
      </w:pPr>
      <w:r>
        <w:rPr>
          <w:b/>
          <w:bCs/>
          <w:color w:val="0E7490"/>
          <w:sz w:val="22"/>
          <w:szCs w:val="22"/>
        </w:rPr>
        <w:t xml:space="preserve">Scene 1 (4 min): Parent Applies for Admission</w:t>
      </w:r>
    </w:p>
    <w:p>
      <w:pPr>
        <w:spacing w:after="80" w:before="80"/>
      </w:pPr>
      <w:r>
        <w:rPr>
          <w:sz w:val="22"/>
          <w:szCs w:val="22"/>
        </w:rPr>
        <w:t xml:space="preserve">Switch to parent.siti. She navigates to Apply for Admission and fills the 4-step wizard. When she enters Ahmad's date of birth (age 12), the system auto-calculates "Year 7" — she doesn't have to know the grade system. His older sibling Hafiz is detected, adding sibling priority. She submits; an Application ID is generated instantly.</w:t>
      </w:r>
    </w:p>
    <w:p>
      <w:pPr>
        <w:spacing w:after="60" w:before="60"/>
      </w:pPr>
      <w:r>
        <w:t xml:space="preserve"/>
      </w:r>
    </w:p>
    <w:p>
      <w:pPr>
        <w:pStyle w:val="Heading3"/>
        <w:spacing w:after="80" w:before="200"/>
      </w:pPr>
      <w:r>
        <w:rPr>
          <w:b/>
          <w:bCs/>
          <w:color w:val="0E7490"/>
          <w:sz w:val="22"/>
          <w:szCs w:val="22"/>
        </w:rPr>
        <w:t xml:space="preserve">Scene 2 (2 min): Admin Reviews the Application</w:t>
      </w:r>
    </w:p>
    <w:p>
      <w:pPr>
        <w:spacing w:after="80" w:before="80"/>
      </w:pPr>
      <w:r>
        <w:rPr>
          <w:sz w:val="22"/>
          <w:szCs w:val="22"/>
        </w:rPr>
        <w:t xml:space="preserve">Switch back to admin. The application appears in the admissions list. Click it — the eligibility score (calculated from academic history, age fit, sibling priority, and documents) is visible. Change the status to Under Review. The parent immediately gets a notification.</w:t>
      </w:r>
    </w:p>
    <w:p>
      <w:pPr>
        <w:spacing w:after="60" w:before="60"/>
      </w:pPr>
      <w:r>
        <w:t xml:space="preserve"/>
      </w:r>
    </w:p>
    <w:p>
      <w:pPr>
        <w:pStyle w:val="Heading3"/>
        <w:spacing w:after="80" w:before="200"/>
      </w:pPr>
      <w:r>
        <w:rPr>
          <w:b/>
          <w:bCs/>
          <w:color w:val="0E7490"/>
          <w:sz w:val="22"/>
          <w:szCs w:val="22"/>
        </w:rPr>
        <w:t xml:space="preserve">Scene 3 (5 min): Teacher Marks Attendance</w:t>
      </w:r>
    </w:p>
    <w:p>
      <w:pPr>
        <w:spacing w:after="80" w:before="80"/>
      </w:pPr>
      <w:r>
        <w:rPr>
          <w:sz w:val="22"/>
          <w:szCs w:val="22"/>
        </w:rPr>
        <w:t xml:space="preserve">Switch to teacher01 (Ms. Aminah). She opens the Year 7A class list and marks 3 students as absent — including Ahmad. Save. One teacher action, three absence records created instantly.</w:t>
      </w:r>
    </w:p>
    <w:p>
      <w:pPr>
        <w:spacing w:after="60" w:before="60"/>
      </w:pPr>
      <w:r>
        <w:t xml:space="preserve"/>
      </w:r>
    </w:p>
    <w:p>
      <w:pPr>
        <w:pStyle w:val="Heading3"/>
        <w:spacing w:after="80" w:before="200"/>
      </w:pPr>
      <w:r>
        <w:rPr>
          <w:b/>
          <w:bCs/>
          <w:color w:val="0E7490"/>
          <w:sz w:val="22"/>
          <w:szCs w:val="22"/>
        </w:rPr>
        <w:t xml:space="preserve">Scene 4 (4 min): THE CASCADE — Watch What Happens</w:t>
      </w:r>
    </w:p>
    <w:p>
      <w:pPr>
        <w:spacing w:after="80" w:before="80"/>
      </w:pPr>
      <w:r>
        <w:rPr>
          <w:sz w:val="22"/>
          <w:szCs w:val="22"/>
        </w:rPr>
        <w:t xml:space="preserve">This is the highlight moment. Stay on the Admin view. Show each cascade effect: (1) Ahmad's risk score rises on the At-Risk Dashboard. (2) The Auto-Triggers log shows the absence event fired. (3) The Counsellor (Ms. Farah) has a new case auto-opened. (4) The Parent (Mrs. Siti) has received an absence notification. Say: "One teacher tap. Six systems updated. Every change has an actor, a timestamp, and an audit record."</w:t>
      </w:r>
    </w:p>
    <w:p>
      <w:pPr>
        <w:spacing w:after="60" w:before="60"/>
      </w:pPr>
      <w:r>
        <w:t xml:space="preserve"/>
      </w:r>
    </w:p>
    <w:p>
      <w:pPr>
        <w:pStyle w:val="Heading3"/>
        <w:spacing w:after="80" w:before="200"/>
      </w:pPr>
      <w:r>
        <w:rPr>
          <w:b/>
          <w:bCs/>
          <w:color w:val="0E7490"/>
          <w:sz w:val="22"/>
          <w:szCs w:val="22"/>
        </w:rPr>
        <w:t xml:space="preserve">Scene 5 (4 min): Grade Entry → Student and Parent Visibility</w:t>
      </w:r>
    </w:p>
    <w:p>
      <w:pPr>
        <w:spacing w:after="80" w:before="80"/>
      </w:pPr>
      <w:r>
        <w:rPr>
          <w:sz w:val="22"/>
          <w:szCs w:val="22"/>
        </w:rPr>
        <w:t xml:space="preserve">Switch to teacher01. Enter a grade of 42% for Ahmad in Mathematics. Switch to student view — the grade appears instantly on Ahmad's Report Card, GPA recalculated. Switch to parent view — she sees the same grade. Switch to Admin — Ahmad's Academic Standing has moved to ACADEMIC_WATCH automatically. Switch to HOD — Ahmad appears in the students-of-concern widget.</w:t>
      </w:r>
    </w:p>
    <w:p>
      <w:pPr>
        <w:spacing w:after="60" w:before="60"/>
      </w:pPr>
      <w:r>
        <w:t xml:space="preserve"/>
      </w:r>
    </w:p>
    <w:p>
      <w:pPr>
        <w:pStyle w:val="Heading3"/>
        <w:spacing w:after="80" w:before="200"/>
      </w:pPr>
      <w:r>
        <w:rPr>
          <w:b/>
          <w:bCs/>
          <w:color w:val="0E7490"/>
          <w:sz w:val="22"/>
          <w:szCs w:val="22"/>
        </w:rPr>
        <w:t xml:space="preserve">Scene 6 (2 min): Counsellor Intervenes</w:t>
      </w:r>
    </w:p>
    <w:p>
      <w:pPr>
        <w:spacing w:after="80" w:before="80"/>
      </w:pPr>
      <w:r>
        <w:rPr>
          <w:sz w:val="22"/>
          <w:szCs w:val="22"/>
        </w:rPr>
        <w:t xml:space="preserve">Switch to counselor (farah). Open Ahmad's case. Add a note. Schedule a Parent-Teacher Meeting. Switch to parent view — the meeting appears in her calendar immediately. No emails were sent. No manual forwarding. The system did it.</w:t>
      </w:r>
    </w:p>
    <w:p>
      <w:pPr>
        <w:spacing w:after="60" w:before="60"/>
      </w:pPr>
      <w:r>
        <w:t xml:space="preserve"/>
      </w:r>
    </w:p>
    <w:p>
      <w:pPr>
        <w:pStyle w:val="Heading3"/>
        <w:spacing w:after="80" w:before="200"/>
      </w:pPr>
      <w:r>
        <w:rPr>
          <w:b/>
          <w:bCs/>
          <w:color w:val="0E7490"/>
          <w:sz w:val="22"/>
          <w:szCs w:val="22"/>
        </w:rPr>
        <w:t xml:space="preserve">Scene 7 (3 min): RBAC — Same Student, Four Lenses</w:t>
      </w:r>
    </w:p>
    <w:p>
      <w:pPr>
        <w:spacing w:after="80" w:before="80"/>
      </w:pPr>
      <w:r>
        <w:rPr>
          <w:sz w:val="22"/>
          <w:szCs w:val="22"/>
        </w:rPr>
        <w:t xml:space="preserve">Open Ahmad's profile as teacher, counsellor, HOD, and parent in rapid succession. Teacher sees grades and attendance but NOT counselling notes. Counsellor sees the case and risk data but NOT financial records. Parent sees only Ahmad, not any other student. Say: "This is RBAC enforced at the data layer — not cosmetic hide/show."</w:t>
      </w:r>
    </w:p>
    <w:p>
      <w:pPr>
        <w:spacing w:after="60" w:before="60"/>
      </w:pPr>
      <w:r>
        <w:t xml:space="preserve"/>
      </w:r>
    </w:p>
    <w:p>
      <w:pPr>
        <w:pStyle w:val="Heading2"/>
        <w:spacing w:after="100" w:before="280"/>
      </w:pPr>
      <w:r>
        <w:rPr>
          <w:b/>
          <w:bCs/>
          <w:color w:val="2E5FA3"/>
          <w:sz w:val="26"/>
          <w:szCs w:val="26"/>
        </w:rPr>
        <w:t xml:space="preserve">9.3 Act 2 — The Teacher's Journey (15 minutes)</w:t>
      </w:r>
    </w:p>
    <w:p>
      <w:pPr>
        <w:pStyle w:val="Heading3"/>
        <w:spacing w:after="80" w:before="200"/>
      </w:pPr>
      <w:r>
        <w:rPr>
          <w:b/>
          <w:bCs/>
          <w:color w:val="0E7490"/>
          <w:sz w:val="22"/>
          <w:szCs w:val="22"/>
        </w:rPr>
        <w:t xml:space="preserve">Scene 1 (5 min): Self-Service Portal</w:t>
      </w:r>
    </w:p>
    <w:p>
      <w:pPr>
        <w:spacing w:after="80" w:before="80"/>
      </w:pPr>
      <w:r>
        <w:rPr>
          <w:sz w:val="22"/>
          <w:szCs w:val="22"/>
        </w:rPr>
        <w:t xml:space="preserve">Ms. Aminah submits a CPD training request through the Self-Service Portal. Switch to HOD Dr. Azman — the request appears in his Approvals Inbox. He approves it. Switch back to Ms. Aminah — her CPD hours have been updated. The workflow ran entirely within the system: request → approval → profile update.</w:t>
      </w:r>
    </w:p>
    <w:p>
      <w:pPr>
        <w:spacing w:after="60" w:before="60"/>
      </w:pPr>
      <w:r>
        <w:t xml:space="preserve"/>
      </w:r>
    </w:p>
    <w:p>
      <w:pPr>
        <w:pStyle w:val="Heading3"/>
        <w:spacing w:after="80" w:before="200"/>
      </w:pPr>
      <w:r>
        <w:rPr>
          <w:b/>
          <w:bCs/>
          <w:color w:val="0E7490"/>
          <w:sz w:val="22"/>
          <w:szCs w:val="22"/>
        </w:rPr>
        <w:t xml:space="preserve">Scene 2 (3 min): Leave + Timetable Impact</w:t>
      </w:r>
    </w:p>
    <w:p>
      <w:pPr>
        <w:spacing w:after="80" w:before="80"/>
      </w:pPr>
      <w:r>
        <w:rPr>
          <w:sz w:val="22"/>
          <w:szCs w:val="22"/>
        </w:rPr>
        <w:t xml:space="preserve">Ms. Aminah applies for 2 days of medical leave. Note the SSM provenance badge on her leave balance — the system knows her official entitlement from SSM. HOD approves the leave. Navigate to Timetable Conflict Detection — her 6 classes on those 2 days are now flagged. Assign a substitute teacher.</w:t>
      </w:r>
    </w:p>
    <w:p>
      <w:pPr>
        <w:spacing w:after="60" w:before="60"/>
      </w:pPr>
      <w:r>
        <w:t xml:space="preserve"/>
      </w:r>
    </w:p>
    <w:p>
      <w:pPr>
        <w:pStyle w:val="Heading3"/>
        <w:spacing w:after="80" w:before="200"/>
      </w:pPr>
      <w:r>
        <w:rPr>
          <w:b/>
          <w:bCs/>
          <w:color w:val="0E7490"/>
          <w:sz w:val="22"/>
          <w:szCs w:val="22"/>
        </w:rPr>
        <w:t xml:space="preserve">Scene 3 (4 min): Performance Evaluation (TPA)</w:t>
      </w:r>
    </w:p>
    <w:p>
      <w:pPr>
        <w:spacing w:after="80" w:before="80"/>
      </w:pPr>
      <w:r>
        <w:rPr>
          <w:sz w:val="22"/>
          <w:szCs w:val="22"/>
        </w:rPr>
        <w:t xml:space="preserve">HOD Dr. Azman opens a new performance evaluation for Ms. Aminah. He fills in TPA scores across the teaching domains and submits for review. Switch to Principal — she approves with comments. Switch to Ms. Aminah's profile — the evaluation is now linked to her career record.</w:t>
      </w:r>
    </w:p>
    <w:p>
      <w:pPr>
        <w:spacing w:after="60" w:before="60"/>
      </w:pPr>
      <w:r>
        <w:t xml:space="preserve"/>
      </w:r>
    </w:p>
    <w:p>
      <w:pPr>
        <w:pStyle w:val="Heading3"/>
        <w:spacing w:after="80" w:before="200"/>
      </w:pPr>
      <w:r>
        <w:rPr>
          <w:b/>
          <w:bCs/>
          <w:color w:val="0E7490"/>
          <w:sz w:val="22"/>
          <w:szCs w:val="22"/>
        </w:rPr>
        <w:t xml:space="preserve">Scene 4 (3 min): Awards, Postings, Retirement</w:t>
      </w:r>
    </w:p>
    <w:p>
      <w:pPr>
        <w:spacing w:after="80" w:before="80"/>
      </w:pPr>
      <w:r>
        <w:rPr>
          <w:sz w:val="22"/>
          <w:szCs w:val="22"/>
        </w:rPr>
        <w:t xml:space="preserve">Rapid sweep: show a teacher award record linked to a profile. Show the career posting history — every school she's been assigned to. Show the Retirement Dashboard — which teachers are eligible within 1 year, flagged automatically from their date of birth and service years.</w:t>
      </w:r>
    </w:p>
    <w:p>
      <w:pPr>
        <w:spacing w:after="60" w:before="60"/>
      </w:pPr>
      <w:r>
        <w:t xml:space="preserve"/>
      </w:r>
    </w:p>
    <w:p>
      <w:pPr>
        <w:pStyle w:val="Heading2"/>
        <w:spacing w:after="100" w:before="280"/>
      </w:pPr>
      <w:r>
        <w:rPr>
          <w:b/>
          <w:bCs/>
          <w:color w:val="2E5FA3"/>
          <w:sz w:val="26"/>
          <w:szCs w:val="26"/>
        </w:rPr>
        <w:t xml:space="preserve">9.4 Act 3 — The Regulator's View (7 minutes)</w:t>
      </w:r>
    </w:p>
    <w:p>
      <w:pPr>
        <w:spacing w:after="80" w:before="80"/>
      </w:pPr>
      <w:r>
        <w:rPr>
          <w:sz w:val="22"/>
          <w:szCs w:val="22"/>
        </w:rPr>
        <w:t xml:space="preserve">Switch to dpeofficer (Pg Hjh Salmah). This is the module that NO OTHER BIDDER WILL HAVE. She lands on the Private Education Oversight Dashboard.</w:t>
      </w:r>
    </w:p>
    <w:p>
      <w:pPr>
        <w:spacing w:after="60" w:before="60"/>
      </w:pPr>
      <w:r>
        <w:t xml:space="preserve"/>
      </w:r>
    </w:p>
    <w:p>
      <w:pPr>
        <w:spacing w:after="80" w:before="80"/>
      </w:pPr>
      <w:r>
        <w:rPr>
          <w:sz w:val="22"/>
          <w:szCs w:val="22"/>
        </w:rPr>
        <w:t xml:space="preserve">The red alert banner immediately shows: 1 suspended license, overdue inspection follow-ups. Walk through the KPI tiles. Click the Suspended tile — the table filters to TCA. Click TCA: license expired 30 days ago, SUSPENDED, 3 MAJOR inspection findings (unqualified teachers, no financial audit, fire safety lapsed), follow-up overdue by 10 days.</w:t>
      </w:r>
    </w:p>
    <w:p>
      <w:pPr>
        <w:spacing w:after="60" w:before="60"/>
      </w:pPr>
      <w:r>
        <w:t xml:space="preserve"/>
      </w:r>
    </w:p>
    <w:p>
      <w:pPr>
        <w:spacing w:after="80" w:before="80"/>
      </w:pPr>
      <w:r>
        <w:rPr>
          <w:sz w:val="22"/>
          <w:szCs w:val="22"/>
        </w:rPr>
        <w:t xml:space="preserve">Go back. Click PPAH: expiring soon, 2 prior renewals visible on the license timeline, open findings. Record a new inspection (click "Record inspection", fill the form, submit — done in 20 seconds). Renew the license.</w:t>
      </w:r>
    </w:p>
    <w:p>
      <w:pPr>
        <w:spacing w:after="60" w:before="60"/>
      </w:pPr>
      <w:r>
        <w:t xml:space="preserve"/>
      </w:r>
    </w:p>
    <w:p>
      <w:pPr>
        <w:spacing w:after="80" w:before="80"/>
      </w:pPr>
      <w:r>
        <w:rPr>
          <w:sz w:val="22"/>
          <w:szCs w:val="22"/>
        </w:rPr>
        <w:t xml:space="preserve">Click SPB: everything green. EXCELLENT inspection. Model compliance. The contrast sells itself.</w:t>
      </w:r>
    </w:p>
    <w:p>
      <w:pPr>
        <w:spacing w:after="60" w:before="60"/>
      </w:pPr>
      <w:r>
        <w:t xml:space="preserve"/>
      </w:r>
    </w:p>
    <w:p>
      <w:pPr>
        <w:spacing w:after="80" w:before="80"/>
      </w:pPr>
      <w:r>
        <w:rPr>
          <w:sz w:val="22"/>
          <w:szCs w:val="22"/>
        </w:rPr>
        <w:t xml:space="preserve">Show the compliance circular: "Annual Financial Audit Submission — DPE/CIR/2026/03", sent to all 4 private schools, SPB already acknowledged, 3 still pending.</w:t>
      </w:r>
    </w:p>
    <w:p>
      <w:pPr>
        <w:spacing w:after="60" w:before="6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B45309" w:sz="12"/>
              <w:bottom w:val="none" w:color="FFFFFF" w:sz="0"/>
              <w:right w:val="none" w:color="FFFFFF" w:sz="0"/>
            </w:tcBorders>
            <w:shd w:fill="FFFBEB" w:val="clear"/>
            <w:tcMar>
              <w:top w:type="dxa" w:w="100"/>
              <w:left w:type="dxa" w:w="200"/>
              <w:bottom w:type="dxa" w:w="100"/>
              <w:right w:type="dxa" w:w="120"/>
            </w:tcMar>
          </w:tcPr>
          <w:p>
            <w:pPr>
              <w:spacing w:after="0" w:before="0"/>
            </w:pPr>
            <w:r>
              <w:rPr>
                <w:i/>
                <w:iCs/>
                <w:color w:val="B45309"/>
                <w:sz w:val="22"/>
                <w:szCs w:val="22"/>
              </w:rPr>
              <w:t xml:space="preserve">This module is your competitive moat. Every other bidder will show a school system. You will show the Ministry watching the schools. That is a different product.</w:t>
            </w:r>
          </w:p>
        </w:tc>
      </w:tr>
    </w:tbl>
    <w:p>
      <w:pPr>
        <w:spacing w:after="60" w:before="60"/>
      </w:pPr>
      <w:r>
        <w:t xml:space="preserve"/>
      </w:r>
    </w:p>
    <w:p>
      <w:pPr>
        <w:pStyle w:val="Heading2"/>
        <w:spacing w:after="100" w:before="280"/>
      </w:pPr>
      <w:r>
        <w:rPr>
          <w:b/>
          <w:bCs/>
          <w:color w:val="2E5FA3"/>
          <w:sz w:val="26"/>
          <w:szCs w:val="26"/>
        </w:rPr>
        <w:t xml:space="preserve">9.5 Breadth Sweep (5 minutes)</w:t>
      </w:r>
    </w:p>
    <w:p>
      <w:pPr>
        <w:spacing w:after="80" w:before="80"/>
      </w:pPr>
      <w:r>
        <w:rPr>
          <w:sz w:val="22"/>
          <w:szCs w:val="22"/>
        </w:rPr>
        <w:t xml:space="preserve">Switch back to admin. Click through each module quickly — say the name, let the screen speak:</w:t>
      </w:r>
    </w:p>
    <w:p>
      <w:pPr>
        <w:pStyle w:val="ListParagraph"/>
        <w:numPr>
          <w:ilvl w:val="0"/>
          <w:numId w:val="2"/>
        </w:numPr>
        <w:spacing w:after="40" w:before="40"/>
      </w:pPr>
      <w:r>
        <w:rPr>
          <w:sz w:val="22"/>
          <w:szCs w:val="22"/>
        </w:rPr>
        <w:t xml:space="preserve">SEN / IEP — special education profiles and individual plans</w:t>
      </w:r>
    </w:p>
    <w:p>
      <w:pPr>
        <w:pStyle w:val="ListParagraph"/>
        <w:numPr>
          <w:ilvl w:val="0"/>
          <w:numId w:val="2"/>
        </w:numPr>
        <w:spacing w:after="40" w:before="40"/>
      </w:pPr>
      <w:r>
        <w:rPr>
          <w:sz w:val="22"/>
          <w:szCs w:val="22"/>
        </w:rPr>
        <w:t xml:space="preserve">Exam Management — PSR and IGCSE candidate entry and seating plans</w:t>
      </w:r>
    </w:p>
    <w:p>
      <w:pPr>
        <w:pStyle w:val="ListParagraph"/>
        <w:numPr>
          <w:ilvl w:val="0"/>
          <w:numId w:val="2"/>
        </w:numPr>
        <w:spacing w:after="40" w:before="40"/>
      </w:pPr>
      <w:r>
        <w:rPr>
          <w:sz w:val="22"/>
          <w:szCs w:val="22"/>
        </w:rPr>
        <w:t xml:space="preserve">Library — catalogue, circulation, holds, fines (KOHA-integrated)</w:t>
      </w:r>
    </w:p>
    <w:p>
      <w:pPr>
        <w:pStyle w:val="ListParagraph"/>
        <w:numPr>
          <w:ilvl w:val="0"/>
          <w:numId w:val="2"/>
        </w:numPr>
        <w:spacing w:after="40" w:before="40"/>
      </w:pPr>
      <w:r>
        <w:rPr>
          <w:sz w:val="22"/>
          <w:szCs w:val="22"/>
        </w:rPr>
        <w:t xml:space="preserve">Inventory — school asset register with location tracking</w:t>
      </w:r>
    </w:p>
    <w:p>
      <w:pPr>
        <w:pStyle w:val="ListParagraph"/>
        <w:numPr>
          <w:ilvl w:val="0"/>
          <w:numId w:val="2"/>
        </w:numPr>
        <w:spacing w:after="40" w:before="40"/>
      </w:pPr>
      <w:r>
        <w:rPr>
          <w:sz w:val="22"/>
          <w:szCs w:val="22"/>
        </w:rPr>
        <w:t xml:space="preserve">Surveys — teacher feedback surveys with live response statistics</w:t>
      </w:r>
    </w:p>
    <w:p>
      <w:pPr>
        <w:pStyle w:val="ListParagraph"/>
        <w:numPr>
          <w:ilvl w:val="0"/>
          <w:numId w:val="2"/>
        </w:numPr>
        <w:spacing w:after="40" w:before="40"/>
      </w:pPr>
      <w:r>
        <w:rPr>
          <w:sz w:val="22"/>
          <w:szCs w:val="22"/>
        </w:rPr>
        <w:t xml:space="preserve">Transitions — primary-to-secondary cohort management</w:t>
      </w:r>
    </w:p>
    <w:p>
      <w:pPr>
        <w:pStyle w:val="ListParagraph"/>
        <w:numPr>
          <w:ilvl w:val="0"/>
          <w:numId w:val="2"/>
        </w:numPr>
        <w:spacing w:after="40" w:before="40"/>
      </w:pPr>
      <w:r>
        <w:rPr>
          <w:sz w:val="22"/>
          <w:szCs w:val="22"/>
        </w:rPr>
        <w:t xml:space="preserve">Switch to sysadmin — All Schools page shows all 8 schools across MOE, MORA, Private</w:t>
      </w:r>
    </w:p>
    <w:p>
      <w:pPr>
        <w:pStyle w:val="ListParagraph"/>
        <w:numPr>
          <w:ilvl w:val="0"/>
          <w:numId w:val="2"/>
        </w:numPr>
        <w:spacing w:after="40" w:before="40"/>
      </w:pPr>
      <w:r>
        <w:rPr>
          <w:sz w:val="22"/>
          <w:szCs w:val="22"/>
        </w:rPr>
        <w:t xml:space="preserve">EGNC Integration Console — all 5 government systems shown as connected</w:t>
      </w:r>
    </w:p>
    <w:p>
      <w:pPr>
        <w:spacing w:after="60" w:before="60"/>
      </w:pPr>
      <w:r>
        <w:t xml:space="preserve"/>
      </w:r>
    </w:p>
    <w:p>
      <w:r>
        <w:br w:type="page"/>
      </w:r>
    </w:p>
    <w:p>
      <w:pPr>
        <w:pStyle w:val="Heading1"/>
        <w:pBdr>
          <w:bottom w:val="single" w:color="2E5FA3" w:sz="4" w:space="6"/>
        </w:pBdr>
        <w:spacing w:after="160" w:before="400"/>
      </w:pPr>
      <w:bookmarkStart w:name="s10" w:id="1"/>
      <w:r>
        <w:rPr>
          <w:b/>
          <w:bCs/>
          <w:color w:val="1F3864"/>
          <w:sz w:val="32"/>
          <w:szCs w:val="32"/>
        </w:rPr>
        <w:t xml:space="preserve">10. Key Numbers to Remember</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E5FA3" w:sz="12"/>
              <w:bottom w:val="none" w:color="FFFFFF" w:sz="0"/>
              <w:right w:val="none" w:color="FFFFFF" w:sz="0"/>
            </w:tcBorders>
            <w:shd w:fill="EEF4FF" w:val="clear"/>
            <w:tcMar>
              <w:top w:type="dxa" w:w="100"/>
              <w:left w:type="dxa" w:w="200"/>
              <w:bottom w:type="dxa" w:w="100"/>
              <w:right w:type="dxa" w:w="120"/>
            </w:tcMar>
          </w:tcPr>
          <w:p>
            <w:pPr>
              <w:spacing w:after="0" w:before="0"/>
            </w:pPr>
            <w:r>
              <w:rPr>
                <w:i/>
                <w:iCs/>
                <w:color w:val="2E5FA3"/>
                <w:sz w:val="22"/>
                <w:szCs w:val="22"/>
              </w:rPr>
              <w:t xml:space="preserve">Memorise the numbers in this section. Saying "over 3,000 students" sounds vague. Saying "3,456 students across Year 7 to Year 11" sounds like you built the system.</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What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Number</w:t>
            </w:r>
          </w:p>
        </w:tc>
        <w:tc>
          <w:tcPr>
            <w:tcW w:type="dxa" w:w="40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Total students in the system</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b/>
                <w:bCs/>
                <w:color w:val="2E5FA3"/>
                <w:sz w:val="26"/>
                <w:szCs w:val="26"/>
              </w:rPr>
              <w:t xml:space="preserve">3,456</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Across Year 7–11 at SMHK alone. Total across all schools is higher.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Schools in the demo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2E5FA3"/>
                <w:sz w:val="26"/>
                <w:szCs w:val="26"/>
              </w:rPr>
              <w:t xml:space="preserve">8 schools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MOE: SMHK + SRPB. MORA: SMAB. Private: ISB + 4 DPE schools (SPB, PPAH, ILA, TCA)</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User roles in the system</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b/>
                <w:bCs/>
                <w:color w:val="2E5FA3"/>
                <w:sz w:val="26"/>
                <w:szCs w:val="26"/>
              </w:rPr>
              <w:t xml:space="preserve">11 roles</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admin, principal, HOD, manager, finance, admissions, teacher, counselor, student, parent, priv_ed_officer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Login accounts in the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2E5FA3"/>
                <w:sz w:val="26"/>
                <w:szCs w:val="26"/>
              </w:rPr>
              <w:t xml:space="preserve">18 accounts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8 storyline chips + 4 multi-authority + 6 additional</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Ahmad's risk score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b/>
                <w:bCs/>
                <w:color w:val="991B1B"/>
                <w:sz w:val="26"/>
                <w:szCs w:val="26"/>
              </w:rPr>
              <w:t xml:space="preserve">82% HIGH RISK</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Weighted: attendance 45% + grade trend 35% + recent absences 15% + cohort comparison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Private schools in DPE oversight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2E5FA3"/>
                <w:sz w:val="26"/>
                <w:szCs w:val="26"/>
              </w:rPr>
              <w:t xml:space="preserve">5 schools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ISB (pre-existing) + SPB + PPAH + ILA + TCA (DPE seeded)</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Total student capacity (DPE schools)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b/>
                <w:bCs/>
                <w:color w:val="2E5FA3"/>
                <w:sz w:val="26"/>
                <w:szCs w:val="26"/>
              </w:rPr>
              <w:t xml:space="preserve">1,820</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Total licensed student capacity across all DPE-regulated private schools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Modules in the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2E5FA3"/>
                <w:sz w:val="26"/>
                <w:szCs w:val="26"/>
              </w:rPr>
              <w:t xml:space="preserve">3 core + many</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SIS, EMS, SMS — each with multiple sub-modules (library, exams, inventory, SEN, surveys, etc.)</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Backend API routes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b/>
                <w:bCs/>
                <w:color w:val="2E5FA3"/>
                <w:sz w:val="26"/>
                <w:szCs w:val="26"/>
              </w:rPr>
              <w:t xml:space="preserve">49 route files</w:t>
            </w:r>
          </w:p>
        </w:tc>
        <w:tc>
          <w:tcPr>
            <w:tcW w:type="dxa" w:w="40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16,333 lines of backend code. This is not a mockup — it is a working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Database models (entities)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2E5FA3"/>
                <w:sz w:val="26"/>
                <w:szCs w:val="26"/>
              </w:rPr>
              <w:t xml:space="preserve">50+ models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Student, Teacher, Grade, Attendance, SchoolLicense, SchoolInspection, CounselorCase, RiskScore, and many more.</w:t>
            </w:r>
          </w:p>
        </w:tc>
      </w:tr>
    </w:tbl>
    <w:p>
      <w:pPr>
        <w:spacing w:after="60" w:before="60"/>
      </w:pPr>
      <w:r>
        <w:t xml:space="preserve"/>
      </w:r>
    </w:p>
    <w:p>
      <w:r>
        <w:br w:type="page"/>
      </w:r>
    </w:p>
    <w:p>
      <w:pPr>
        <w:pStyle w:val="Heading1"/>
        <w:pBdr>
          <w:bottom w:val="single" w:color="2E5FA3" w:sz="4" w:space="6"/>
        </w:pBdr>
        <w:spacing w:after="160" w:before="400"/>
      </w:pPr>
      <w:bookmarkStart w:name="s11" w:id="1"/>
      <w:r>
        <w:rPr>
          <w:b/>
          <w:bCs/>
          <w:color w:val="1F3864"/>
          <w:sz w:val="32"/>
          <w:szCs w:val="32"/>
        </w:rPr>
        <w:t xml:space="preserve">11. Anticipated Questions &amp; Suggested Answers</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B45309" w:sz="12"/>
              <w:bottom w:val="none" w:color="FFFFFF" w:sz="0"/>
              <w:right w:val="none" w:color="FFFFFF" w:sz="0"/>
            </w:tcBorders>
            <w:shd w:fill="FFFBEB" w:val="clear"/>
            <w:tcMar>
              <w:top w:type="dxa" w:w="100"/>
              <w:left w:type="dxa" w:w="200"/>
              <w:bottom w:type="dxa" w:w="100"/>
              <w:right w:type="dxa" w:w="120"/>
            </w:tcMar>
          </w:tcPr>
          <w:p>
            <w:pPr>
              <w:spacing w:after="0" w:before="0"/>
            </w:pPr>
            <w:r>
              <w:rPr>
                <w:i/>
                <w:iCs/>
                <w:color w:val="B45309"/>
                <w:sz w:val="22"/>
                <w:szCs w:val="22"/>
              </w:rPr>
              <w:t xml:space="preserve">MOE evaluators have read the ITT. They will test whether you understand what you built. These are the questions most likely to come up and the most credible honest answers.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Q1: Is everything you showed us live, or is some of it mocked?</w:t>
            </w:r>
          </w:p>
        </w:tc>
      </w:tr>
      <w:tr>
        <w:tc>
          <w:tcPr>
            <w:tcW w:type="dxa" w:w="9638"/>
            <w:tcBorders>
              <w:top w:val="none" w:color="FFFFFF" w:sz="0"/>
              <w:left w:val="single" w:color="CCCCCC" w:sz="1"/>
              <w:bottom w:val="single" w:color="CCCCCC" w:sz="1"/>
              <w:right w:val="single" w:color="CCCCCC" w:sz="1"/>
            </w:tcBorders>
            <w:shd w:fill="F8FAFC" w:val="clear"/>
            <w:tcMar>
              <w:top w:type="dxa" w:w="120"/>
              <w:left w:type="dxa" w:w="200"/>
              <w:bottom w:type="dxa" w:w="120"/>
              <w:right w:type="dxa" w:w="200"/>
            </w:tcMar>
          </w:tcPr>
          <w:p>
            <w:pPr>
              <w:spacing w:after="0" w:before="0"/>
            </w:pPr>
            <w:r>
              <w:rPr>
                <w:sz w:val="21"/>
                <w:szCs w:val="21"/>
              </w:rPr>
              <w:t xml:space="preserve">Everything you saw runs on a real database with real queries — no hardcoded numbers, no screenshots. The five government integration points (Brunei Digital ID, EGNC SSO, NIH data exchange, SSM leave sync, and KOHA library) are simulated using professional façades for this POC. The production integration contracts — the API endpoints, authentication protocols, and data field mappings — are fully documented in our technical package. Wiring the live endpoints is an implementation step, not a design question we haven't answered.</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Q2: Why are you using SQLite? The ITT specifies Oracle 19c.</w:t>
            </w:r>
          </w:p>
        </w:tc>
      </w:tr>
      <w:tr>
        <w:tc>
          <w:tcPr>
            <w:tcW w:type="dxa" w:w="9638"/>
            <w:tcBorders>
              <w:top w:val="none" w:color="FFFFFF" w:sz="0"/>
              <w:left w:val="single" w:color="CCCCCC" w:sz="1"/>
              <w:bottom w:val="single" w:color="CCCCCC" w:sz="1"/>
              <w:right w:val="single" w:color="CCCCCC" w:sz="1"/>
            </w:tcBorders>
            <w:shd w:fill="F0F9FF" w:val="clear"/>
            <w:tcMar>
              <w:top w:type="dxa" w:w="120"/>
              <w:left w:type="dxa" w:w="200"/>
              <w:bottom w:type="dxa" w:w="120"/>
              <w:right w:type="dxa" w:w="200"/>
            </w:tcMar>
          </w:tcPr>
          <w:p>
            <w:pPr>
              <w:spacing w:after="0" w:before="0"/>
            </w:pPr>
            <w:r>
              <w:rPr>
                <w:sz w:val="21"/>
                <w:szCs w:val="21"/>
              </w:rPr>
              <w:t xml:space="preserve">SQLite is appropriate for a POC demonstration environment — it runs everywhere without licensing. Our Prisma ORM layer is database-agnostic. Migrating to Oracle 19c on NCDB is a configuration change, not a rewrite. We have documented the target architecture, NCDB database sizing, and the Prisma-Oracle migration path in our technical documentation.</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Q3: Can the system support 10,000+ concurrent users as specified in the ITT?</w:t>
            </w:r>
          </w:p>
        </w:tc>
      </w:tr>
      <w:tr>
        <w:tc>
          <w:tcPr>
            <w:tcW w:type="dxa" w:w="9638"/>
            <w:tcBorders>
              <w:top w:val="none" w:color="FFFFFF" w:sz="0"/>
              <w:left w:val="single" w:color="CCCCCC" w:sz="1"/>
              <w:bottom w:val="single" w:color="CCCCCC" w:sz="1"/>
              <w:right w:val="single" w:color="CCCCCC" w:sz="1"/>
            </w:tcBorders>
            <w:shd w:fill="F8FAFC" w:val="clear"/>
            <w:tcMar>
              <w:top w:type="dxa" w:w="120"/>
              <w:left w:type="dxa" w:w="200"/>
              <w:bottom w:type="dxa" w:w="120"/>
              <w:right w:type="dxa" w:w="200"/>
            </w:tcMar>
          </w:tcPr>
          <w:p>
            <w:pPr>
              <w:spacing w:after="0" w:before="0"/>
            </w:pPr>
            <w:r>
              <w:rPr>
                <w:sz w:val="21"/>
                <w:szCs w:val="21"/>
              </w:rPr>
              <w:t xml:space="preserve">The current demo runs a single-node configuration for portability. The production architecture uses horizontal scaling on OGPC virtual machines, Oracle connection pooling on NCDB, and CDN caching for static assets. We have documented the 5-year data growth projection and the resource configuration for the stated 10,000-user requirement.</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Q4: How does the Brunei Digital ID integration actually work?</w:t>
            </w:r>
          </w:p>
        </w:tc>
      </w:tr>
      <w:tr>
        <w:tc>
          <w:tcPr>
            <w:tcW w:type="dxa" w:w="9638"/>
            <w:tcBorders>
              <w:top w:val="none" w:color="FFFFFF" w:sz="0"/>
              <w:left w:val="single" w:color="CCCCCC" w:sz="1"/>
              <w:bottom w:val="single" w:color="CCCCCC" w:sz="1"/>
              <w:right w:val="single" w:color="CCCCCC" w:sz="1"/>
            </w:tcBorders>
            <w:shd w:fill="F0F9FF" w:val="clear"/>
            <w:tcMar>
              <w:top w:type="dxa" w:w="120"/>
              <w:left w:type="dxa" w:w="200"/>
              <w:bottom w:type="dxa" w:w="120"/>
              <w:right w:type="dxa" w:w="200"/>
            </w:tcMar>
          </w:tcPr>
          <w:p>
            <w:pPr>
              <w:spacing w:after="0" w:before="0"/>
            </w:pPr>
            <w:r>
              <w:rPr>
                <w:sz w:val="21"/>
                <w:szCs w:val="21"/>
              </w:rPr>
              <w:t xml:space="preserve">Brunei ID uses OAuth 2.0 with a Brunei-government-issued client credential. Users aged 12 and above are redirected to id.gov.bn, authenticate there, and the Brunei ID server returns a signed JWT with the user's IC number and basic profile. Our system validates the JWT, matches the IC to our educator or student record, and issues a session token. For users below 12 (junior primary students), standard username/password applies. The full OAuth flow specification is in our integration documentation.</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Q5: What happens to existing data from our current systems?</w:t>
            </w:r>
          </w:p>
        </w:tc>
      </w:tr>
      <w:tr>
        <w:tc>
          <w:tcPr>
            <w:tcW w:type="dxa" w:w="9638"/>
            <w:tcBorders>
              <w:top w:val="none" w:color="FFFFFF" w:sz="0"/>
              <w:left w:val="single" w:color="CCCCCC" w:sz="1"/>
              <w:bottom w:val="single" w:color="CCCCCC" w:sz="1"/>
              <w:right w:val="single" w:color="CCCCCC" w:sz="1"/>
            </w:tcBorders>
            <w:shd w:fill="F8FAFC" w:val="clear"/>
            <w:tcMar>
              <w:top w:type="dxa" w:w="120"/>
              <w:left w:type="dxa" w:w="200"/>
              <w:bottom w:type="dxa" w:w="120"/>
              <w:right w:type="dxa" w:w="200"/>
            </w:tcMar>
          </w:tcPr>
          <w:p>
            <w:pPr>
              <w:spacing w:after="0" w:before="0"/>
            </w:pPr>
            <w:r>
              <w:rPr>
                <w:sz w:val="21"/>
                <w:szCs w:val="21"/>
              </w:rPr>
              <w:t xml:space="preserve">Data migration is covered in ITT Section 3.2.5. Our approach: (1) data inventory and mapping of all existing student and educator fields to SERPS schema; (2) ETL scripts for each source system; (3) parallel running period where both systems operate; (4) cutover with validation. We have flagged the key risk areas — non-standardised IC numbers across schools — and proposed normalisation rules.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Q6: How does the SSM integration work for educator leave?</w:t>
            </w:r>
          </w:p>
        </w:tc>
      </w:tr>
      <w:tr>
        <w:tc>
          <w:tcPr>
            <w:tcW w:type="dxa" w:w="9638"/>
            <w:tcBorders>
              <w:top w:val="none" w:color="FFFFFF" w:sz="0"/>
              <w:left w:val="single" w:color="CCCCCC" w:sz="1"/>
              <w:bottom w:val="single" w:color="CCCCCC" w:sz="1"/>
              <w:right w:val="single" w:color="CCCCCC" w:sz="1"/>
            </w:tcBorders>
            <w:shd w:fill="F0F9FF" w:val="clear"/>
            <w:tcMar>
              <w:top w:type="dxa" w:w="120"/>
              <w:left w:type="dxa" w:w="200"/>
              <w:bottom w:type="dxa" w:w="120"/>
              <w:right w:type="dxa" w:w="200"/>
            </w:tcMar>
          </w:tcPr>
          <w:p>
            <w:pPr>
              <w:spacing w:after="0" w:before="0"/>
            </w:pPr>
            <w:r>
              <w:rPr>
                <w:sz w:val="21"/>
                <w:szCs w:val="21"/>
              </w:rPr>
              <w:t xml:space="preserve">SSM exposes leave records via a government API. SERPS polls SSM for leave balance updates for each educator and pushes approved leave applications back. The sync is bidirectional: leave approved in SERPS is reflected in SSM within the same business day. During the POC, the SSM interface is simulated — the provenance badge you saw labelled "Synced from SSM" on the leave balance indicates where the data would originate in production.</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Q7: Private schools — why does MOE care about them if they are not government schools?</w:t>
            </w:r>
          </w:p>
        </w:tc>
      </w:tr>
      <w:tr>
        <w:tc>
          <w:tcPr>
            <w:tcW w:type="dxa" w:w="9638"/>
            <w:tcBorders>
              <w:top w:val="none" w:color="FFFFFF" w:sz="0"/>
              <w:left w:val="single" w:color="CCCCCC" w:sz="1"/>
              <w:bottom w:val="single" w:color="CCCCCC" w:sz="1"/>
              <w:right w:val="single" w:color="CCCCCC" w:sz="1"/>
            </w:tcBorders>
            <w:shd w:fill="F8FAFC" w:val="clear"/>
            <w:tcMar>
              <w:top w:type="dxa" w:w="120"/>
              <w:left w:type="dxa" w:w="200"/>
              <w:bottom w:type="dxa" w:w="120"/>
              <w:right w:type="dxa" w:w="200"/>
            </w:tcMar>
          </w:tcPr>
          <w:p>
            <w:pPr>
              <w:spacing w:after="0" w:before="0"/>
            </w:pPr>
            <w:r>
              <w:rPr>
                <w:sz w:val="21"/>
                <w:szCs w:val="21"/>
              </w:rPr>
              <w:t xml:space="preserve">Under the Education Act, all schools operating in Brunei — including private and international schools — must be licensed by the Dept of Private Education under MOE. DPE is responsible for ensuring private schools meet minimum standards: qualified teachers, appropriate curriculum coverage, financial accountability, and safe facilities. SERPS gives DPE a digital oversight platform for the first time, replacing paper-based inspection reports and manual license tracking.</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Q8: Is the mobile application fully functional?</w:t>
            </w:r>
          </w:p>
        </w:tc>
      </w:tr>
      <w:tr>
        <w:tc>
          <w:tcPr>
            <w:tcW w:type="dxa" w:w="9638"/>
            <w:tcBorders>
              <w:top w:val="none" w:color="FFFFFF" w:sz="0"/>
              <w:left w:val="single" w:color="CCCCCC" w:sz="1"/>
              <w:bottom w:val="single" w:color="CCCCCC" w:sz="1"/>
              <w:right w:val="single" w:color="CCCCCC" w:sz="1"/>
            </w:tcBorders>
            <w:shd w:fill="F0F9FF" w:val="clear"/>
            <w:tcMar>
              <w:top w:type="dxa" w:w="120"/>
              <w:left w:type="dxa" w:w="200"/>
              <w:bottom w:type="dxa" w:w="120"/>
              <w:right w:type="dxa" w:w="200"/>
            </w:tcMar>
          </w:tcPr>
          <w:p>
            <w:pPr>
              <w:spacing w:after="0" w:before="0"/>
            </w:pPr>
            <w:r>
              <w:rPr>
                <w:sz w:val="21"/>
                <w:szCs w:val="21"/>
              </w:rPr>
              <w:t xml:space="preserve">The current POC includes a mobile-optimised H5 (Progressive Web App) that runs in any mobile browser. It demonstrates the full parent and student portal, teacher attendance marking, and push notifications. The ITT requires native iOS and Android apps — these are planned for the implementation phase. A PWA-first approach is common for government pilots as it allows deployment without app store approval cycles.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Q9: How is student data protected? What about PDPA?</w:t>
            </w:r>
          </w:p>
        </w:tc>
      </w:tr>
      <w:tr>
        <w:tc>
          <w:tcPr>
            <w:tcW w:type="dxa" w:w="9638"/>
            <w:tcBorders>
              <w:top w:val="none" w:color="FFFFFF" w:sz="0"/>
              <w:left w:val="single" w:color="CCCCCC" w:sz="1"/>
              <w:bottom w:val="single" w:color="CCCCCC" w:sz="1"/>
              <w:right w:val="single" w:color="CCCCCC" w:sz="1"/>
            </w:tcBorders>
            <w:shd w:fill="F8FAFC" w:val="clear"/>
            <w:tcMar>
              <w:top w:type="dxa" w:w="120"/>
              <w:left w:type="dxa" w:w="200"/>
              <w:bottom w:type="dxa" w:w="120"/>
              <w:right w:type="dxa" w:w="200"/>
            </w:tcMar>
          </w:tcPr>
          <w:p>
            <w:pPr>
              <w:spacing w:after="0" w:before="0"/>
            </w:pPr>
            <w:r>
              <w:rPr>
                <w:sz w:val="21"/>
                <w:szCs w:val="21"/>
              </w:rPr>
              <w:t xml:space="preserve">SERPS enforces data protection at three layers: (1) Role-based access — users only see data they are authorised to see; (2) Encryption — all data in transit uses TLS 1.3, sensitive fields at rest are encrypted; (3) Audit trail — every data access and mutation is logged with actor, timestamp, and entity. We have aligned our data handling with Brunei's Personal Data Protection Order 2021 and the specific NIH data sharing agreements.</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b/>
                <w:bCs/>
                <w:color w:val="FFFFFF"/>
                <w:sz w:val="22"/>
                <w:szCs w:val="22"/>
              </w:rPr>
              <w:t xml:space="preserve">Q10: How quickly can you go live?</w:t>
            </w:r>
          </w:p>
        </w:tc>
      </w:tr>
      <w:tr>
        <w:tc>
          <w:tcPr>
            <w:tcW w:type="dxa" w:w="9638"/>
            <w:tcBorders>
              <w:top w:val="none" w:color="FFFFFF" w:sz="0"/>
              <w:left w:val="single" w:color="CCCCCC" w:sz="1"/>
              <w:bottom w:val="single" w:color="CCCCCC" w:sz="1"/>
              <w:right w:val="single" w:color="CCCCCC" w:sz="1"/>
            </w:tcBorders>
            <w:shd w:fill="F0F9FF" w:val="clear"/>
            <w:tcMar>
              <w:top w:type="dxa" w:w="120"/>
              <w:left w:type="dxa" w:w="200"/>
              <w:bottom w:type="dxa" w:w="120"/>
              <w:right w:type="dxa" w:w="200"/>
            </w:tcMar>
          </w:tcPr>
          <w:p>
            <w:pPr>
              <w:spacing w:after="0" w:before="0"/>
            </w:pPr>
            <w:r>
              <w:rPr>
                <w:sz w:val="21"/>
                <w:szCs w:val="21"/>
              </w:rPr>
              <w:t xml:space="preserve">The ITT's implementation schedule (Figure 1 in the tender documents) shows an 18-month programme from contract award to go-live. Phase 1 (months 1–6): design, infrastructure setup, EGNC provisioning, core SIS. Phase 2 (months 7–12): EMS, SMS, integrations. Phase 3 (months 13–18): stabilisation, UAT, training, go-live. We have followed this schedule in our project plan.</w:t>
            </w:r>
          </w:p>
        </w:tc>
      </w:tr>
    </w:tbl>
    <w:p>
      <w:pPr>
        <w:spacing w:after="60" w:before="60"/>
      </w:pPr>
      <w:r>
        <w:t xml:space="preserve"/>
      </w:r>
    </w:p>
    <w:p>
      <w:r>
        <w:br w:type="page"/>
      </w:r>
    </w:p>
    <w:p>
      <w:pPr>
        <w:pStyle w:val="Heading1"/>
        <w:pBdr>
          <w:bottom w:val="single" w:color="2E5FA3" w:sz="4" w:space="6"/>
        </w:pBdr>
        <w:spacing w:after="160" w:before="400"/>
      </w:pPr>
      <w:bookmarkStart w:name="s12" w:id="1"/>
      <w:r>
        <w:rPr>
          <w:b/>
          <w:bCs/>
          <w:color w:val="1F3864"/>
          <w:sz w:val="32"/>
          <w:szCs w:val="32"/>
        </w:rPr>
        <w:t xml:space="preserve">12. Malay Language &amp; Cultural Glossary</w:t>
      </w:r>
      <w:bookmarkEnd w:id="1"/>
    </w:p>
    <w:p>
      <w:pPr>
        <w:spacing w:after="80" w:before="80"/>
      </w:pPr>
      <w:r>
        <w:rPr>
          <w:sz w:val="22"/>
          <w:szCs w:val="22"/>
        </w:rPr>
        <w:t xml:space="preserve">You do not need to speak Malay. But recognising these words and honorifics shows cultural awareness, which Bruneians notice and appreciate.</w:t>
      </w:r>
    </w:p>
    <w:p>
      <w:pPr>
        <w:spacing w:after="60" w:before="60"/>
      </w:pPr>
      <w:r>
        <w:t xml:space="preserve"/>
      </w:r>
    </w:p>
    <w:p>
      <w:pPr>
        <w:pStyle w:val="Heading2"/>
        <w:spacing w:after="100" w:before="280"/>
      </w:pPr>
      <w:r>
        <w:rPr>
          <w:b/>
          <w:bCs/>
          <w:color w:val="2E5FA3"/>
          <w:sz w:val="26"/>
          <w:szCs w:val="26"/>
        </w:rPr>
        <w:t xml:space="preserve">12.1 Common Honorifics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Pronunc.</w:t>
            </w:r>
          </w:p>
        </w:tc>
        <w:tc>
          <w:tcPr>
            <w:tcW w:type="dxa" w:w="6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Hj / Haji</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HAH-jee</w:t>
            </w:r>
          </w:p>
        </w:tc>
        <w:tc>
          <w:tcPr>
            <w:tcW w:type="dxa" w:w="6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Title for a Muslim man who has completed the Hajj pilgrimage to Mecca. Very common among senior officials. E.g. "Hj Kamaruddin".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Hjh / Hajah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HAH-jah</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Female equivalent of Haji. Very common for senior women. E.g. "Hjh Rashidah". Always use this if it precedes a name.</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Pengiran (Pg)</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PENG-ee-ran</w:t>
            </w:r>
          </w:p>
        </w:tc>
        <w:tc>
          <w:tcPr>
            <w:tcW w:type="dxa" w:w="6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 Brunei noble title, part of the royal/aristocratic class. E.g. "Pg Hjh Salmah". Treat with extra respect.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Dk / Dayang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DAH-yang</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Another noble title for women. Less common but worth recognising.</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Ustaz / Ustazah</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OOS-taaz / OOS-taa-zah</w:t>
            </w:r>
          </w:p>
        </w:tc>
        <w:tc>
          <w:tcPr>
            <w:tcW w:type="dxa" w:w="6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Respectful title for a teacher of Islamic religious studies. Used at MORA schools. E.g. "Ustaz Hj Mahyuddin".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Dr. / Prof.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as in English</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Used for holders of doctorates or professorial rank. Common for senior teachers like "Dr. Siti" and "Dr. Azman".</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Cik</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CHIK</w:t>
            </w:r>
          </w:p>
        </w:tc>
        <w:tc>
          <w:tcPr>
            <w:tcW w:type="dxa" w:w="6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Title for an unmarried woman (like "Miss"). Commonly used for younger female staff.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En. / Encik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EN-chik</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Title for a man (like "Mr."). E.g. "En. Hairul Bin Tarmizi".</w:t>
            </w:r>
          </w:p>
        </w:tc>
      </w:tr>
    </w:tbl>
    <w:p>
      <w:pPr>
        <w:spacing w:after="60" w:before="60"/>
      </w:pPr>
      <w:r>
        <w:t xml:space="preserve"/>
      </w:r>
    </w:p>
    <w:p>
      <w:pPr>
        <w:pStyle w:val="Heading2"/>
        <w:spacing w:after="100" w:before="280"/>
      </w:pPr>
      <w:r>
        <w:rPr>
          <w:b/>
          <w:bCs/>
          <w:color w:val="2E5FA3"/>
          <w:sz w:val="26"/>
          <w:szCs w:val="26"/>
        </w:rPr>
        <w:t xml:space="preserve">12.2 Malay Name Structure</w:t>
      </w:r>
    </w:p>
    <w:p>
      <w:pPr>
        <w:spacing w:after="80" w:before="80"/>
      </w:pPr>
      <w:r>
        <w:rPr>
          <w:sz w:val="22"/>
          <w:szCs w:val="22"/>
        </w:rPr>
        <w:t xml:space="preserve">Malay names do not use family surnames in the Western sense. The structure is:</w:t>
      </w:r>
    </w:p>
    <w:p>
      <w:pPr>
        <w:pStyle w:val="ListParagraph"/>
        <w:numPr>
          <w:ilvl w:val="0"/>
          <w:numId w:val="2"/>
        </w:numPr>
        <w:spacing w:after="40" w:before="40"/>
      </w:pPr>
      <w:r>
        <w:rPr>
          <w:sz w:val="22"/>
          <w:szCs w:val="22"/>
        </w:rPr>
        <w:t xml:space="preserve">Male: [Given name] Bin [Father's given name] — e.g., "Ahmad Bin Abdullah" = Ahmad, son of Abdullah</w:t>
      </w:r>
    </w:p>
    <w:p>
      <w:pPr>
        <w:pStyle w:val="ListParagraph"/>
        <w:numPr>
          <w:ilvl w:val="0"/>
          <w:numId w:val="2"/>
        </w:numPr>
        <w:spacing w:after="40" w:before="40"/>
      </w:pPr>
      <w:r>
        <w:rPr>
          <w:sz w:val="22"/>
          <w:szCs w:val="22"/>
        </w:rPr>
        <w:t xml:space="preserve">Female: [Given name] Binti [Father's given name] — e.g., "Siti Binti Mohamed" = Siti, daughter of Mohamed</w:t>
      </w:r>
    </w:p>
    <w:p>
      <w:pPr>
        <w:spacing w:after="80" w:before="80"/>
      </w:pPr>
      <w:r>
        <w:rPr>
          <w:sz w:val="22"/>
          <w:szCs w:val="22"/>
        </w:rPr>
        <w:t xml:space="preserve">In formal settings, call people by their full name or by their title + given name (e.g., "Hjh Rashidah", not "Mrs. Mohamad"). Never call someone by "Bin/Binti [father's name]" alone — that's not their personal name.</w:t>
      </w:r>
    </w:p>
    <w:p>
      <w:pPr>
        <w:spacing w:after="60" w:before="60"/>
      </w:pPr>
      <w:r>
        <w:t xml:space="preserve"/>
      </w:r>
    </w:p>
    <w:p>
      <w:pPr>
        <w:pStyle w:val="Heading2"/>
        <w:spacing w:after="100" w:before="280"/>
      </w:pPr>
      <w:r>
        <w:rPr>
          <w:b/>
          <w:bCs/>
          <w:color w:val="2E5FA3"/>
          <w:sz w:val="26"/>
          <w:szCs w:val="26"/>
        </w:rPr>
        <w:t xml:space="preserve">12.3 Key Malay Education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Malay Term</w:t>
            </w:r>
          </w:p>
        </w:tc>
        <w:tc>
          <w:tcPr>
            <w:tcW w:type="dxa" w:w="72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Sekolah Rendah</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Primary school (literally: "lower school")</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Sekolah Menengah</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Secondary 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Sekolah Menengah Agama</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Religious secondary school (MORA)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Tingkatan</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Form level (used in MORA schools). Tingkatan 1 = Year 7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Alif / Ba / Ta</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Arabic letter names used as class identifiers in MORA schools instead of A/B/C</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Pendidikan</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Education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Penilaian</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Assessment / evaluation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Guru</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Teacher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Murid / Pelajar</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Student / pupil</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Pengetua</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 (of a 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Ketua Jabatan</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Head of Department (HOD)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Kaunselor</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Counsellor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Sistem Maklumat</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Information system</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Negara</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Country / state ("Negara Brunei Darussalam" = "Nation of Brunei...")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Wawasan</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Vision (as in Wawasan 2035)</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Pusat</w:t>
            </w:r>
          </w:p>
        </w:tc>
        <w:tc>
          <w:tcPr>
            <w:tcW w:type="dxa" w:w="72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Centre (e.g., "Pusat Pendidikan" = Education Centre)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Jabatan</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Department</w:t>
            </w:r>
          </w:p>
        </w:tc>
      </w:tr>
    </w:tbl>
    <w:p>
      <w:pPr>
        <w:spacing w:after="60" w:before="60"/>
      </w:pPr>
      <w:r>
        <w:t xml:space="preserve"/>
      </w:r>
    </w:p>
    <w:p>
      <w:pPr>
        <w:pStyle w:val="Heading2"/>
        <w:spacing w:after="100" w:before="280"/>
      </w:pPr>
      <w:r>
        <w:rPr>
          <w:b/>
          <w:bCs/>
          <w:color w:val="2E5FA3"/>
          <w:sz w:val="26"/>
          <w:szCs w:val="26"/>
        </w:rPr>
        <w:t xml:space="preserve">12.4 Useful Phrases for the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Phrase</w:t>
            </w:r>
          </w:p>
        </w:tc>
        <w:tc>
          <w:tcPr>
            <w:tcW w:type="dxa" w:w="58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When to use it</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"Terima kasih" (tuh-REE-mah kah-SEE)</w:t>
            </w:r>
          </w:p>
        </w:tc>
        <w:tc>
          <w:tcPr>
            <w:tcW w:type="dxa" w:w="5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Say at the end of the presentation ("Terima kasih" = Thank you). Always appreciated.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"Selamat pagi / tengahari / petang"</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Good morning / afternoon / evening. Use when greeting the audience at the start.</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"Salam" or "Assalamualaikum"</w:t>
            </w:r>
          </w:p>
        </w:tc>
        <w:tc>
          <w:tcPr>
            <w:tcW w:type="dxa" w:w="5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Islamic greeting meaning "Peace be upon you". Use only if the host or audience opens with it. Response: "Waalaikumussalam".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"SPN21 compliant"</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Use when describing how year levels and grade structures in SERPS follow the national curriculum.</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"Under Wawasan 2035"</w:t>
            </w:r>
          </w:p>
        </w:tc>
        <w:tc>
          <w:tcPr>
            <w:tcW w:type="dxa" w:w="58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Frame the project's importance: "SERPS directly supports Wawasan 2035's goal of building a highly-skilled, knowledge-driven education system."</w:t>
            </w:r>
          </w:p>
        </w:tc>
      </w:tr>
    </w:tbl>
    <w:p>
      <w:pPr>
        <w:spacing w:after="60" w:before="60"/>
      </w:pPr>
      <w:r>
        <w:t xml:space="preserve"/>
      </w:r>
    </w:p>
    <w:p>
      <w:r>
        <w:br w:type="page"/>
      </w:r>
    </w:p>
    <w:p>
      <w:pPr>
        <w:pStyle w:val="Heading1"/>
        <w:pBdr>
          <w:bottom w:val="single" w:color="2E5FA3" w:sz="4" w:space="6"/>
        </w:pBdr>
        <w:spacing w:after="160" w:before="400"/>
      </w:pPr>
      <w:bookmarkStart w:name="s13" w:id="1"/>
      <w:r>
        <w:rPr>
          <w:b/>
          <w:bCs/>
          <w:color w:val="1F3864"/>
          <w:sz w:val="32"/>
          <w:szCs w:val="32"/>
        </w:rPr>
        <w:t xml:space="preserve">13. Quick Reference Card — Take This Into the Meeting</w:t>
      </w:r>
      <w:bookmarkEnd w:id="1"/>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166534" w:sz="12"/>
              <w:bottom w:val="none" w:color="FFFFFF" w:sz="0"/>
              <w:right w:val="none" w:color="FFFFFF" w:sz="0"/>
            </w:tcBorders>
            <w:shd w:fill="F0FDF4" w:val="clear"/>
            <w:tcMar>
              <w:top w:type="dxa" w:w="100"/>
              <w:left w:type="dxa" w:w="200"/>
              <w:bottom w:type="dxa" w:w="100"/>
              <w:right w:type="dxa" w:w="120"/>
            </w:tcMar>
          </w:tcPr>
          <w:p>
            <w:pPr>
              <w:spacing w:after="0" w:before="0"/>
            </w:pPr>
            <w:r>
              <w:rPr>
                <w:i/>
                <w:iCs/>
                <w:color w:val="166534"/>
                <w:sz w:val="22"/>
                <w:szCs w:val="22"/>
              </w:rPr>
              <w:t xml:space="preserve">This section is designed to be printed on a single page and kept beside you during the demonstration. It contains everything you might forget under pressure.</w:t>
            </w:r>
          </w:p>
        </w:tc>
      </w:tr>
    </w:tbl>
    <w:p>
      <w:pPr>
        <w:spacing w:after="60" w:before="60"/>
      </w:pPr>
      <w:r>
        <w:t xml:space="preserve"/>
      </w:r>
    </w:p>
    <w:p>
      <w:pPr>
        <w:pStyle w:val="Heading2"/>
        <w:spacing w:after="100" w:before="280"/>
      </w:pPr>
      <w:r>
        <w:rPr>
          <w:b/>
          <w:bCs/>
          <w:color w:val="2E5FA3"/>
          <w:sz w:val="26"/>
          <w:szCs w:val="26"/>
        </w:rPr>
        <w:t xml:space="preserve">Demo Login Credentials (All Tier 1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638"/>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Chip Label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Username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Password</w:t>
            </w:r>
          </w:p>
        </w:tc>
        <w:tc>
          <w:tcPr>
            <w:tcW w:type="dxa" w:w="36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b/>
                <w:bCs/>
                <w:color w:val="FFFFFF"/>
                <w:sz w:val="20"/>
                <w:szCs w:val="20"/>
              </w:rPr>
              <w:t xml:space="preserve">First action in demo</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Parent (SMHK)</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parent.siti</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Demo@2026</w:t>
            </w:r>
          </w:p>
        </w:tc>
        <w:tc>
          <w:tcPr>
            <w:tcW w:type="dxa" w:w="36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Apply for Admission → 4-step wizard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admin123</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Command Center → At-Risk Dashboard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Form Teacher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teacher01</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teacher123</w:t>
            </w:r>
          </w:p>
        </w:tc>
        <w:tc>
          <w:tcPr>
            <w:tcW w:type="dxa" w:w="36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Mark attendance → Enter grade → Leave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Yr 7 Student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adam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Demo@2026</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Report Card → see grade just entered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Counselor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farah</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Demo@2026</w:t>
            </w:r>
          </w:p>
        </w:tc>
        <w:tc>
          <w:tcPr>
            <w:tcW w:type="dxa" w:w="36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Counselor Cases → Ahmad's case → add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hod123</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Approvals Inbox → evaluate teacher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principal123</w:t>
            </w:r>
          </w:p>
        </w:tc>
        <w:tc>
          <w:tcPr>
            <w:tcW w:type="dxa" w:w="3638"/>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color w:val="000000"/>
                <w:sz w:val="20"/>
                <w:szCs w:val="20"/>
              </w:rPr>
              <w:t xml:space="preserve">Approve performance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DPE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dpeofficer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Demo@2026</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000000"/>
                <w:sz w:val="20"/>
                <w:szCs w:val="20"/>
              </w:rPr>
              <w:t xml:space="preserve">Private Ed Dashboard → TCA suspended</w:t>
            </w:r>
          </w:p>
        </w:tc>
      </w:tr>
    </w:tbl>
    <w:p>
      <w:pPr>
        <w:spacing w:after="60" w:before="60"/>
      </w:pPr>
      <w:r>
        <w:t xml:space="preserve"/>
      </w:r>
    </w:p>
    <w:p>
      <w:pPr>
        <w:pStyle w:val="Heading2"/>
        <w:spacing w:after="100" w:before="280"/>
      </w:pPr>
      <w:r>
        <w:rPr>
          <w:b/>
          <w:bCs/>
          <w:color w:val="2E5FA3"/>
          <w:sz w:val="26"/>
          <w:szCs w:val="26"/>
        </w:rPr>
        <w:t xml:space="preserve">Five Phrases That Win the Room</w:t>
      </w:r>
    </w:p>
    <w:p>
      <w:pPr>
        <w:pStyle w:val="ListParagraph"/>
        <w:numPr>
          <w:ilvl w:val="0"/>
          <w:numId w:val="3"/>
        </w:numPr>
        <w:spacing w:after="40" w:before="40"/>
      </w:pPr>
      <w:r>
        <w:rPr>
          <w:sz w:val="22"/>
          <w:szCs w:val="22"/>
        </w:rPr>
        <w:t xml:space="preserve">"Every number you see on this dashboard is a live database query — not a mockup."</w:t>
      </w:r>
    </w:p>
    <w:p>
      <w:pPr>
        <w:pStyle w:val="ListParagraph"/>
        <w:numPr>
          <w:ilvl w:val="0"/>
          <w:numId w:val="3"/>
        </w:numPr>
        <w:spacing w:after="40" w:before="40"/>
      </w:pPr>
      <w:r>
        <w:rPr>
          <w:sz w:val="22"/>
          <w:szCs w:val="22"/>
        </w:rPr>
        <w:t xml:space="preserve">"One teacher action. Six systems updated. That is what integration actually means."</w:t>
      </w:r>
    </w:p>
    <w:p>
      <w:pPr>
        <w:pStyle w:val="ListParagraph"/>
        <w:numPr>
          <w:ilvl w:val="0"/>
          <w:numId w:val="3"/>
        </w:numPr>
        <w:spacing w:after="40" w:before="40"/>
      </w:pPr>
      <w:r>
        <w:rPr>
          <w:sz w:val="22"/>
          <w:szCs w:val="22"/>
        </w:rPr>
        <w:t xml:space="preserve">"The same student record looks different to a teacher, a counsellor, and a parent — enforced at the data layer, not the interface."</w:t>
      </w:r>
    </w:p>
    <w:p>
      <w:pPr>
        <w:pStyle w:val="ListParagraph"/>
        <w:numPr>
          <w:ilvl w:val="0"/>
          <w:numId w:val="3"/>
        </w:numPr>
        <w:spacing w:after="40" w:before="40"/>
      </w:pPr>
      <w:r>
        <w:rPr>
          <w:sz w:val="22"/>
          <w:szCs w:val="22"/>
        </w:rPr>
        <w:t xml:space="preserve">"This is not just a school system. It is the Ministry watching all of its schools simultaneously."</w:t>
      </w:r>
    </w:p>
    <w:p>
      <w:pPr>
        <w:pStyle w:val="ListParagraph"/>
        <w:numPr>
          <w:ilvl w:val="0"/>
          <w:numId w:val="3"/>
        </w:numPr>
        <w:spacing w:after="40" w:before="40"/>
      </w:pPr>
      <w:r>
        <w:rPr>
          <w:sz w:val="22"/>
          <w:szCs w:val="22"/>
        </w:rPr>
        <w:t xml:space="preserve">"The production integrations with Brunei ID, EGNC, NIH, and SSM are designed and documented — wiring the endpoints is an implementation step, not an open question."</w:t>
      </w:r>
    </w:p>
    <w:p>
      <w:pPr>
        <w:spacing w:after="60" w:before="60"/>
      </w:pPr>
      <w:r>
        <w:t xml:space="preserve"/>
      </w:r>
    </w:p>
    <w:p>
      <w:pPr>
        <w:pStyle w:val="Heading2"/>
        <w:spacing w:after="100" w:before="280"/>
      </w:pPr>
      <w:r>
        <w:rPr>
          <w:b/>
          <w:bCs/>
          <w:color w:val="2E5FA3"/>
          <w:sz w:val="26"/>
          <w:szCs w:val="26"/>
        </w:rPr>
        <w:t xml:space="preserve">If Something Goes Wrong</w:t>
      </w:r>
    </w:p>
    <w:p>
      <w:pPr>
        <w:pStyle w:val="ListParagraph"/>
        <w:numPr>
          <w:ilvl w:val="0"/>
          <w:numId w:val="2"/>
        </w:numPr>
        <w:spacing w:after="40" w:before="40"/>
      </w:pPr>
      <w:r>
        <w:rPr>
          <w:sz w:val="22"/>
          <w:szCs w:val="22"/>
        </w:rPr>
        <w:t xml:space="preserve">Server not responding → check http://localhost:4000/health in a browser tab</w:t>
      </w:r>
    </w:p>
    <w:p>
      <w:pPr>
        <w:pStyle w:val="ListParagraph"/>
        <w:numPr>
          <w:ilvl w:val="0"/>
          <w:numId w:val="2"/>
        </w:numPr>
        <w:spacing w:after="40" w:before="40"/>
      </w:pPr>
      <w:r>
        <w:rPr>
          <w:sz w:val="22"/>
          <w:szCs w:val="22"/>
        </w:rPr>
        <w:t xml:space="preserve">Wrong password → all passwords are either Demo@2026, or [role]123 (e.g., teacher123, admin123)</w:t>
      </w:r>
    </w:p>
    <w:p>
      <w:pPr>
        <w:pStyle w:val="ListParagraph"/>
        <w:numPr>
          <w:ilvl w:val="0"/>
          <w:numId w:val="2"/>
        </w:numPr>
        <w:spacing w:after="40" w:before="40"/>
      </w:pPr>
      <w:r>
        <w:rPr>
          <w:sz w:val="22"/>
          <w:szCs w:val="22"/>
        </w:rPr>
        <w:t xml:space="preserve">Data looks wrong → say "let me reset to the baseline" — use admin → Settings → Restore Default Data</w:t>
      </w:r>
    </w:p>
    <w:p>
      <w:pPr>
        <w:pStyle w:val="ListParagraph"/>
        <w:numPr>
          <w:ilvl w:val="0"/>
          <w:numId w:val="2"/>
        </w:numPr>
        <w:spacing w:after="40" w:before="40"/>
      </w:pPr>
      <w:r>
        <w:rPr>
          <w:sz w:val="22"/>
          <w:szCs w:val="22"/>
        </w:rPr>
        <w:t xml:space="preserve">Can't find a page → the sidebar nav is role-specific; make sure you are logged in as the right account</w:t>
      </w:r>
    </w:p>
    <w:p>
      <w:pPr>
        <w:pStyle w:val="ListParagraph"/>
        <w:numPr>
          <w:ilvl w:val="0"/>
          <w:numId w:val="2"/>
        </w:numPr>
        <w:spacing w:after="40" w:before="40"/>
      </w:pPr>
      <w:r>
        <w:rPr>
          <w:sz w:val="22"/>
          <w:szCs w:val="22"/>
        </w:rPr>
        <w:t xml:space="preserve">Awkward silence → say "Let me show you the data correlation from the database perspective" and open the network tab</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val="clear"/>
            <w:tcMar>
              <w:top w:type="dxa" w:w="240"/>
              <w:left w:type="dxa" w:w="300"/>
              <w:bottom w:type="dxa" w:w="240"/>
              <w:right w:type="dxa" w:w="300"/>
            </w:tcMar>
          </w:tcPr>
          <w:p>
            <w:pPr>
              <w:spacing w:after="120" w:before="0"/>
              <w:jc w:val="center"/>
            </w:pPr>
            <w:r>
              <w:rPr>
                <w:b/>
                <w:bCs/>
                <w:color w:val="FFFFFF"/>
                <w:sz w:val="32"/>
                <w:szCs w:val="32"/>
              </w:rPr>
              <w:t xml:space="preserve">You are ready.</w:t>
            </w:r>
          </w:p>
          <w:p>
            <w:pPr>
              <w:spacing w:after="0" w:before="0"/>
              <w:jc w:val="center"/>
            </w:pPr>
            <w:r>
              <w:rPr>
                <w:color w:val="CBD5E1"/>
                <w:sz w:val="22"/>
                <w:szCs w:val="22"/>
              </w:rPr>
              <w:t xml:space="preserve">This system was built with care, tested end-to-end, and designed to tell a story that evaluators can believe in. Know the story. Know the people. Trust the numbers.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spacing w:after="0" w:before="120"/>
      <w:jc w:val="center"/>
    </w:pPr>
    <w:r>
      <w:rPr>
        <w:color w:val="94A3B8"/>
        <w:sz w:val="16"/>
        <w:szCs w:val="16"/>
      </w:rPr>
      <w:t xml:space="preserve">Ministry of Education, Brunei Darussalam  ·  SERPS POC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spacing w:after="120" w:before="0"/>
    </w:pPr>
    <w:r>
      <w:rPr>
        <w:b/>
        <w:bCs/>
        <w:color w:val="1F3864"/>
        <w:sz w:val="18"/>
        <w:szCs w:val="18"/>
      </w:rPr>
      <w:t xml:space="preserve">MOE SERPS — Presenter Knowledge Base</w:t>
    </w:r>
    <w:r>
      <w:rPr>
        <w:color w:val="CBD5E1"/>
        <w:sz w:val="18"/>
        <w:szCs w:val="18"/>
      </w:rPr>
      <w:t xml:space="preserve">          |          </w:t>
    </w:r>
    <w:r>
      <w:rPr>
        <w:i/>
        <w:iCs/>
        <w:color w:val="94A3B8"/>
        <w:sz w:val="18"/>
        <w:szCs w:val="18"/>
      </w:rPr>
      <w:t xml:space="preserve">CONFIDENTIAL — For presenter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2026-06-06T04:50:50.090Z</dcterms:created>
  <dcterms:modified xsi:type="dcterms:W3CDTF">2026-06-06T04:50:50.090Z</dcterms:modified>
</cp:coreProperties>
</file>

<file path=docProps/custom.xml><?xml version="1.0" encoding="utf-8"?>
<Properties xmlns="http://schemas.openxmlformats.org/officeDocument/2006/custom-properties" xmlns:vt="http://schemas.openxmlformats.org/officeDocument/2006/docPropsVTypes"/>
</file>