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Integration-Partner Letter of Intent</w:t>
      </w:r>
    </w:p>
    <w:p>
      <w:r>
        <w:rPr>
          <w:i/>
          <w:color w:val="7A5200"/>
          <w:sz w:val="18"/>
        </w:rPr>
        <w:t>Template written in plain language. It is not legal advice and has not been reviewed by a lawyer. Each side should have its own counsel read it before signing.</w:t>
      </w:r>
    </w:p>
    <w:p>
      <w:r>
        <w:t xml:space="preserve">Date: </w:t>
      </w:r>
      <w:r>
        <w:rPr>
          <w:b/>
          <w:color w:val="B00020"/>
        </w:rPr>
        <w:t>[[DATE]]</w:t>
      </w:r>
    </w:p>
    <w:p>
      <w:r>
        <w:t xml:space="preserve">Between: </w:t>
      </w:r>
      <w:r>
        <w:rPr>
          <w:b/>
          <w:color w:val="B00020"/>
        </w:rPr>
        <w:t>[[LEGAL ENTITY NAME OF KALDRIX / ZENTRIX]]</w:t>
      </w:r>
      <w:r>
        <w:t xml:space="preserve">, registered in </w:t>
      </w:r>
      <w:r>
        <w:rPr>
          <w:b/>
          <w:color w:val="B00020"/>
        </w:rPr>
        <w:t>[[PLACE OF REGISTRATION]]</w:t>
      </w:r>
      <w:r>
        <w:t xml:space="preserve"> ("Kaldrix"), and </w:t>
      </w:r>
      <w:r>
        <w:rPr>
          <w:b/>
          <w:color w:val="B00020"/>
        </w:rPr>
        <w:t>[[PROVIDER / BANK / PLATFORM NAME]]</w:t>
      </w:r>
      <w:r>
        <w:t xml:space="preserve">, registered in </w:t>
      </w:r>
      <w:r>
        <w:rPr>
          <w:b/>
          <w:color w:val="B00020"/>
        </w:rPr>
        <w:t>[[PLACE]]</w:t>
      </w:r>
      <w:r>
        <w:t xml:space="preserve"> ("the Provider").</w:t>
      </w:r>
    </w:p>
    <w:p>
      <w:pPr>
        <w:pStyle w:val="Heading2"/>
      </w:pPr>
      <w:r>
        <w:t>1. Purpose</w:t>
      </w:r>
    </w:p>
    <w:p>
      <w:r>
        <w:t>The sides intend to explore whether a person's signed permission for an AI agent, checked by Kaldrix and Zentrix, can safely reach the Provider's payment or platform services, and what it would take.</w:t>
      </w:r>
    </w:p>
    <w:p>
      <w:pPr>
        <w:pStyle w:val="Heading2"/>
      </w:pPr>
      <w:r>
        <w:t>2. What the sides will explore</w:t>
      </w:r>
    </w:p>
    <w:p>
      <w:pPr>
        <w:pStyle w:val="ListBullet"/>
      </w:pPr>
      <w:r>
        <w:t>A sandbox or test-environment connection between Zentrix and the Provider, using the Provider's test credentials only.</w:t>
      </w:r>
    </w:p>
    <w:p>
      <w:pPr>
        <w:pStyle w:val="ListBullet"/>
      </w:pPr>
      <w:r>
        <w:t>How the signed proof envelope that Zentrix returns could support the Provider's own risk and compliance checks.</w:t>
      </w:r>
    </w:p>
    <w:p>
      <w:pPr>
        <w:pStyle w:val="ListBullet"/>
      </w:pPr>
      <w:r>
        <w:t>Reference behaviour for timeouts, unknown outcomes, idempotency and reconciliation.</w:t>
      </w:r>
    </w:p>
    <w:p>
      <w:pPr>
        <w:pStyle w:val="ListBullet"/>
      </w:pPr>
      <w:r>
        <w:t>The licences, agreements and security review required before any live use.</w:t>
      </w:r>
    </w:p>
    <w:p>
      <w:pPr>
        <w:pStyle w:val="Heading2"/>
      </w:pPr>
      <w:r>
        <w:t>3. What Kaldrix will do</w:t>
      </w:r>
    </w:p>
    <w:p>
      <w:pPr>
        <w:pStyle w:val="ListBullet"/>
      </w:pPr>
      <w:r>
        <w:t>Build and maintain the test-environment connection at its own cost.</w:t>
      </w:r>
    </w:p>
    <w:p>
      <w:pPr>
        <w:pStyle w:val="ListBullet"/>
      </w:pPr>
      <w:r>
        <w:t>Share how it works, including its limits and open risks, plainly.</w:t>
      </w:r>
    </w:p>
    <w:p>
      <w:pPr>
        <w:pStyle w:val="ListBullet"/>
      </w:pPr>
      <w:r>
        <w:t>Report any security problem it finds in the connection to the Provider promptly.</w:t>
      </w:r>
    </w:p>
    <w:p>
      <w:pPr>
        <w:pStyle w:val="Heading2"/>
      </w:pPr>
      <w:r>
        <w:t>4. What the Provider will do</w:t>
      </w:r>
    </w:p>
    <w:p>
      <w:pPr>
        <w:pStyle w:val="ListBullet"/>
      </w:pPr>
      <w:r>
        <w:t>Provide test-environment access and documentation.</w:t>
      </w:r>
    </w:p>
    <w:p>
      <w:pPr>
        <w:pStyle w:val="ListBullet"/>
      </w:pPr>
      <w:r>
        <w:t>Name a technical contact and a commercial contact.</w:t>
      </w:r>
    </w:p>
    <w:p>
      <w:pPr>
        <w:pStyle w:val="ListBullet"/>
      </w:pPr>
      <w:r>
        <w:t>Tell Kaldrix what requirements it would have before any live use.</w:t>
      </w:r>
    </w:p>
    <w:p>
      <w:pPr>
        <w:pStyle w:val="Heading2"/>
      </w:pPr>
      <w:r>
        <w:t>5. What this letter is not</w:t>
      </w:r>
    </w:p>
    <w:p>
      <w:r>
        <w:t>No real money will move under this letter. The Provider is not endorsing Kaldrix or Zentrix. Kaldrix will not describe the Provider as a partner, customer or supporter without the Provider's written permission.</w:t>
      </w:r>
    </w:p>
    <w:p>
      <w:pPr>
        <w:pStyle w:val="Heading2"/>
      </w:pPr>
      <w:r>
        <w:t>6. Non-binding, with three exceptions</w:t>
      </w:r>
    </w:p>
    <w:p>
      <w:r>
        <w:t>Except for sections 7, 8 and 9, this letter creates no legal obligation. Either side may end it at any time by writing to the other. Any live use, fees, data processing or liability will need separate written agreements.</w:t>
      </w:r>
    </w:p>
    <w:p>
      <w:pPr>
        <w:pStyle w:val="Heading2"/>
      </w:pPr>
      <w:r>
        <w:t>7. Confidentiality</w:t>
      </w:r>
    </w:p>
    <w:p>
      <w:r>
        <w:t>Each side will keep the other's non-public information confidential. A mutual NDA will be signed before source code or security reports are shared.</w:t>
      </w:r>
    </w:p>
    <w:p>
      <w:pPr>
        <w:pStyle w:val="Heading2"/>
      </w:pPr>
      <w:r>
        <w:t>8. No exclusivity</w:t>
      </w:r>
    </w:p>
    <w:p>
      <w:r>
        <w:t>Neither side is restricted from working with others.</w:t>
      </w:r>
    </w:p>
    <w:p>
      <w:pPr>
        <w:pStyle w:val="Heading2"/>
      </w:pPr>
      <w:r>
        <w:t>9. Names and publicity</w:t>
      </w:r>
    </w:p>
    <w:p>
      <w:r>
        <w:t>No public statement naming the other side without written permission.</w:t>
      </w:r>
    </w:p>
    <w:p>
      <w:pPr>
        <w:pStyle w:val="Heading2"/>
      </w:pPr>
      <w:r>
        <w:t>10. Term</w:t>
      </w:r>
    </w:p>
    <w:p>
      <w:r>
        <w:t>This letter runs for 120 days from the date above and may be extended in writing.</w:t>
      </w:r>
    </w:p>
    <w:tbl>
      <w:tblPr>
        <w:tblW w:type="auto" w:w="0"/>
        <w:tblLook w:firstColumn="1" w:firstRow="1" w:lastColumn="0" w:lastRow="0" w:noHBand="0" w:noVBand="1" w:val="04A0"/>
      </w:tblPr>
      <w:tblGrid>
        <w:gridCol w:w="4873"/>
        <w:gridCol w:w="4873"/>
      </w:tblGrid>
      <w:tr>
        <w:tc>
          <w:tcPr>
            <w:tcW w:type="dxa" w:w="4873"/>
          </w:tcPr>
          <w:p>
            <w:r>
              <w:rPr>
                <w:b/>
              </w:rPr>
            </w:r>
            <w:r>
              <w:rPr>
                <w:b/>
              </w:rPr>
              <w:t>For Kaldrix</w:t>
            </w:r>
          </w:p>
          <w:p>
            <w:r>
              <w:t xml:space="preserve">Name: </w:t>
            </w:r>
            <w:r>
              <w:rPr>
                <w:b/>
                <w:color w:val="B00020"/>
              </w:rPr>
              <w:t>[[NAME]]</w:t>
            </w:r>
          </w:p>
          <w:p>
            <w:r>
              <w:t xml:space="preserve">Title: </w:t>
            </w:r>
            <w:r>
              <w:rPr>
                <w:b/>
                <w:color w:val="B00020"/>
              </w:rPr>
              <w:t>[[TITLE]]</w:t>
            </w:r>
          </w:p>
          <w:p>
            <w:r>
              <w:t>Date: ____________</w:t>
            </w:r>
          </w:p>
          <w:p>
            <w:r>
              <w:t>Signature: ____________</w:t>
            </w:r>
          </w:p>
        </w:tc>
        <w:tc>
          <w:tcPr>
            <w:tcW w:type="dxa" w:w="4873"/>
          </w:tcPr>
          <w:p>
            <w:r>
              <w:rPr>
                <w:b/>
              </w:rPr>
            </w:r>
            <w:r>
              <w:rPr>
                <w:b/>
              </w:rPr>
              <w:t>For the Provider</w:t>
            </w:r>
          </w:p>
          <w:p>
            <w:r>
              <w:t>Name: ____________</w:t>
            </w:r>
          </w:p>
          <w:p>
            <w:r>
              <w:t>Title: ____________</w:t>
            </w:r>
          </w:p>
          <w:p>
            <w:r>
              <w:t>Date: ____________</w:t>
            </w:r>
          </w:p>
          <w:p>
            <w:r>
              <w:t>Signature: ____________</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Integration-Partner Letter of Intent</dc:title>
  <dc:subject/>
  <dc:creator>Kaldrix</dc:creator>
  <cp:keywords/>
  <dc:description/>
  <cp:lastModifiedBy>Kaldrix</cp:lastModifiedBy>
  <cp:revision>1</cp:revision>
  <dcterms:created xsi:type="dcterms:W3CDTF">2013-12-23T23:15:00Z</dcterms:created>
  <dcterms:modified xsi:type="dcterms:W3CDTF">2013-12-23T23:15:00Z</dcterms:modified>
  <cp:category/>
</cp:coreProperties>
</file>