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KC Logística Handheld — Documentación</w:t>
      </w:r>
    </w:p>
    <w:p>
      <w:r>
        <w:rPr>
          <w:b/>
        </w:rPr>
        <w:t>Módulo:</w:t>
      </w:r>
      <w:r>
        <w:t xml:space="preserve"> </w:t>
      </w:r>
      <w:r>
        <w:rPr>
          <w:rFonts w:ascii="Consolas" w:hAnsi="Consolas"/>
          <w:color w:val="800000"/>
          <w:sz w:val="18"/>
        </w:rPr>
        <w:t>kc_logistics_handheld</w:t>
      </w:r>
    </w:p>
    <w:p>
      <w:r>
        <w:rPr>
          <w:b/>
        </w:rPr>
        <w:t>Versión:</w:t>
      </w:r>
      <w:r>
        <w:t xml:space="preserve"> 18.0.1.2.1</w:t>
      </w:r>
    </w:p>
    <w:p>
      <w:r>
        <w:rPr>
          <w:b/>
        </w:rPr>
        <w:t>Plataforma:</w:t>
      </w:r>
      <w:r>
        <w:t xml:space="preserve"> Odoo 18</w:t>
      </w:r>
    </w:p>
    <w:p>
      <w:r>
        <w:rPr>
          <w:b/>
        </w:rPr>
        <w:t>Dependencias:</w:t>
      </w:r>
      <w:r>
        <w:t xml:space="preserve"> </w:t>
      </w:r>
      <w:r>
        <w:rPr>
          <w:rFonts w:ascii="Consolas" w:hAnsi="Consolas"/>
          <w:color w:val="800000"/>
          <w:sz w:val="18"/>
        </w:rPr>
        <w:t>stock</w:t>
      </w:r>
      <w:r>
        <w:t xml:space="preserve">, </w:t>
      </w:r>
      <w:r>
        <w:rPr>
          <w:rFonts w:ascii="Consolas" w:hAnsi="Consolas"/>
          <w:color w:val="800000"/>
          <w:sz w:val="18"/>
        </w:rPr>
        <w:t>barcodes</w:t>
      </w:r>
      <w:r>
        <w:t xml:space="preserve">, </w:t>
      </w:r>
      <w:r>
        <w:rPr>
          <w:rFonts w:ascii="Consolas" w:hAnsi="Consolas"/>
          <w:color w:val="800000"/>
          <w:sz w:val="18"/>
        </w:rPr>
        <w:t>kc_plasticasa</w:t>
      </w:r>
    </w:p>
    <w:p>
      <w:pPr>
        <w:spacing w:before="120" w:after="120"/>
      </w:pPr>
    </w:p>
    <w:p>
      <w:pPr>
        <w:pStyle w:val="Heading1"/>
      </w:pPr>
      <w:r>
        <w:t>1. Resumen gerencial</w:t>
      </w:r>
    </w:p>
    <w:p>
      <w:pPr>
        <w:pStyle w:val="Heading2"/>
      </w:pPr>
      <w:r>
        <w:t>¿Qué problema resuelve?</w:t>
      </w:r>
    </w:p>
    <w:p>
      <w:r>
        <w:t xml:space="preserve">Centraliza en una </w:t>
      </w:r>
      <w:r>
        <w:rPr>
          <w:b/>
        </w:rPr>
        <w:t>aplicación móvil (handheld)</w:t>
      </w:r>
      <w:r>
        <w:t xml:space="preserve"> las operaciones logísticas de almacén que hoy requieren escaneo GS1: despacho de entregas, movimientos internos por lote y levantamiento físico previo. Reduce digitación manual, errores de producto/lote y tiempos de búsqueda en pantallas de escritorio.</w:t>
      </w:r>
    </w:p>
    <w:p>
      <w:pPr>
        <w:pStyle w:val="Heading2"/>
      </w:pPr>
      <w:r>
        <w:t>Valor para el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Beneficio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**Operación unificada**</w:t>
            </w:r>
          </w:p>
        </w:tc>
        <w:tc>
          <w:tcPr>
            <w:tcW w:type="dxa" w:w="4320"/>
          </w:tcPr>
          <w:p>
            <w:r>
              <w:t>Un solo menú «Logística» con tres flujos diferenciados según el rol del operador.</w:t>
            </w:r>
          </w:p>
        </w:tc>
      </w:tr>
      <w:tr>
        <w:tc>
          <w:tcPr>
            <w:tcW w:type="dxa" w:w="4320"/>
          </w:tcPr>
          <w:p>
            <w:r>
              <w:t>**Trazabilidad GS1**</w:t>
            </w:r>
          </w:p>
        </w:tc>
        <w:tc>
          <w:tcPr>
            <w:tcW w:type="dxa" w:w="4320"/>
          </w:tcPr>
          <w:p>
            <w:r>
              <w:t>Cada escaneo queda registrado (internos: historial auditable por sesión, usuario y transferencia).</w:t>
            </w:r>
          </w:p>
        </w:tc>
      </w:tr>
      <w:tr>
        <w:tc>
          <w:tcPr>
            <w:tcW w:type="dxa" w:w="4320"/>
          </w:tcPr>
          <w:p>
            <w:r>
              <w:t>**Menos errores**</w:t>
            </w:r>
          </w:p>
        </w:tc>
        <w:tc>
          <w:tcPr>
            <w:tcW w:type="dxa" w:w="4320"/>
          </w:tcPr>
          <w:p>
            <w:r>
              <w:t>Validación automática de producto, lote, cantidad y disponibilidad en ubicación antes de mover stock.</w:t>
            </w:r>
          </w:p>
        </w:tc>
      </w:tr>
      <w:tr>
        <w:tc>
          <w:tcPr>
            <w:tcW w:type="dxa" w:w="4320"/>
          </w:tcPr>
          <w:p>
            <w:r>
              <w:t>**Control de acceso granular**</w:t>
            </w:r>
          </w:p>
        </w:tc>
        <w:tc>
          <w:tcPr>
            <w:tcW w:type="dxa" w:w="4320"/>
          </w:tcPr>
          <w:p>
            <w:r>
              <w:t>Cada usuario ve solo las operaciones que el administrador le habilita (despachos, internos o físico).</w:t>
            </w:r>
          </w:p>
        </w:tc>
      </w:tr>
      <w:tr>
        <w:tc>
          <w:tcPr>
            <w:tcW w:type="dxa" w:w="4320"/>
          </w:tcPr>
          <w:p>
            <w:r>
              <w:t>**Adaptado a dispositivos móviles**</w:t>
            </w:r>
          </w:p>
        </w:tc>
        <w:tc>
          <w:tcPr>
            <w:tcW w:type="dxa" w:w="4320"/>
          </w:tcPr>
          <w:p>
            <w:r>
              <w:t>Botones grandes, kanban de despachos optimizado y foco automático en el campo de escaneo.</w:t>
            </w:r>
          </w:p>
        </w:tc>
      </w:tr>
    </w:tbl>
    <w:p/>
    <w:p>
      <w:pPr>
        <w:pStyle w:val="Heading2"/>
      </w:pPr>
      <w:r>
        <w:t>Alcance del módulo</w:t>
      </w:r>
    </w:p>
    <w:p>
      <w:r>
        <w:rPr>
          <w:b/>
        </w:rPr>
        <w:t>Incluye:</w:t>
      </w:r>
    </w:p>
    <w:p>
      <w:pPr>
        <w:pStyle w:val="ListBullet"/>
      </w:pPr>
      <w:r>
        <w:t>App «Logística» en el menú principal de Odoo.</w:t>
      </w:r>
    </w:p>
    <w:p>
      <w:pPr>
        <w:pStyle w:val="ListBullet"/>
      </w:pPr>
      <w:r>
        <w:t xml:space="preserve">Kanban de entregas pendientes/disponibles con acceso directo al escáner GS1 de despacho (proporcionado por 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pStyle w:val="ListBullet"/>
      </w:pPr>
      <w:r>
        <w:t>Wizard de transferencias internas por lotes GS1 con creación y validación automática del albarán.</w:t>
      </w:r>
    </w:p>
    <w:p>
      <w:pPr>
        <w:pStyle w:val="ListBullet"/>
      </w:pPr>
      <w:r>
        <w:t xml:space="preserve">Acceso handheld al levantamiento físico previo (modelo de 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pStyle w:val="ListBullet"/>
      </w:pPr>
      <w:r>
        <w:t>Historial de escaneos internos para supervisión.</w:t>
      </w:r>
    </w:p>
    <w:p>
      <w:pPr>
        <w:pStyle w:val="ListBullet"/>
      </w:pPr>
      <w:r>
        <w:t>Permisos por usuario y grupo de seguridad «Operador Logística Handheld».</w:t>
      </w:r>
    </w:p>
    <w:p>
      <w:r>
        <w:rPr>
          <w:b/>
        </w:rPr>
        <w:t>No incluye:</w:t>
      </w:r>
    </w:p>
    <w:p>
      <w:pPr>
        <w:pStyle w:val="ListBullet"/>
      </w:pPr>
      <w:r>
        <w:t>Generación de códigos QR GS1 (se asume que ya existen en producción/etiquetado).</w:t>
      </w:r>
    </w:p>
    <w:p>
      <w:pPr>
        <w:pStyle w:val="ListBullet"/>
      </w:pPr>
      <w:r>
        <w:t>Operación sin conexión (offline).</w:t>
      </w:r>
    </w:p>
    <w:p>
      <w:pPr>
        <w:pStyle w:val="ListBullet"/>
      </w:pPr>
      <w:r>
        <w:t xml:space="preserve">Despachos o físico sin el módulo base </w:t>
      </w:r>
      <w:r>
        <w:rPr>
          <w:rFonts w:ascii="Consolas" w:hAnsi="Consolas"/>
          <w:color w:val="800000"/>
          <w:sz w:val="18"/>
        </w:rPr>
        <w:t>kc_plasticasa</w:t>
      </w:r>
      <w:r>
        <w:t>.</w:t>
      </w:r>
    </w:p>
    <w:p>
      <w:pPr>
        <w:pStyle w:val="Heading2"/>
      </w:pPr>
      <w:r>
        <w:t>Indicadores sugeridos de seguimiento</w:t>
      </w:r>
    </w:p>
    <w:p>
      <w:pPr>
        <w:pStyle w:val="ListBullet"/>
      </w:pPr>
      <w:r>
        <w:t>Tiempo promedio entre apertura de entrega y validación de despacho.</w:t>
      </w:r>
    </w:p>
    <w:p>
      <w:pPr>
        <w:pStyle w:val="ListBullet"/>
      </w:pPr>
      <w:r>
        <w:t>Cantidad de escaneos internos por día / por operador.</w:t>
      </w:r>
    </w:p>
    <w:p>
      <w:pPr>
        <w:pStyle w:val="ListBullet"/>
      </w:pPr>
      <w:r>
        <w:t>Tasa de rechazo de QR (errores de producto, lote o ubicación).</w:t>
      </w:r>
    </w:p>
    <w:p>
      <w:pPr>
        <w:pStyle w:val="ListBullet"/>
      </w:pPr>
      <w:r>
        <w:t>Sesiones de toma física abiertas vs. cerradas.</w:t>
      </w:r>
    </w:p>
    <w:p>
      <w:pPr>
        <w:pStyle w:val="Heading2"/>
      </w:pPr>
      <w:r>
        <w:t>Requisitos previos de implementación</w:t>
      </w:r>
    </w:p>
    <w:p>
      <w:pPr>
        <w:pStyle w:val="ListNumber"/>
      </w:pPr>
      <w:r>
        <w:t xml:space="preserve">Instalar </w:t>
      </w:r>
      <w:r>
        <w:rPr>
          <w:rFonts w:ascii="Consolas" w:hAnsi="Consolas"/>
          <w:color w:val="800000"/>
          <w:sz w:val="18"/>
        </w:rPr>
        <w:t>kc_logistics_handheld</w:t>
      </w:r>
      <w:r>
        <w:t xml:space="preserve"> y su dependencia </w:t>
      </w:r>
      <w:r>
        <w:rPr>
          <w:rFonts w:ascii="Consolas" w:hAnsi="Consolas"/>
          <w:color w:val="800000"/>
          <w:sz w:val="18"/>
        </w:rPr>
        <w:t>kc_plasticasa</w:t>
      </w:r>
      <w:r>
        <w:t>.</w:t>
      </w:r>
    </w:p>
    <w:p>
      <w:pPr>
        <w:pStyle w:val="ListNumber"/>
      </w:pPr>
      <w:r>
        <w:t xml:space="preserve">Asignar el grupo </w:t>
      </w:r>
      <w:r>
        <w:rPr>
          <w:b/>
        </w:rPr>
        <w:t>Operador Logística Handheld</w:t>
      </w:r>
      <w:r>
        <w:t xml:space="preserve"> a los usuarios de almacén.</w:t>
      </w:r>
    </w:p>
    <w:p>
      <w:pPr>
        <w:pStyle w:val="ListNumber"/>
      </w:pPr>
      <w:r>
        <w:t>Configurar en cada usuario qué operaciones puede ejecutar (pestaña «Logística Handheld»).</w:t>
      </w:r>
    </w:p>
    <w:p>
      <w:pPr>
        <w:pStyle w:val="ListNumber"/>
      </w:pPr>
      <w:r>
        <w:t xml:space="preserve">Para </w:t>
      </w:r>
      <w:r>
        <w:rPr>
          <w:b/>
        </w:rPr>
        <w:t>despachos</w:t>
      </w:r>
      <w:r>
        <w:t>: activar «Wizard GS1 de despacho» en los tipos de operación de salida correspondientes (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pStyle w:val="ListNumber"/>
      </w:pPr>
      <w:r>
        <w:t xml:space="preserve">Para </w:t>
      </w:r>
      <w:r>
        <w:rPr>
          <w:b/>
        </w:rPr>
        <w:t>internos</w:t>
      </w:r>
      <w:r>
        <w:t>: verificar que los tipos de operación interna tengan ubicación origen y destino; opcionalmente marcar «baja calidad» si aplica.</w:t>
      </w:r>
    </w:p>
    <w:p>
      <w:pPr>
        <w:pStyle w:val="ListNumber"/>
      </w:pPr>
      <w:r>
        <w:t xml:space="preserve">Para </w:t>
      </w:r>
      <w:r>
        <w:rPr>
          <w:b/>
        </w:rPr>
        <w:t>físico</w:t>
      </w:r>
      <w:r>
        <w:t>: configurar ubicaciones permitidas en la compañía (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pStyle w:val="Heading2"/>
      </w:pPr>
      <w:r>
        <w:t>Riesgos y consideraciones</w:t>
      </w:r>
    </w:p>
    <w:p>
      <w:pPr>
        <w:pStyle w:val="ListBullet"/>
      </w:pPr>
      <w:r>
        <w:t xml:space="preserve">Los internos validan disponibilidad en la </w:t>
      </w:r>
      <w:r>
        <w:rPr>
          <w:b/>
        </w:rPr>
        <w:t>ubicación exacta</w:t>
      </w:r>
      <w:r>
        <w:t xml:space="preserve"> configurada en el tipo de operación (no incluye sububicaciones).</w:t>
      </w:r>
    </w:p>
    <w:p>
      <w:pPr>
        <w:pStyle w:val="ListBullet"/>
      </w:pPr>
      <w:r>
        <w:t>Un mismo lote no puede escanearse dos veces en la misma sesión interna.</w:t>
      </w:r>
    </w:p>
    <w:p>
      <w:pPr>
        <w:pStyle w:val="ListBullet"/>
      </w:pPr>
      <w:r>
        <w:t xml:space="preserve">El módulo absorbió funcionalidad del antiguo </w:t>
      </w:r>
      <w:r>
        <w:rPr>
          <w:rFonts w:ascii="Consolas" w:hAnsi="Consolas"/>
          <w:color w:val="800000"/>
          <w:sz w:val="18"/>
        </w:rPr>
        <w:t>kc_internal_lot_scanner</w:t>
      </w:r>
      <w:r>
        <w:t>; la migración es automática al instalar.</w:t>
      </w:r>
    </w:p>
    <w:p>
      <w:pPr>
        <w:spacing w:before="120" w:after="120"/>
      </w:pPr>
    </w:p>
    <w:p>
      <w:pPr>
        <w:pStyle w:val="Heading1"/>
      </w:pPr>
      <w:r>
        <w:t>2. Documento funcional para el usuario</w:t>
      </w:r>
    </w:p>
    <w:p>
      <w:pPr>
        <w:pStyle w:val="Heading2"/>
      </w:pPr>
      <w:r>
        <w:t>2.1 Acceso a la aplicación</w:t>
      </w:r>
    </w:p>
    <w:p>
      <w:pPr>
        <w:pStyle w:val="ListNumber"/>
      </w:pPr>
      <w:r>
        <w:t>Inicie sesión en Odoo con su usuario de almacén.</w:t>
      </w:r>
    </w:p>
    <w:p>
      <w:pPr>
        <w:pStyle w:val="ListNumber"/>
      </w:pPr>
      <w:r>
        <w:t xml:space="preserve">En el menú principal, abra </w:t>
      </w:r>
      <w:r>
        <w:rPr>
          <w:b/>
        </w:rPr>
        <w:t>Logística → Operaciones</w:t>
      </w:r>
      <w:r>
        <w:t>.</w:t>
      </w:r>
    </w:p>
    <w:p>
      <w:pPr>
        <w:pStyle w:val="ListNumber"/>
      </w:pPr>
      <w:r>
        <w:t>Verá la pantalla inicial con uno o más botones según sus permisos:</w:t>
      </w:r>
    </w:p>
    <w:p>
      <w:pPr>
        <w:pStyle w:val="ListBullet"/>
      </w:pPr>
      <w:r>
        <w:rPr>
          <w:b/>
        </w:rPr>
        <w:t>Despachos</w:t>
      </w:r>
      <w:r>
        <w:t xml:space="preserve"> — entregas a clientes.</w:t>
      </w:r>
    </w:p>
    <w:p>
      <w:pPr>
        <w:pStyle w:val="ListBullet"/>
      </w:pPr>
      <w:r>
        <w:rPr>
          <w:b/>
        </w:rPr>
        <w:t>Operaciones internas</w:t>
      </w:r>
      <w:r>
        <w:t xml:space="preserve"> — movimientos entre ubicaciones por lote.</w:t>
      </w:r>
    </w:p>
    <w:p>
      <w:pPr>
        <w:pStyle w:val="ListBullet"/>
      </w:pPr>
      <w:r>
        <w:rPr>
          <w:b/>
        </w:rPr>
        <w:t>Toma física previo</w:t>
      </w:r>
      <w:r>
        <w:t xml:space="preserve"> — conteo/verificación física de lotes.</w:t>
      </w:r>
    </w:p>
    <w:p>
      <w:pPr>
        <w:ind w:left="360"/>
      </w:pPr>
      <w:r>
        <w:t xml:space="preserve">Si no aparece ningún botón, el sistema mostrará el mensaje: </w:t>
      </w:r>
      <w:r>
        <w:t>«No tiene operaciones habilitadas. Solicite permisos al administrador.»</w:t>
      </w:r>
    </w:p>
    <w:p>
      <w:pPr>
        <w:pStyle w:val="Heading3"/>
      </w:pPr>
      <w:r>
        <w:t>Permisos (configurados por el administrador)</w:t>
      </w:r>
    </w:p>
    <w:p>
      <w:r>
        <w:t xml:space="preserve">En </w:t>
      </w:r>
      <w:r>
        <w:rPr>
          <w:b/>
        </w:rPr>
        <w:t>Ajustes → Usuarios</w:t>
      </w:r>
      <w:r>
        <w:t xml:space="preserve">, pestaña </w:t>
      </w:r>
      <w:r>
        <w:rPr>
          <w:b/>
        </w:rPr>
        <w:t>Logística Handheld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Permite</w:t>
            </w:r>
          </w:p>
        </w:tc>
      </w:tr>
      <w:tr>
        <w:tc>
          <w:tcPr>
            <w:tcW w:type="dxa" w:w="4320"/>
          </w:tcPr>
          <w:p>
            <w:r>
              <w:t>Handheld: Despachos</w:t>
            </w:r>
          </w:p>
        </w:tc>
        <w:tc>
          <w:tcPr>
            <w:tcW w:type="dxa" w:w="4320"/>
          </w:tcPr>
          <w:p>
            <w:r>
              <w:t>Ver kanban de entregas y escanear GS1 en despachos</w:t>
            </w:r>
          </w:p>
        </w:tc>
      </w:tr>
      <w:tr>
        <w:tc>
          <w:tcPr>
            <w:tcW w:type="dxa" w:w="4320"/>
          </w:tcPr>
          <w:p>
            <w:r>
              <w:t>Handheld: Operaciones internas</w:t>
            </w:r>
          </w:p>
        </w:tc>
        <w:tc>
          <w:tcPr>
            <w:tcW w:type="dxa" w:w="4320"/>
          </w:tcPr>
          <w:p>
            <w:r>
              <w:t>Abrir wizard de transferencia interna GS1</w:t>
            </w:r>
          </w:p>
        </w:tc>
      </w:tr>
      <w:tr>
        <w:tc>
          <w:tcPr>
            <w:tcW w:type="dxa" w:w="4320"/>
          </w:tcPr>
          <w:p>
            <w:r>
              <w:t>Handheld: Toma física previo</w:t>
            </w:r>
          </w:p>
        </w:tc>
        <w:tc>
          <w:tcPr>
            <w:tcW w:type="dxa" w:w="4320"/>
          </w:tcPr>
          <w:p>
            <w:r>
              <w:t>Ver y trabajar sesiones de levantamiento físico en borrador</w:t>
            </w:r>
          </w:p>
        </w:tc>
      </w:tr>
    </w:tbl>
    <w:p/>
    <w:p>
      <w:r>
        <w:t xml:space="preserve">Además, el usuario debe pertenecer al grupo </w:t>
      </w:r>
      <w:r>
        <w:rPr>
          <w:b/>
        </w:rPr>
        <w:t>Operador Logística Handheld</w:t>
      </w:r>
      <w:r>
        <w:t>.</w:t>
      </w:r>
    </w:p>
    <w:p>
      <w:pPr>
        <w:spacing w:before="120" w:after="120"/>
      </w:pPr>
    </w:p>
    <w:p>
      <w:pPr>
        <w:pStyle w:val="Heading2"/>
      </w:pPr>
      <w:r>
        <w:t>2.2 Despachos GS1</w:t>
      </w:r>
    </w:p>
    <w:p>
      <w:pPr>
        <w:pStyle w:val="Heading3"/>
      </w:pPr>
      <w:r>
        <w:t>¿Cuándo usarlo?</w:t>
      </w:r>
    </w:p>
    <w:p>
      <w:r>
        <w:t xml:space="preserve">Cuando debe preparar y despachar una </w:t>
      </w:r>
      <w:r>
        <w:rPr>
          <w:b/>
        </w:rPr>
        <w:t>entrega de salida</w:t>
      </w:r>
      <w:r>
        <w:t xml:space="preserve"> escaneando los códigos QR GS1 de los lotes que salen al cliente.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 xml:space="preserve">En la pantalla inicial, pulse </w:t>
      </w:r>
      <w:r>
        <w:rPr>
          <w:b/>
        </w:rPr>
        <w:t>Despachos</w:t>
      </w:r>
      <w:r>
        <w:t>.</w:t>
      </w:r>
    </w:p>
    <w:p>
      <w:pPr>
        <w:pStyle w:val="ListNumber"/>
      </w:pPr>
      <w:r>
        <w:t xml:space="preserve">Se abre un </w:t>
      </w:r>
      <w:r>
        <w:rPr>
          <w:b/>
        </w:rPr>
        <w:t>kanban</w:t>
      </w:r>
      <w:r>
        <w:t xml:space="preserve"> con las entregas en estado:</w:t>
      </w:r>
    </w:p>
    <w:p>
      <w:pPr>
        <w:pStyle w:val="ListBullet"/>
      </w:pPr>
      <w:r>
        <w:rPr>
          <w:b/>
        </w:rPr>
        <w:t>En espera</w:t>
      </w:r>
      <w:r>
        <w:t xml:space="preserve"> (amarillo): aún no tiene stock reservado o está pendiente de disponibilidad.</w:t>
      </w:r>
    </w:p>
    <w:p>
      <w:pPr>
        <w:pStyle w:val="ListBullet"/>
      </w:pPr>
      <w:r>
        <w:rPr>
          <w:b/>
        </w:rPr>
        <w:t>Disponible</w:t>
      </w:r>
      <w:r>
        <w:t xml:space="preserve"> (verde): lista para operar.</w:t>
      </w:r>
    </w:p>
    <w:p>
      <w:pPr>
        <w:pStyle w:val="ListNumber"/>
      </w:pPr>
      <w:r>
        <w:t>Use el buscador para localizar por número de entrega, pedido u origen.</w:t>
      </w:r>
    </w:p>
    <w:p>
      <w:pPr>
        <w:pStyle w:val="ListNumber"/>
      </w:pPr>
      <w:r>
        <w:t>Filtre por «En espera» o «Disponible» si lo necesita.</w:t>
      </w:r>
    </w:p>
    <w:p>
      <w:pPr>
        <w:pStyle w:val="ListNumber"/>
      </w:pPr>
      <w:r>
        <w:t xml:space="preserve">Pulse </w:t>
      </w:r>
      <w:r>
        <w:rPr>
          <w:b/>
        </w:rPr>
        <w:t>Escanear GS1</w:t>
      </w:r>
      <w:r>
        <w:t xml:space="preserve"> en la tarjeta de la entrega deseada.</w:t>
      </w:r>
    </w:p>
    <w:p>
      <w:pPr>
        <w:pStyle w:val="ListNumber"/>
      </w:pPr>
      <w:r>
        <w:t xml:space="preserve">Se abre el wizard de escaneo GS1 de despacho (de </w:t>
      </w:r>
      <w:r>
        <w:rPr>
          <w:rFonts w:ascii="Consolas" w:hAnsi="Consolas"/>
          <w:color w:val="800000"/>
          <w:sz w:val="18"/>
        </w:rPr>
        <w:t>kc_plasticasa</w:t>
      </w:r>
      <w:r>
        <w:t>):</w:t>
      </w:r>
    </w:p>
    <w:p>
      <w:pPr>
        <w:pStyle w:val="ListBullet"/>
      </w:pPr>
      <w:r>
        <w:t>Escanee cada QR de lote.</w:t>
      </w:r>
    </w:p>
    <w:p>
      <w:pPr>
        <w:pStyle w:val="ListBullet"/>
      </w:pPr>
      <w:r>
        <w:t>El sistema valida producto, lote y cantidad contra el pedido.</w:t>
      </w:r>
    </w:p>
    <w:p>
      <w:pPr>
        <w:pStyle w:val="ListBullet"/>
      </w:pPr>
      <w:r>
        <w:t>Al finalizar, valide la entrega según el flujo habitual.</w:t>
      </w:r>
    </w:p>
    <w:p>
      <w:pPr>
        <w:pStyle w:val="ListNumber"/>
      </w:pPr>
      <w:r>
        <w:t xml:space="preserve">Para volver al menú principal, use el botón </w:t>
      </w:r>
      <w:r>
        <w:rPr>
          <w:b/>
        </w:rPr>
        <w:t>Menú principal</w:t>
      </w:r>
      <w:r>
        <w:t xml:space="preserve"> en la cabecera del kanban.</w:t>
      </w:r>
    </w:p>
    <w:p>
      <w:pPr>
        <w:pStyle w:val="Heading3"/>
      </w:pPr>
      <w:r>
        <w:t>Qué entregas aparecen</w:t>
      </w:r>
    </w:p>
    <w:p>
      <w:r>
        <w:t xml:space="preserve">Solo las que cumplen </w:t>
      </w:r>
      <w:r>
        <w:rPr>
          <w:b/>
        </w:rPr>
        <w:t>todas</w:t>
      </w:r>
      <w:r>
        <w:t xml:space="preserve"> estas condiciones:</w:t>
      </w:r>
    </w:p>
    <w:p>
      <w:pPr>
        <w:pStyle w:val="ListBullet"/>
      </w:pPr>
      <w:r>
        <w:t xml:space="preserve">Tipo de operación: </w:t>
      </w:r>
      <w:r>
        <w:rPr>
          <w:b/>
        </w:rPr>
        <w:t>salida</w:t>
      </w:r>
      <w:r>
        <w:t xml:space="preserve"> (</w:t>
      </w:r>
      <w:r>
        <w:rPr>
          <w:rFonts w:ascii="Consolas" w:hAnsi="Consolas"/>
          <w:color w:val="800000"/>
          <w:sz w:val="18"/>
        </w:rPr>
        <w:t>outgoing</w:t>
      </w:r>
      <w:r>
        <w:t>).</w:t>
      </w:r>
    </w:p>
    <w:p>
      <w:pPr>
        <w:pStyle w:val="ListBullet"/>
      </w:pPr>
      <w:r>
        <w:t>Estado: en espera, confirmada o disponible.</w:t>
      </w:r>
    </w:p>
    <w:p>
      <w:pPr>
        <w:pStyle w:val="ListBullet"/>
      </w:pPr>
      <w:r>
        <w:t xml:space="preserve">El tipo de operación tiene activo </w:t>
      </w:r>
      <w:r>
        <w:rPr>
          <w:b/>
        </w:rPr>
        <w:t>Wizard GS1 de despacho</w:t>
      </w:r>
      <w:r>
        <w:t xml:space="preserve"> (configuración de inventario).</w:t>
      </w:r>
    </w:p>
    <w:p>
      <w:pPr>
        <w:spacing w:before="120" w:after="120"/>
      </w:pPr>
    </w:p>
    <w:p>
      <w:pPr>
        <w:pStyle w:val="Heading2"/>
      </w:pPr>
      <w:r>
        <w:t>2.3 Operaciones internas GS1</w:t>
      </w:r>
    </w:p>
    <w:p>
      <w:pPr>
        <w:pStyle w:val="Heading3"/>
      </w:pPr>
      <w:r>
        <w:t>¿Cuándo usarlo?</w:t>
      </w:r>
    </w:p>
    <w:p>
      <w:r>
        <w:t>Cuando debe mover lotes entre ubicaciones internas del almacén (por ejemplo, de producción a expedición, o a zona de baja calidad) escaneando QR GS1.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 xml:space="preserve">En la pantalla inicial, pulse </w:t>
      </w:r>
      <w:r>
        <w:rPr>
          <w:b/>
        </w:rPr>
        <w:t>Operaciones internas</w:t>
      </w:r>
      <w:r>
        <w:t>.</w:t>
      </w:r>
    </w:p>
    <w:p>
      <w:pPr>
        <w:pStyle w:val="ListNumber"/>
      </w:pPr>
      <w:r>
        <w:t xml:space="preserve">Seleccione el </w:t>
      </w:r>
      <w:r>
        <w:rPr>
          <w:b/>
        </w:rPr>
        <w:t>tipo de operación interna</w:t>
      </w:r>
      <w:r>
        <w:t xml:space="preserve"> (ej.: «Traslado interno», «Baja calidad», etc.).</w:t>
      </w:r>
    </w:p>
    <w:p>
      <w:pPr>
        <w:pStyle w:val="ListBullet"/>
      </w:pPr>
      <w:r>
        <w:t xml:space="preserve">Al elegirlo, el sistema carga automáticamente las ubicaciones </w:t>
      </w:r>
      <w:r>
        <w:rPr>
          <w:b/>
        </w:rPr>
        <w:t>Origen</w:t>
      </w:r>
      <w:r>
        <w:t xml:space="preserve"> y </w:t>
      </w:r>
      <w:r>
        <w:rPr>
          <w:b/>
        </w:rPr>
        <w:t>Destino</w:t>
      </w:r>
      <w:r>
        <w:t xml:space="preserve"> del tipo de operación.</w:t>
      </w:r>
    </w:p>
    <w:p>
      <w:pPr>
        <w:pStyle w:val="ListNumber"/>
      </w:pPr>
      <w:r>
        <w:t>Si el tipo de operación está marcado como «baja calidad», verá una advertencia: los lotes escaneados se marcarán como baja calidad al validar.</w:t>
      </w:r>
    </w:p>
    <w:p>
      <w:pPr>
        <w:pStyle w:val="ListNumber"/>
      </w:pPr>
      <w:r>
        <w:t xml:space="preserve">En el campo </w:t>
      </w:r>
      <w:r>
        <w:rPr>
          <w:b/>
        </w:rPr>
        <w:t>Escanear QR GS1</w:t>
      </w:r>
      <w:r>
        <w:t>, lea o pegue el código del lote.</w:t>
      </w:r>
    </w:p>
    <w:p>
      <w:pPr>
        <w:pStyle w:val="ListBullet"/>
      </w:pPr>
      <w:r>
        <w:t>El cursor vuelve automáticamente al campo tras cada escaneo (optimizado para pistola lectora).</w:t>
      </w:r>
    </w:p>
    <w:p>
      <w:pPr>
        <w:pStyle w:val="ListNumber"/>
      </w:pPr>
      <w:r>
        <w:t xml:space="preserve">Revise el </w:t>
      </w:r>
      <w:r>
        <w:rPr>
          <w:b/>
        </w:rPr>
        <w:t>resultado del escaneo</w:t>
      </w:r>
      <w:r>
        <w:t>:</w:t>
      </w:r>
    </w:p>
    <w:p>
      <w:pPr>
        <w:pStyle w:val="ListBullet"/>
      </w:pPr>
      <w:r>
        <w:rPr>
          <w:b/>
        </w:rPr>
        <w:t>Verde (éxito):</w:t>
      </w:r>
      <w:r>
        <w:t xml:space="preserve"> lote agregado correctamente.</w:t>
      </w:r>
    </w:p>
    <w:p>
      <w:pPr>
        <w:pStyle w:val="ListBullet"/>
      </w:pPr>
      <w:r>
        <w:rPr>
          <w:b/>
        </w:rPr>
        <w:t>Rojo (error):</w:t>
      </w:r>
      <w:r>
        <w:t xml:space="preserve"> motivo del rechazo (ver sección de errores).</w:t>
      </w:r>
    </w:p>
    <w:p>
      <w:pPr>
        <w:pStyle w:val="ListNumber"/>
      </w:pPr>
      <w:r>
        <w:t xml:space="preserve">En la lista </w:t>
      </w:r>
      <w:r>
        <w:rPr>
          <w:b/>
        </w:rPr>
        <w:t>Lotes escaneados</w:t>
      </w:r>
      <w:r>
        <w:t xml:space="preserve"> puede eliminar una línea errónea con el icono de papelera.</w:t>
      </w:r>
    </w:p>
    <w:p>
      <w:pPr>
        <w:pStyle w:val="ListNumber"/>
      </w:pPr>
      <w:r>
        <w:t xml:space="preserve">Cuando termine de escanear todos los lotes, pulse </w:t>
      </w:r>
      <w:r>
        <w:rPr>
          <w:b/>
        </w:rPr>
        <w:t>Crear y Validar Transferencia</w:t>
      </w:r>
      <w:r>
        <w:t>.</w:t>
      </w:r>
    </w:p>
    <w:p>
      <w:pPr>
        <w:pStyle w:val="ListBullet"/>
      </w:pPr>
      <w:r>
        <w:t>El sistema crea el albarán interno, asigna cantidades por lote y lo valida automáticamente.</w:t>
      </w:r>
    </w:p>
    <w:p>
      <w:pPr>
        <w:pStyle w:val="ListNumber"/>
      </w:pPr>
      <w:r>
        <w:t xml:space="preserve">Tras finalizar, puede pulsar </w:t>
      </w:r>
      <w:r>
        <w:rPr>
          <w:b/>
        </w:rPr>
        <w:t>Ver transferencia</w:t>
      </w:r>
      <w:r>
        <w:t xml:space="preserve"> para abrir el albarán generado, o </w:t>
      </w:r>
      <w:r>
        <w:rPr>
          <w:b/>
        </w:rPr>
        <w:t>Cerrar</w:t>
      </w:r>
      <w:r>
        <w:t xml:space="preserve"> para salir.</w:t>
      </w:r>
    </w:p>
    <w:p>
      <w:pPr>
        <w:pStyle w:val="Heading3"/>
      </w:pPr>
      <w:r>
        <w:t>Formato del QR GS1 esperado</w:t>
      </w:r>
    </w:p>
    <w:p>
      <w:r>
        <w:t>El código debe contener, como mínimo: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Bloque GS1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`240`</w:t>
            </w:r>
          </w:p>
        </w:tc>
        <w:tc>
          <w:tcPr>
            <w:tcW w:type="dxa" w:w="4320"/>
          </w:tcPr>
          <w:p>
            <w:r>
              <w:t>Código de producto</w:t>
            </w:r>
          </w:p>
        </w:tc>
      </w:tr>
      <w:tr>
        <w:tc>
          <w:tcPr>
            <w:tcW w:type="dxa" w:w="4320"/>
          </w:tcPr>
          <w:p>
            <w:r>
              <w:t>`10`</w:t>
            </w:r>
          </w:p>
        </w:tc>
        <w:tc>
          <w:tcPr>
            <w:tcW w:type="dxa" w:w="4320"/>
          </w:tcPr>
          <w:p>
            <w:r>
              <w:t>Número de lote</w:t>
            </w:r>
          </w:p>
        </w:tc>
      </w:tr>
      <w:tr>
        <w:tc>
          <w:tcPr>
            <w:tcW w:type="dxa" w:w="4320"/>
          </w:tcPr>
          <w:p>
            <w:r>
              <w:t>`30`</w:t>
            </w:r>
          </w:p>
        </w:tc>
        <w:tc>
          <w:tcPr>
            <w:tcW w:type="dxa" w:w="4320"/>
          </w:tcPr>
          <w:p>
            <w:r>
              <w:t>Cantidad (entera)</w:t>
            </w:r>
          </w:p>
        </w:tc>
      </w:tr>
    </w:tbl>
    <w:p/>
    <w:p>
      <w:r>
        <w:t>El sistema acepta códigos con separadores GS1 estándar o concatenados.</w:t>
      </w:r>
    </w:p>
    <w:p>
      <w:pPr>
        <w:pStyle w:val="Heading3"/>
      </w:pPr>
      <w:r>
        <w:t>Reglas importantes</w:t>
      </w:r>
    </w:p>
    <w:p>
      <w:pPr>
        <w:pStyle w:val="ListBullet"/>
      </w:pPr>
      <w:r>
        <w:t xml:space="preserve">No puede escanear el </w:t>
      </w:r>
      <w:r>
        <w:rPr>
          <w:b/>
        </w:rPr>
        <w:t>mismo lote dos veces</w:t>
      </w:r>
      <w:r>
        <w:t xml:space="preserve"> en la misma sesión.</w:t>
      </w:r>
    </w:p>
    <w:p>
      <w:pPr>
        <w:pStyle w:val="ListBullet"/>
      </w:pPr>
      <w:r>
        <w:t xml:space="preserve">El lote debe </w:t>
      </w:r>
      <w:r>
        <w:rPr>
          <w:b/>
        </w:rPr>
        <w:t>existir</w:t>
      </w:r>
      <w:r>
        <w:t xml:space="preserve"> en Odoo para ese producto.</w:t>
      </w:r>
    </w:p>
    <w:p>
      <w:pPr>
        <w:pStyle w:val="ListBullet"/>
      </w:pPr>
      <w:r>
        <w:t xml:space="preserve">Debe haber </w:t>
      </w:r>
      <w:r>
        <w:rPr>
          <w:b/>
        </w:rPr>
        <w:t>stock disponible</w:t>
      </w:r>
      <w:r>
        <w:t xml:space="preserve"> en la ubicación origen exacta (cantidad del QR).</w:t>
      </w:r>
    </w:p>
    <w:p>
      <w:pPr>
        <w:pStyle w:val="ListBullet"/>
      </w:pPr>
      <w:r>
        <w:t>Si el lote está en otra ubicación, el sistema indicará que no está disponible en el origen configurado.</w:t>
      </w:r>
    </w:p>
    <w:p>
      <w:pPr>
        <w:spacing w:before="120" w:after="120"/>
      </w:pPr>
    </w:p>
    <w:p>
      <w:pPr>
        <w:pStyle w:val="Heading2"/>
      </w:pPr>
      <w:r>
        <w:t>2.4 Toma física previo</w:t>
      </w:r>
    </w:p>
    <w:p>
      <w:pPr>
        <w:pStyle w:val="Heading3"/>
      </w:pPr>
      <w:r>
        <w:t>¿Cuándo usarlo?</w:t>
      </w:r>
    </w:p>
    <w:p>
      <w:r>
        <w:t>Para registrar en terreno qué lotes existen físicamente en el almacén, comparando cantidades y ubicaciones contra lo que Odoo tiene registrado.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 xml:space="preserve">En la pantalla inicial, pulse </w:t>
      </w:r>
      <w:r>
        <w:rPr>
          <w:b/>
        </w:rPr>
        <w:t>Toma física previo</w:t>
      </w:r>
      <w:r>
        <w:t>.</w:t>
      </w:r>
    </w:p>
    <w:p>
      <w:pPr>
        <w:pStyle w:val="ListNumber"/>
      </w:pPr>
      <w:r>
        <w:t xml:space="preserve">Se listan las sesiones en estado </w:t>
      </w:r>
      <w:r>
        <w:rPr>
          <w:b/>
        </w:rPr>
        <w:t>En curso</w:t>
      </w:r>
      <w:r>
        <w:t xml:space="preserve"> (borrador).</w:t>
      </w:r>
    </w:p>
    <w:p>
      <w:pPr>
        <w:pStyle w:val="ListNumber"/>
      </w:pPr>
      <w:r>
        <w:t>Abra una sesión existente o cree una nueva (desde la lista, si está permitido).</w:t>
      </w:r>
    </w:p>
    <w:p>
      <w:pPr>
        <w:pStyle w:val="ListNumber"/>
      </w:pPr>
      <w:r>
        <w:t xml:space="preserve">Si la compañía tiene varias ubicaciones físicas configuradas, seleccione la </w:t>
      </w:r>
      <w:r>
        <w:rPr>
          <w:b/>
        </w:rPr>
        <w:t>ubicación física por defecto</w:t>
      </w:r>
      <w:r>
        <w:t xml:space="preserve"> de la sesión.</w:t>
      </w:r>
    </w:p>
    <w:p>
      <w:pPr>
        <w:pStyle w:val="ListNumber"/>
      </w:pPr>
      <w:r>
        <w:t xml:space="preserve">Pulse </w:t>
      </w:r>
      <w:r>
        <w:rPr>
          <w:b/>
        </w:rPr>
        <w:t>Escanear GS1</w:t>
      </w:r>
      <w:r>
        <w:t xml:space="preserve"> y lea los QR de los lotes encontrados en piso.</w:t>
      </w:r>
    </w:p>
    <w:p>
      <w:pPr>
        <w:pStyle w:val="ListNumber"/>
      </w:pPr>
      <w:r>
        <w:t xml:space="preserve">Revise la pestaña </w:t>
      </w:r>
      <w:r>
        <w:rPr>
          <w:b/>
        </w:rPr>
        <w:t>Lotes escaneados</w:t>
      </w:r>
      <w:r>
        <w:t>:</w:t>
      </w:r>
    </w:p>
    <w:p>
      <w:pPr>
        <w:pStyle w:val="ListBullet"/>
      </w:pPr>
      <w:r>
        <w:t>Cantidad según QR vs. cantidad en Odoo.</w:t>
      </w:r>
    </w:p>
    <w:p>
      <w:pPr>
        <w:pStyle w:val="ListBullet"/>
      </w:pPr>
      <w:r>
        <w:t>Ubicación reportada vs. ubicación en sistema.</w:t>
      </w:r>
    </w:p>
    <w:p>
      <w:pPr>
        <w:pStyle w:val="ListBullet"/>
      </w:pPr>
      <w:r>
        <w:t>Las filas en rojo indican discrepancia de ubicación.</w:t>
      </w:r>
    </w:p>
    <w:p>
      <w:pPr>
        <w:pStyle w:val="ListNumber"/>
      </w:pPr>
      <w:r>
        <w:t xml:space="preserve">Al terminar el recorrido, pulse </w:t>
      </w:r>
      <w:r>
        <w:rPr>
          <w:b/>
        </w:rPr>
        <w:t>Cerrar sesión</w:t>
      </w:r>
      <w:r>
        <w:t>.</w:t>
      </w:r>
    </w:p>
    <w:p>
      <w:pPr>
        <w:ind w:left="360"/>
      </w:pPr>
      <w:r>
        <w:t xml:space="preserve">La lógica detallada de escaneo, comparación y ajustes masivos está en el módulo </w:t>
      </w:r>
      <w:r>
        <w:rPr>
          <w:rFonts w:ascii="Consolas" w:hAnsi="Consolas"/>
          <w:color w:val="800000"/>
          <w:sz w:val="18"/>
        </w:rPr>
        <w:t>kc_plasticasa</w:t>
      </w:r>
      <w:r>
        <w:t>. Esta app solo proporciona el acceso móvil filtrado a sesiones en borrador.</w:t>
      </w:r>
    </w:p>
    <w:p>
      <w:pPr>
        <w:spacing w:before="120" w:after="120"/>
      </w:pPr>
    </w:p>
    <w:p>
      <w:pPr>
        <w:pStyle w:val="Heading2"/>
      </w:pPr>
      <w:r>
        <w:t>2.5 Historial de escaneos internos (supervisores)</w:t>
      </w:r>
    </w:p>
    <w:p>
      <w:r>
        <w:t xml:space="preserve">Disponible en </w:t>
      </w:r>
      <w:r>
        <w:rPr>
          <w:b/>
        </w:rPr>
        <w:t>Logística → Historial escaneos GS1 internos</w:t>
      </w:r>
      <w:r>
        <w:t xml:space="preserve"> (requiere rol de responsable de inventario).</w:t>
      </w:r>
    </w:p>
    <w:p>
      <w:r>
        <w:t>Permite consultar:</w:t>
      </w:r>
    </w:p>
    <w:p>
      <w:pPr>
        <w:pStyle w:val="ListBullet"/>
      </w:pPr>
      <w:r>
        <w:t>Fecha, usuario, producto, lote, cantidad.</w:t>
      </w:r>
    </w:p>
    <w:p>
      <w:pPr>
        <w:pStyle w:val="ListBullet"/>
      </w:pPr>
      <w:r>
        <w:t>Ubicaciones origen y destino.</w:t>
      </w:r>
    </w:p>
    <w:p>
      <w:pPr>
        <w:pStyle w:val="ListBullet"/>
      </w:pPr>
      <w:r>
        <w:t>Albarán generado.</w:t>
      </w:r>
    </w:p>
    <w:p>
      <w:pPr>
        <w:pStyle w:val="ListBullet"/>
      </w:pPr>
      <w:r>
        <w:t>Estado: Escaneado, Transferido o Cancelado.</w:t>
      </w:r>
    </w:p>
    <w:p>
      <w:r>
        <w:t>Filtros útiles: por usuario, producto, lote, transferencia, fecha y estado.</w:t>
      </w:r>
    </w:p>
    <w:p>
      <w:pPr>
        <w:spacing w:before="120" w:after="120"/>
      </w:pPr>
    </w:p>
    <w:p>
      <w:pPr>
        <w:pStyle w:val="Heading2"/>
      </w:pPr>
      <w:r>
        <w:t>2.6 Configuración para administradores</w:t>
      </w:r>
    </w:p>
    <w:p>
      <w:pPr>
        <w:pStyle w:val="Heading3"/>
      </w:pPr>
      <w:r>
        <w:t>Usuarios</w:t>
      </w:r>
    </w:p>
    <w:p>
      <w:r>
        <w:rPr>
          <w:b/>
        </w:rPr>
        <w:t>Ajustes → Usuarios → [usuario] → Logística Handheld</w:t>
      </w:r>
    </w:p>
    <w:p>
      <w:r>
        <w:t>Active los toggles según el perfil del operador.</w:t>
      </w:r>
    </w:p>
    <w:p>
      <w:pPr>
        <w:pStyle w:val="Heading3"/>
      </w:pPr>
      <w:r>
        <w:t>Tipos de operación interna</w:t>
      </w:r>
    </w:p>
    <w:p>
      <w:r>
        <w:rPr>
          <w:b/>
        </w:rPr>
        <w:t>Inventario → Configuración → Tipos de operación → [tipo interno] → sección GS1 Interno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Disponible en wizard interno GS1</w:t>
            </w:r>
          </w:p>
        </w:tc>
        <w:tc>
          <w:tcPr>
            <w:tcW w:type="dxa" w:w="4320"/>
          </w:tcPr>
          <w:p>
            <w:r>
              <w:t>Si está activo, el tipo aparece en el desplegable del wizard handheld.</w:t>
            </w:r>
          </w:p>
        </w:tc>
      </w:tr>
      <w:tr>
        <w:tc>
          <w:tcPr>
            <w:tcW w:type="dxa" w:w="4320"/>
          </w:tcPr>
          <w:p>
            <w:r>
              <w:t>Marcar lotes como baja calidad</w:t>
            </w:r>
          </w:p>
        </w:tc>
        <w:tc>
          <w:tcPr>
            <w:tcW w:type="dxa" w:w="4320"/>
          </w:tcPr>
          <w:p>
            <w:r>
              <w:t>Al validar la transferencia, marca `baja calidad` en todos los lotes escaneados.</w:t>
            </w:r>
          </w:p>
        </w:tc>
      </w:tr>
    </w:tbl>
    <w:p/>
    <w:p>
      <w:pPr>
        <w:ind w:left="360"/>
      </w:pPr>
      <w:r>
        <w:t>Al instalar el módulo, todos los tipos internos existentes se activan automáticamente en el wizard.</w:t>
      </w:r>
    </w:p>
    <w:p>
      <w:pPr>
        <w:pStyle w:val="Heading3"/>
      </w:pPr>
      <w:r>
        <w:t>Tipos de operación de despacho</w:t>
      </w:r>
    </w:p>
    <w:p>
      <w:r>
        <w:rPr>
          <w:b/>
        </w:rPr>
        <w:t>Inventario → Configuración → Tipos de operación → [tipo salida]</w:t>
      </w:r>
    </w:p>
    <w:p>
      <w:r>
        <w:t xml:space="preserve">Active </w:t>
      </w:r>
      <w:r>
        <w:rPr>
          <w:b/>
        </w:rPr>
        <w:t>Wizard GS1 de despacho</w:t>
      </w:r>
      <w:r>
        <w:t xml:space="preserve"> (campo de </w:t>
      </w:r>
      <w:r>
        <w:rPr>
          <w:rFonts w:ascii="Consolas" w:hAnsi="Consolas"/>
          <w:color w:val="800000"/>
          <w:sz w:val="18"/>
        </w:rPr>
        <w:t>kc_plasticasa</w:t>
      </w:r>
      <w:r>
        <w:t>) en los tipos de entrega que deban operarse desde handheld.</w:t>
      </w:r>
    </w:p>
    <w:p>
      <w:pPr>
        <w:pStyle w:val="Heading3"/>
      </w:pPr>
      <w:r>
        <w:t>Toma física</w:t>
      </w:r>
    </w:p>
    <w:p>
      <w:r>
        <w:rPr>
          <w:b/>
        </w:rPr>
        <w:t>Ajustes → Compañías → [compañía]</w:t>
      </w:r>
    </w:p>
    <w:p>
      <w:r>
        <w:t>Configure las ubicaciones físicas permitidas para el levantamiento (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spacing w:before="120" w:after="120"/>
      </w:pPr>
    </w:p>
    <w:p>
      <w:pPr>
        <w:pStyle w:val="Heading2"/>
      </w:pPr>
      <w:r>
        <w:t>2.7 Mensajes de error frecuentes (operaciones internas)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Mensaje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Causa probable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Acción recomendada</w:t>
            </w:r>
          </w:p>
        </w:tc>
      </w:tr>
      <w:tr>
        <w:tc>
          <w:tcPr>
            <w:tcW w:type="dxa" w:w="2880"/>
          </w:tcPr>
          <w:p>
            <w:r>
              <w:t>QR inválido. El primer bloque debe iniciar con 240</w:t>
            </w:r>
          </w:p>
        </w:tc>
        <w:tc>
          <w:tcPr>
            <w:tcW w:type="dxa" w:w="2880"/>
          </w:tcPr>
          <w:p>
            <w:r>
              <w:t>Código dañado o no es GS1 de producto</w:t>
            </w:r>
          </w:p>
        </w:tc>
        <w:tc>
          <w:tcPr>
            <w:tcW w:type="dxa" w:w="2880"/>
          </w:tcPr>
          <w:p>
            <w:r>
              <w:t>Reescanear; verificar etiqueta</w:t>
            </w:r>
          </w:p>
        </w:tc>
      </w:tr>
      <w:tr>
        <w:tc>
          <w:tcPr>
            <w:tcW w:type="dxa" w:w="2880"/>
          </w:tcPr>
          <w:p>
            <w:r>
              <w:t>Producto no encontrado para el código GS1</w:t>
            </w:r>
          </w:p>
        </w:tc>
        <w:tc>
          <w:tcPr>
            <w:tcW w:type="dxa" w:w="2880"/>
          </w:tcPr>
          <w:p>
            <w:r>
              <w:t>El código 240 no coincide con barcode, referencia ni código GS1 del producto</w:t>
            </w:r>
          </w:p>
        </w:tc>
        <w:tc>
          <w:tcPr>
            <w:tcW w:type="dxa" w:w="2880"/>
          </w:tcPr>
          <w:p>
            <w:r>
              <w:t>Verificar maestro de productos</w:t>
            </w:r>
          </w:p>
        </w:tc>
      </w:tr>
      <w:tr>
        <w:tc>
          <w:tcPr>
            <w:tcW w:type="dxa" w:w="2880"/>
          </w:tcPr>
          <w:p>
            <w:r>
              <w:t>El lote X no existe para el producto Y</w:t>
            </w:r>
          </w:p>
        </w:tc>
        <w:tc>
          <w:tcPr>
            <w:tcW w:type="dxa" w:w="2880"/>
          </w:tcPr>
          <w:p>
            <w:r>
              <w:t>Lote no creado en Odoo</w:t>
            </w:r>
          </w:p>
        </w:tc>
        <w:tc>
          <w:tcPr>
            <w:tcW w:type="dxa" w:w="2880"/>
          </w:tcPr>
          <w:p>
            <w:r>
              <w:t>Crear lote o corregir etiqueta</w:t>
            </w:r>
          </w:p>
        </w:tc>
      </w:tr>
      <w:tr>
        <w:tc>
          <w:tcPr>
            <w:tcW w:type="dxa" w:w="2880"/>
          </w:tcPr>
          <w:p>
            <w:r>
              <w:t>El lote existe, pero no está disponible en la ubicación origen</w:t>
            </w:r>
          </w:p>
        </w:tc>
        <w:tc>
          <w:tcPr>
            <w:tcW w:type="dxa" w:w="2880"/>
          </w:tcPr>
          <w:p>
            <w:r>
              <w:t>Stock en otra ubicación</w:t>
            </w:r>
          </w:p>
        </w:tc>
        <w:tc>
          <w:tcPr>
            <w:tcW w:type="dxa" w:w="2880"/>
          </w:tcPr>
          <w:p>
            <w:r>
              <w:t>Mover stock primero o cambiar tipo de operación</w:t>
            </w:r>
          </w:p>
        </w:tc>
      </w:tr>
      <w:tr>
        <w:tc>
          <w:tcPr>
            <w:tcW w:type="dxa" w:w="2880"/>
          </w:tcPr>
          <w:p>
            <w:r>
              <w:t>No tiene disponibilidad suficiente</w:t>
            </w:r>
          </w:p>
        </w:tc>
        <w:tc>
          <w:tcPr>
            <w:tcW w:type="dxa" w:w="2880"/>
          </w:tcPr>
          <w:p>
            <w:r>
              <w:t>Cantidad en QR mayor que stock libre en origen</w:t>
            </w:r>
          </w:p>
        </w:tc>
        <w:tc>
          <w:tcPr>
            <w:tcW w:type="dxa" w:w="2880"/>
          </w:tcPr>
          <w:p>
            <w:r>
              <w:t>Verificar cantidad del QR o stock</w:t>
            </w:r>
          </w:p>
        </w:tc>
      </w:tr>
      <w:tr>
        <w:tc>
          <w:tcPr>
            <w:tcW w:type="dxa" w:w="2880"/>
          </w:tcPr>
          <w:p>
            <w:r>
              <w:t>Este lote ya fue escaneado en esta sesión</w:t>
            </w:r>
          </w:p>
        </w:tc>
        <w:tc>
          <w:tcPr>
            <w:tcW w:type="dxa" w:w="2880"/>
          </w:tcPr>
          <w:p>
            <w:r>
              <w:t>Duplicado</w:t>
            </w:r>
          </w:p>
        </w:tc>
        <w:tc>
          <w:tcPr>
            <w:tcW w:type="dxa" w:w="2880"/>
          </w:tcPr>
          <w:p>
            <w:r>
              <w:t>Eliminar línea si fue error, o continuar con otro lote</w:t>
            </w:r>
          </w:p>
        </w:tc>
      </w:tr>
      <w:tr>
        <w:tc>
          <w:tcPr>
            <w:tcW w:type="dxa" w:w="2880"/>
          </w:tcPr>
          <w:p>
            <w:r>
              <w:t>Debe seleccionar un tipo de operación interna</w:t>
            </w:r>
          </w:p>
        </w:tc>
        <w:tc>
          <w:tcPr>
            <w:tcW w:type="dxa" w:w="2880"/>
          </w:tcPr>
          <w:p>
            <w:r>
              <w:t>Falta elegir operación</w:t>
            </w:r>
          </w:p>
        </w:tc>
        <w:tc>
          <w:tcPr>
            <w:tcW w:type="dxa" w:w="2880"/>
          </w:tcPr>
          <w:p>
            <w:r>
              <w:t>Seleccionar tipo antes de escanear</w:t>
            </w:r>
          </w:p>
        </w:tc>
      </w:tr>
      <w:tr>
        <w:tc>
          <w:tcPr>
            <w:tcW w:type="dxa" w:w="2880"/>
          </w:tcPr>
          <w:p>
            <w:r>
              <w:t>No tiene permiso para operar despachos / esta operación</w:t>
            </w:r>
          </w:p>
        </w:tc>
        <w:tc>
          <w:tcPr>
            <w:tcW w:type="dxa" w:w="2880"/>
          </w:tcPr>
          <w:p>
            <w:r>
              <w:t>Permiso no asignado</w:t>
            </w:r>
          </w:p>
        </w:tc>
        <w:tc>
          <w:tcPr>
            <w:tcW w:type="dxa" w:w="2880"/>
          </w:tcPr>
          <w:p>
            <w:r>
              <w:t>Solicitar al administrador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2.8 Buenas prácticas en piso</w:t>
      </w:r>
    </w:p>
    <w:p>
      <w:pPr>
        <w:pStyle w:val="ListNumber"/>
      </w:pPr>
      <w:r>
        <w:rPr>
          <w:b/>
        </w:rPr>
        <w:t>Antes de escanear internos:</w:t>
      </w:r>
      <w:r>
        <w:t xml:space="preserve"> confirme que eligió el tipo de operación correcto (origen/destino).</w:t>
      </w:r>
    </w:p>
    <w:p>
      <w:pPr>
        <w:pStyle w:val="ListNumber"/>
      </w:pPr>
      <w:r>
        <w:rPr>
          <w:b/>
        </w:rPr>
        <w:t>Una sesión por tarea:</w:t>
      </w:r>
      <w:r>
        <w:t xml:space="preserve"> no mezcle movimientos de distintos traslados en la misma sesión interna.</w:t>
      </w:r>
    </w:p>
    <w:p>
      <w:pPr>
        <w:pStyle w:val="ListNumber"/>
      </w:pPr>
      <w:r>
        <w:rPr>
          <w:b/>
        </w:rPr>
        <w:t>Revise la lista</w:t>
      </w:r>
      <w:r>
        <w:t xml:space="preserve"> antes de «Crear y Validar»; es más fácil corregir antes que revertir un albarán validado.</w:t>
      </w:r>
    </w:p>
    <w:p>
      <w:pPr>
        <w:pStyle w:val="ListNumber"/>
      </w:pPr>
      <w:r>
        <w:rPr>
          <w:b/>
        </w:rPr>
        <w:t>Despachos:</w:t>
      </w:r>
      <w:r>
        <w:t xml:space="preserve"> priorice entregas en estado </w:t>
      </w:r>
      <w:r>
        <w:rPr>
          <w:b/>
        </w:rPr>
        <w:t>Disponible</w:t>
      </w:r>
      <w:r>
        <w:t xml:space="preserve"> para evitar esperas por reserva.</w:t>
      </w:r>
    </w:p>
    <w:p>
      <w:pPr>
        <w:pStyle w:val="ListNumber"/>
      </w:pPr>
      <w:r>
        <w:rPr>
          <w:b/>
        </w:rPr>
        <w:t>Físico:</w:t>
      </w:r>
      <w:r>
        <w:t xml:space="preserve"> cierre la sesión al terminar cada recorrido para mantener el listado limpio.</w:t>
      </w:r>
    </w:p>
    <w:p>
      <w:pPr>
        <w:spacing w:before="120" w:after="120"/>
      </w:pPr>
    </w:p>
    <w:p>
      <w:pPr>
        <w:pStyle w:val="Heading2"/>
      </w:pPr>
      <w:r>
        <w:t>2.9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Término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**GS1**</w:t>
            </w:r>
          </w:p>
        </w:tc>
        <w:tc>
          <w:tcPr>
            <w:tcW w:type="dxa" w:w="4320"/>
          </w:tcPr>
          <w:p>
            <w:r>
              <w:t>Estándar de códigos de barras/QR con bloques de datos (AI 240, 10, 30, etc.).</w:t>
            </w:r>
          </w:p>
        </w:tc>
      </w:tr>
      <w:tr>
        <w:tc>
          <w:tcPr>
            <w:tcW w:type="dxa" w:w="4320"/>
          </w:tcPr>
          <w:p>
            <w:r>
              <w:t>**Sesión**</w:t>
            </w:r>
          </w:p>
        </w:tc>
        <w:tc>
          <w:tcPr>
            <w:tcW w:type="dxa" w:w="4320"/>
          </w:tcPr>
          <w:p>
            <w:r>
              <w:t>Agrupación de escaneos de una operación antes de generar el albarán (internos) o antes del cierre (físico).</w:t>
            </w:r>
          </w:p>
        </w:tc>
      </w:tr>
      <w:tr>
        <w:tc>
          <w:tcPr>
            <w:tcW w:type="dxa" w:w="4320"/>
          </w:tcPr>
          <w:p>
            <w:r>
              <w:t>**Handheld**</w:t>
            </w:r>
          </w:p>
        </w:tc>
        <w:tc>
          <w:tcPr>
            <w:tcW w:type="dxa" w:w="4320"/>
          </w:tcPr>
          <w:p>
            <w:r>
              <w:t>Interfaz optimizada para uso en dispositivo móvil o terminal con lector de códigos.</w:t>
            </w:r>
          </w:p>
        </w:tc>
      </w:tr>
      <w:tr>
        <w:tc>
          <w:tcPr>
            <w:tcW w:type="dxa" w:w="4320"/>
          </w:tcPr>
          <w:p>
            <w:r>
              <w:t>**Kanban de despachos**</w:t>
            </w:r>
          </w:p>
        </w:tc>
        <w:tc>
          <w:tcPr>
            <w:tcW w:type="dxa" w:w="4320"/>
          </w:tcPr>
          <w:p>
            <w:r>
              <w:t>Vista de tarjetas con entregas pendientes y botón de escaneo directo.</w:t>
            </w:r>
          </w:p>
        </w:tc>
      </w:tr>
      <w:tr>
        <w:tc>
          <w:tcPr>
            <w:tcW w:type="dxa" w:w="4320"/>
          </w:tcPr>
          <w:p>
            <w:r>
              <w:t>**Baja calidad**</w:t>
            </w:r>
          </w:p>
        </w:tc>
        <w:tc>
          <w:tcPr>
            <w:tcW w:type="dxa" w:w="4320"/>
          </w:tcPr>
          <w:p>
            <w:r>
              <w:t>Marca en el lote que indica material no apto para venta normal; se activa según tipo de operación.</w:t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3. Documentación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[`docs/state_stock.md`](docs/state_stock.md)</w:t>
            </w:r>
          </w:p>
        </w:tc>
        <w:tc>
          <w:tcPr>
            <w:tcW w:type="dxa" w:w="4320"/>
          </w:tcPr>
          <w:p>
            <w:r>
              <w:t>Estado técnico: modelos, campos, vistas, reglas, riesgos</w:t>
            </w:r>
          </w:p>
        </w:tc>
      </w:tr>
      <w:tr>
        <w:tc>
          <w:tcPr>
            <w:tcW w:type="dxa" w:w="4320"/>
          </w:tcPr>
          <w:p>
            <w:r>
              <w:t>[`docs/decisions.md`](docs/decisions.md)</w:t>
            </w:r>
          </w:p>
        </w:tc>
        <w:tc>
          <w:tcPr>
            <w:tcW w:type="dxa" w:w="4320"/>
          </w:tcPr>
          <w:p>
            <w:r>
              <w:t>Decisiones de arquitectura (ADR)</w:t>
            </w:r>
          </w:p>
        </w:tc>
      </w:tr>
      <w:tr>
        <w:tc>
          <w:tcPr>
            <w:tcW w:type="dxa" w:w="4320"/>
          </w:tcPr>
          <w:p>
            <w:r>
              <w:t>[`docs/changelog.md`](docs/changelog.md)</w:t>
            </w:r>
          </w:p>
        </w:tc>
        <w:tc>
          <w:tcPr>
            <w:tcW w:type="dxa" w:w="4320"/>
          </w:tcPr>
          <w:p>
            <w:r>
              <w:t>Historial de versiones y migraciones</w:t>
            </w:r>
          </w:p>
        </w:tc>
      </w:tr>
      <w:tr>
        <w:tc>
          <w:tcPr>
            <w:tcW w:type="dxa" w:w="4320"/>
          </w:tcPr>
          <w:p>
            <w:r>
              <w:t>[`docs/test_matrix.md`](docs/test_matrix.md)</w:t>
            </w:r>
          </w:p>
        </w:tc>
        <w:tc>
          <w:tcPr>
            <w:tcW w:type="dxa" w:w="4320"/>
          </w:tcPr>
          <w:p>
            <w:r>
              <w:t>Matriz de pruebas manuales</w:t>
            </w:r>
          </w:p>
        </w:tc>
      </w:tr>
    </w:tbl>
    <w:p/>
    <w:p>
      <w:pPr>
        <w:spacing w:before="120" w:after="120"/>
      </w:pPr>
    </w:p>
    <w:p>
      <w:r>
        <w:t xml:space="preserve">Documento generado a partir del análisis del código fuente de </w:t>
      </w:r>
      <w:r>
        <w:rPr>
          <w:rFonts w:ascii="Consolas" w:hAnsi="Consolas"/>
          <w:color w:val="800000"/>
          <w:sz w:val="18"/>
        </w:rPr>
        <w:t>kc_logistics_handheld</w:t>
      </w:r>
      <w:r>
        <w:t xml:space="preserve"> v18.0.1.2.1.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