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动态对话记忆管理：M4 中期报告</w:t>
      </w:r>
    </w:p>
    <w:p>
      <w:r>
        <w:t>Milestone 4 · 需求规格、系统设计、实现与初步测试</w:t>
      </w:r>
    </w:p>
    <w:p>
      <w:r>
        <w:t>队名：在阴雨天游泳　Team ID：3　日期：2026-10-23</w:t>
      </w:r>
    </w:p>
    <w:p>
      <w:r>
        <w:t>成员：莫远序、黎志丽、卓新烨、田亦洁</w:t>
      </w:r>
    </w:p>
    <w:p>
      <w:r>
        <w:t>版本：v0.6，待成员复核；实现基准：main@ffb2657。</w:t>
      </w:r>
    </w:p>
    <w:p>
      <w:pPr>
        <w:pStyle w:val="Heading1"/>
      </w:pPr>
      <w:r>
        <w:t>1 需求规格</w:t>
      </w:r>
    </w:p>
    <w:p>
      <w:r>
        <w:t>本项目开发基于 LoCoMo 长期对话的动态记忆 Web 应用。系统从原始对话提取结构化 Memory，检索与问题相关的历史，再结合时间及状态关系选择有效证据并回答。本阶段主要呈现需求规格、系统设计、已实现功能与初步测试。〔1〕 〔2〕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用户任务</w:t>
            </w:r>
          </w:p>
        </w:tc>
        <w:tc>
          <w:tcPr>
            <w:tcW w:type="dxa" w:w="2409"/>
          </w:tcPr>
          <w:p>
            <w:r>
              <w:t>核心需求与可观察结果</w:t>
            </w:r>
          </w:p>
        </w:tc>
        <w:tc>
          <w:tcPr>
            <w:tcW w:type="dxa" w:w="2409"/>
          </w:tcPr>
          <w:p>
            <w:r>
              <w:t>验收方法</w:t>
            </w:r>
          </w:p>
        </w:tc>
        <w:tc>
          <w:tcPr>
            <w:tcW w:type="dxa" w:w="2409"/>
          </w:tcPr>
          <w:p>
            <w:r>
              <w:t>当前实现与验证状态</w:t>
            </w:r>
          </w:p>
        </w:tc>
      </w:tr>
      <w:tr>
        <w:tc>
          <w:tcPr>
            <w:tcW w:type="dxa" w:w="2409"/>
          </w:tcPr>
          <w:p>
            <w:r>
              <w:t>开发者导入、构建或恢复记忆</w:t>
            </w:r>
          </w:p>
        </w:tc>
        <w:tc>
          <w:tcPr>
            <w:tcW w:type="dxa" w:w="2409"/>
          </w:tcPr>
          <w:p>
            <w:r>
              <w:t>原子记忆保留人物、时间、性质和来源；失败可重试，完整后发布</w:t>
            </w:r>
          </w:p>
        </w:tc>
        <w:tc>
          <w:tcPr>
            <w:tcW w:type="dxa" w:w="2409"/>
          </w:tcPr>
          <w:p>
            <w:r>
              <w:t>输入合法／非法数据；模拟中断，检查来源、重复产物与版本切换</w:t>
            </w:r>
          </w:p>
        </w:tc>
        <w:tc>
          <w:tcPr>
            <w:tcW w:type="dxa" w:w="2409"/>
          </w:tcPr>
          <w:p>
            <w:r>
              <w:t>已实现；工程和浏览器已有验证，真实 conv-26 Build 已发布；抽取语义未逐条独立核验</w:t>
            </w:r>
          </w:p>
        </w:tc>
      </w:tr>
      <w:tr>
        <w:tc>
          <w:tcPr>
            <w:tcW w:type="dxa" w:w="2409"/>
          </w:tcPr>
          <w:p>
            <w:r>
              <w:t>复核者检查历史与状态</w:t>
            </w:r>
          </w:p>
        </w:tc>
        <w:tc>
          <w:tcPr>
            <w:tcW w:type="dxa" w:w="2409"/>
          </w:tcPr>
          <w:p>
            <w:r>
              <w:t>旧记忆保留，关系有端点、理由与证据，当前状态可重算</w:t>
            </w:r>
          </w:p>
        </w:tc>
        <w:tc>
          <w:tcPr>
            <w:tcW w:type="dxa" w:w="2409"/>
          </w:tcPr>
          <w:p>
            <w:r>
              <w:t>对照原文检查阶段推进、替代、冲突和未知；交叉查询当前与历史</w:t>
            </w:r>
          </w:p>
        </w:tc>
        <w:tc>
          <w:tcPr>
            <w:tcW w:type="dxa" w:w="2409"/>
          </w:tcPr>
          <w:p>
            <w:r>
              <w:t>已实现；合成边界已检，10 个真实案例已有作者审阅，未独立复核</w:t>
            </w:r>
          </w:p>
        </w:tc>
      </w:tr>
      <w:tr>
        <w:tc>
          <w:tcPr>
            <w:tcW w:type="dxa" w:w="2409"/>
          </w:tcPr>
          <w:p>
            <w:r>
              <w:t>评测者查询当前或过去</w:t>
            </w:r>
          </w:p>
        </w:tc>
        <w:tc>
          <w:tcPr>
            <w:tcW w:type="dxa" w:w="2409"/>
          </w:tcPr>
          <w:p>
            <w:r>
              <w:t>混合召回、扩展历史、选择有效证据，返回答案及解释</w:t>
            </w:r>
          </w:p>
        </w:tc>
        <w:tc>
          <w:tcPr>
            <w:tcW w:type="dxa" w:w="2409"/>
          </w:tcPr>
          <w:p>
            <w:r>
              <w:t>检查初始／扩展／有效集合、截止时间、回答和引用</w:t>
            </w:r>
          </w:p>
        </w:tc>
        <w:tc>
          <w:tcPr>
            <w:tcW w:type="dxa" w:w="2409"/>
          </w:tcPr>
          <w:p>
            <w:r>
              <w:t>已实现；20 题五策略和 40 题检索已运行；留出集与独立动态准确率未评</w:t>
            </w:r>
          </w:p>
        </w:tc>
      </w:tr>
      <w:tr>
        <w:tc>
          <w:tcPr>
            <w:tcW w:type="dxa" w:w="2409"/>
          </w:tcPr>
          <w:p>
            <w:r>
              <w:t>用户补查证据不足的问题</w:t>
            </w:r>
          </w:p>
        </w:tc>
        <w:tc>
          <w:tcPr>
            <w:tcW w:type="dxa" w:w="2409"/>
          </w:tcPr>
          <w:p>
            <w:r>
              <w:t>有界原文补查；冲突与不足分别说明，不改写记忆库</w:t>
            </w:r>
          </w:p>
        </w:tc>
        <w:tc>
          <w:tcPr>
            <w:tcW w:type="dxa" w:w="2409"/>
          </w:tcPr>
          <w:p>
            <w:r>
              <w:t>检查补查来源、预算、支持保留、失败回退及 Trace</w:t>
            </w:r>
          </w:p>
        </w:tc>
        <w:tc>
          <w:tcPr>
            <w:tcW w:type="dxa" w:w="2409"/>
          </w:tcPr>
          <w:p>
            <w:r>
              <w:t>已实现；QA148 观察到补查收益，预算回退有记录；总体质量收益未证实</w:t>
            </w:r>
          </w:p>
        </w:tc>
      </w:tr>
      <w:tr>
        <w:tc>
          <w:tcPr>
            <w:tcW w:type="dxa" w:w="2409"/>
          </w:tcPr>
          <w:p>
            <w:r>
              <w:t>用户查看证据并导出 JSON</w:t>
            </w:r>
          </w:p>
        </w:tc>
        <w:tc>
          <w:tcPr>
            <w:tcW w:type="dxa" w:w="2409"/>
          </w:tcPr>
          <w:p>
            <w:r>
              <w:t>Web 展示答案、历史、Trace 与原文；导出同一完整版本</w:t>
            </w:r>
          </w:p>
        </w:tc>
        <w:tc>
          <w:tcPr>
            <w:tcW w:type="dxa" w:w="2409"/>
          </w:tcPr>
          <w:p>
            <w:r>
              <w:t>展开引用、切换已有结果并下载，检查版本一致及无新生成</w:t>
            </w:r>
          </w:p>
        </w:tc>
        <w:tc>
          <w:tcPr>
            <w:tcW w:type="dxa" w:w="2409"/>
          </w:tcPr>
          <w:p>
            <w:r>
              <w:t>已实现；工程、浏览器及真实结果回放已有验证；展示环境本轮尚未复测</w:t>
            </w:r>
          </w:p>
        </w:tc>
      </w:tr>
      <w:tr>
        <w:tc>
          <w:tcPr>
            <w:tcW w:type="dxa" w:w="2409"/>
          </w:tcPr>
          <w:p>
            <w:r>
              <w:t>评测者复现并比较策略</w:t>
            </w:r>
          </w:p>
        </w:tc>
        <w:tc>
          <w:tcPr>
            <w:tcW w:type="dxa" w:w="2409"/>
          </w:tcPr>
          <w:p>
            <w:r>
              <w:t>固定样本、版本与配置，记录分数、失败和用量</w:t>
            </w:r>
          </w:p>
        </w:tc>
        <w:tc>
          <w:tcPr>
            <w:tcW w:type="dxa" w:w="2409"/>
          </w:tcPr>
          <w:p>
            <w:r>
              <w:t>重算逐题 F1／Recall，核对请求及实际执行策略、重试与 token</w:t>
            </w:r>
          </w:p>
        </w:tc>
        <w:tc>
          <w:tcPr>
            <w:tcW w:type="dxa" w:w="2409"/>
          </w:tcPr>
          <w:p>
            <w:r>
              <w:t>已实现；conv-26 展示完成；跨对话评测与留出集测试尚未完成</w:t>
            </w:r>
          </w:p>
        </w:tc>
      </w:tr>
    </w:tbl>
    <w:p>
      <w:r>
        <w:t>仅原始 conversation 进入构建，QA 与辅助标注隔离。开发对话为 conv-26/30/41/42，本地留出为 conv-43/44；当前展示仅使用 conv-26。〔2〕 〔3〕</w:t>
      </w:r>
    </w:p>
    <w:p>
      <w:r>
        <w:br w:type="page"/>
      </w:r>
    </w:p>
    <w:p>
      <w:pPr>
        <w:pStyle w:val="Heading1"/>
      </w:pPr>
      <w:r>
        <w:t>2 系统设计</w:t>
      </w:r>
    </w:p>
    <w:p>
      <w:r>
        <w:t>应用采用 Streamlit → FastAPI → 业务模块 → SQLite／检索索引的调用路径。页面只负责交互和展示，持久化、校验及状态变更由后端统一处理。SQLite 适合课程数据规模，生成模型和 Embedding 通过适配层接入，无须独立图数据库或向量数据库。〔2〕</w:t>
      </w:r>
    </w:p>
    <w:p>
      <w:r>
        <w:drawing>
          <wp:inline xmlns:a="http://schemas.openxmlformats.org/drawingml/2006/main" xmlns:pic="http://schemas.openxmlformats.org/drawingml/2006/picture">
            <wp:extent cx="6120000" cy="19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模块架构。DeepSeek 完成抽取、关系判断、查询分析、证据解析与回答；MiniLM 生成本地向量，BM25 与 RRF 实现混合召回。</w:t>
      </w:r>
    </w:p>
    <w:p>
      <w:r>
        <w:drawing>
          <wp:inline xmlns:a="http://schemas.openxmlformats.org/drawingml/2006/main" xmlns:pic="http://schemas.openxmlformats.org/drawingml/2006/picture">
            <wp:extent cx="6120000" cy="14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-query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两条路径共享完整 Build。构建检查通过才发布并整体切换；失败保留旧完整版本。查询固定同一版本，原始问题始终参与召回，分析失败退回原问题。原文补查只读且有界，不能产生新 Memory。〔4〕</w:t>
      </w:r>
    </w:p>
    <w:p>
      <w:r>
        <w:t>一条 Memory 表达一项可独立核查的陈述，分别保存内容、人物、状态维度、时间、性质及来源。同轮可产生多条记忆，多轮也可共同支持一条；事实、计划、否定与不确定陈述分开。state_key 标识对话、实体和维度，状态值另存，同键不自动互斥。</w:t>
      </w:r>
    </w:p>
    <w:p>
      <w:r>
        <w:t>使用 MemoryRelation 保存端点、标签、理由和原文证据，区分 RETAIN、UPDATE、SUPERSEDE、CONFLICT 与未确定。保留旧记忆，才能回答过去时点的问题、追溯演化并复核判断；新证据替代当前取值，也不抹除旧事实的历史意义。时间较新不能单独证明替代。</w:t>
      </w:r>
    </w:p>
    <w:p>
      <w:r>
        <w:t>有效证据：召回只说明相关；解析还要按问题的人物、维度和时间选择适用记忆。旧、新记录可能同时有效，也可能因计划尚未发生或时间不符被排除。“现在”指对话最后会话的已知截止时间，未知日期不强行精确化。</w:t>
      </w:r>
    </w:p>
    <w:p>
      <w:r>
        <w:t>查询不修改全局状态：历史提问和本次补判是问题范围内的选择，不代表现实发生更新。结论只保存于 QueryTrace；全局关系与可重算 Current State 由构建／显式重建维护，避免答案依赖提问顺序。〔2〕 〔4〕</w:t>
      </w:r>
    </w:p>
    <w:p>
      <w:r>
        <w:br w:type="page"/>
      </w:r>
    </w:p>
    <w:p>
      <w:pPr>
        <w:pStyle w:val="Heading1"/>
      </w:pPr>
      <w:r>
        <w:t>3 已实现功能：一次真实职业探索问答</w:t>
      </w:r>
    </w:p>
    <w:p>
      <w:r>
        <w:t>案例 state-01，conv-26，Dynamic；问题：“As of the end of the conversation, what is known about Caroline's career exploration?”（截至对话结束，Caroline 的职业探索有何进展？）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历史阶段</w:t>
            </w:r>
          </w:p>
        </w:tc>
        <w:tc>
          <w:tcPr>
            <w:tcW w:type="dxa" w:w="3213"/>
          </w:tcPr>
          <w:p>
            <w:r>
              <w:t>抽取记忆及性质</w:t>
            </w:r>
          </w:p>
        </w:tc>
        <w:tc>
          <w:tcPr>
            <w:tcW w:type="dxa" w:w="3213"/>
          </w:tcPr>
          <w:p>
            <w:r>
              <w:t>可定位原文</w:t>
            </w:r>
          </w:p>
        </w:tc>
      </w:tr>
      <w:tr>
        <w:tc>
          <w:tcPr>
            <w:tcW w:type="dxa" w:w="3213"/>
          </w:tcPr>
          <w:p>
            <w:r>
              <w:t>D1:9，2023-05-08</w:t>
            </w:r>
          </w:p>
        </w:tc>
        <w:tc>
          <w:tcPr>
            <w:tcW w:type="dxa" w:w="3213"/>
          </w:tcPr>
          <w:p>
            <w:r>
              <w:t>计划了解职业选项；plan；Memory ab5f9130…</w:t>
            </w:r>
          </w:p>
        </w:tc>
        <w:tc>
          <w:tcPr>
            <w:tcW w:type="dxa" w:w="3213"/>
          </w:tcPr>
          <w:p>
            <w:r>
              <w:t>“Gonna continue my edu and check out career options”</w:t>
            </w:r>
          </w:p>
        </w:tc>
      </w:tr>
      <w:tr>
        <w:tc>
          <w:tcPr>
            <w:tcW w:type="dxa" w:w="3213"/>
          </w:tcPr>
          <w:p>
            <w:r>
              <w:t>D7:7，2023-07-12</w:t>
            </w:r>
          </w:p>
        </w:tc>
        <w:tc>
          <w:tcPr>
            <w:tcW w:type="dxa" w:w="3213"/>
          </w:tcPr>
          <w:p>
            <w:r>
              <w:t>已开始探索咨询与心理健康职业；fact；Memory 376676a7…</w:t>
            </w:r>
          </w:p>
        </w:tc>
        <w:tc>
          <w:tcPr>
            <w:tcW w:type="dxa" w:w="3213"/>
          </w:tcPr>
          <w:p>
            <w:r>
              <w:t>“I started looking into counseling and mental health career options”</w:t>
            </w:r>
          </w:p>
        </w:tc>
      </w:tr>
    </w:tbl>
    <w:p>
      <w:r>
        <w:t>关系判断：同一职业探索过程从计划推进到实际行动，记录 UPDATE（关系 581985a7…），而非把旧计划判为错误或删除。有效证据：旧、新端点均进入本次有效集合；工作坊是已发生事件，继续教育仍是计划，不推断已取得职业资格。</w:t>
      </w:r>
    </w:p>
    <w:p>
      <w:r>
        <w:t>答案节选：“Caroline is exploring a career in counseling and mental health …”；回答还说明其兴趣、工作坊及继续教育计划，引用包含 D1:9、D7:7 等原文。历史、关系、有效集合和完整答案均可通过本案例机器记录复核，完整原文与解析见证据包。</w:t>
      </w:r>
    </w:p>
    <w:p>
      <w:r>
        <w:drawing>
          <wp:inline xmlns:a="http://schemas.openxmlformats.org/drawingml/2006/main" xmlns:pic="http://schemas.openxmlformats.org/drawingml/2006/picture">
            <wp:extent cx="6120000" cy="2239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-and-effective-memory.png"/>
                    <pic:cNvPicPr/>
                  </pic:nvPicPr>
                  <pic:blipFill>
                    <a:blip r:embed="rId11"/>
                    <a:srcRect l="5556" t="48636" r="37500" b="2409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 职业探索问答页面局部：保存 Trace 的只读回放，显示证据支持状态和答案；完整截图。</w:t>
      </w:r>
    </w:p>
    <w:p>
      <w:r>
        <w:t>Trace：fb0b30cf8e254441be9d4830319b1634。演示视频：未录制，文件名与案例时间段待补。运行入口为 FastAPI＋Streamlit（WSL、Python 3.12、uv），启动命令见〔4〕。</w:t>
      </w:r>
    </w:p>
    <w:p>
      <w:r>
        <w:br w:type="page"/>
      </w:r>
    </w:p>
    <w:p>
      <w:pPr>
        <w:pStyle w:val="Heading1"/>
      </w:pPr>
      <w:r>
        <w:t>4 初步测试与真实展示结果</w:t>
      </w:r>
    </w:p>
    <w:p>
      <w:r>
        <w:t>展示验证：2026-10-21，conv-26 开发对话，完整 Build 5c7699dd…（272 条 Memory、4,902 条关系），配置和指纹见 plan.json。生成模型为 deepseek-flash，MiniLM revision 与各阶段设置固定，复用同一 Build。〔3〕 〔5〕</w:t>
      </w:r>
    </w:p>
    <w:p>
      <w:r>
        <w:t>工程验证：已有非 live 回归 405 passed、4 skipped，覆盖导入、恢复、版本、检索、查询和导出；展示前相关测试 24 passed，真实 MiniLM 检查 3 passed。受控浏览器覆盖当前／历史／冲突／不足及评测页面，退出 0；真实 Trace 回放 5 项通过，页面和控制台错误为 0。〔5〕 〔6〕</w:t>
      </w:r>
    </w:p>
    <w:p>
      <w:r>
        <w:t>问答样本按五个类别各预选 4 题，同题运行五策略，共 100 项，各策略均成功 20/20。F1 按既有官方类别分支计算，仅汇总类别 1–4 的 16 题；类别 5 的 4 题在表后单列。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策略</w:t>
            </w:r>
          </w:p>
        </w:tc>
        <w:tc>
          <w:tcPr>
            <w:tcW w:type="dxa" w:w="2409"/>
          </w:tcPr>
          <w:p>
            <w:r>
              <w:t>类别 1–4 F1</w:t>
            </w:r>
          </w:p>
        </w:tc>
        <w:tc>
          <w:tcPr>
            <w:tcW w:type="dxa" w:w="2409"/>
          </w:tcPr>
          <w:p>
            <w:r>
              <w:t>输入 tokens／20 题</w:t>
            </w:r>
          </w:p>
        </w:tc>
        <w:tc>
          <w:tcPr>
            <w:tcW w:type="dxa" w:w="2409"/>
          </w:tcPr>
          <w:p>
            <w:r>
              <w:t>输出 tokens／20 题</w:t>
            </w:r>
          </w:p>
        </w:tc>
      </w:tr>
      <w:tr>
        <w:tc>
          <w:tcPr>
            <w:tcW w:type="dxa" w:w="2409"/>
          </w:tcPr>
          <w:p>
            <w:r>
              <w:t>Full Text（完整原始对话）</w:t>
            </w:r>
          </w:p>
        </w:tc>
        <w:tc>
          <w:tcPr>
            <w:tcW w:type="dxa" w:w="2409"/>
          </w:tcPr>
          <w:p>
            <w:r>
              <w:t>0.3490</w:t>
            </w:r>
          </w:p>
        </w:tc>
        <w:tc>
          <w:tcPr>
            <w:tcW w:type="dxa" w:w="2409"/>
          </w:tcPr>
          <w:p>
            <w:r>
              <w:t>1,270,393</w:t>
            </w:r>
          </w:p>
        </w:tc>
        <w:tc>
          <w:tcPr>
            <w:tcW w:type="dxa" w:w="2409"/>
          </w:tcPr>
          <w:p>
            <w:r>
              <w:t>2,558</w:t>
            </w:r>
          </w:p>
        </w:tc>
      </w:tr>
      <w:tr>
        <w:tc>
          <w:tcPr>
            <w:tcW w:type="dxa" w:w="2409"/>
          </w:tcPr>
          <w:p>
            <w:r>
              <w:t>Vector RAG</w:t>
            </w:r>
          </w:p>
        </w:tc>
        <w:tc>
          <w:tcPr>
            <w:tcW w:type="dxa" w:w="2409"/>
          </w:tcPr>
          <w:p>
            <w:r>
              <w:t>0.4911</w:t>
            </w:r>
          </w:p>
        </w:tc>
        <w:tc>
          <w:tcPr>
            <w:tcW w:type="dxa" w:w="2409"/>
          </w:tcPr>
          <w:p>
            <w:r>
              <w:t>159,789</w:t>
            </w:r>
          </w:p>
        </w:tc>
        <w:tc>
          <w:tcPr>
            <w:tcW w:type="dxa" w:w="2409"/>
          </w:tcPr>
          <w:p>
            <w:r>
              <w:t>3,567</w:t>
            </w:r>
          </w:p>
        </w:tc>
      </w:tr>
      <w:tr>
        <w:tc>
          <w:tcPr>
            <w:tcW w:type="dxa" w:w="2409"/>
          </w:tcPr>
          <w:p>
            <w:r>
              <w:t>Hybrid（无有效证据解析）</w:t>
            </w:r>
          </w:p>
        </w:tc>
        <w:tc>
          <w:tcPr>
            <w:tcW w:type="dxa" w:w="2409"/>
          </w:tcPr>
          <w:p>
            <w:r>
              <w:t>0.5124</w:t>
            </w:r>
          </w:p>
        </w:tc>
        <w:tc>
          <w:tcPr>
            <w:tcW w:type="dxa" w:w="2409"/>
          </w:tcPr>
          <w:p>
            <w:r>
              <w:t>168,978</w:t>
            </w:r>
          </w:p>
        </w:tc>
        <w:tc>
          <w:tcPr>
            <w:tcW w:type="dxa" w:w="2409"/>
          </w:tcPr>
          <w:p>
            <w:r>
              <w:t>3,473</w:t>
            </w:r>
          </w:p>
        </w:tc>
      </w:tr>
      <w:tr>
        <w:tc>
          <w:tcPr>
            <w:tcW w:type="dxa" w:w="2409"/>
          </w:tcPr>
          <w:p>
            <w:r>
              <w:t>Dynamic</w:t>
            </w:r>
          </w:p>
        </w:tc>
        <w:tc>
          <w:tcPr>
            <w:tcW w:type="dxa" w:w="2409"/>
          </w:tcPr>
          <w:p>
            <w:r>
              <w:t>0.5100</w:t>
            </w:r>
          </w:p>
        </w:tc>
        <w:tc>
          <w:tcPr>
            <w:tcW w:type="dxa" w:w="2409"/>
          </w:tcPr>
          <w:p>
            <w:r>
              <w:t>1,477,136</w:t>
            </w:r>
          </w:p>
        </w:tc>
        <w:tc>
          <w:tcPr>
            <w:tcW w:type="dxa" w:w="2409"/>
          </w:tcPr>
          <w:p>
            <w:r>
              <w:t>112,169</w:t>
            </w:r>
          </w:p>
        </w:tc>
      </w:tr>
      <w:tr>
        <w:tc>
          <w:tcPr>
            <w:tcW w:type="dxa" w:w="2409"/>
          </w:tcPr>
          <w:p>
            <w:r>
              <w:t>Dynamic + 原文兜底</w:t>
            </w:r>
          </w:p>
        </w:tc>
        <w:tc>
          <w:tcPr>
            <w:tcW w:type="dxa" w:w="2409"/>
          </w:tcPr>
          <w:p>
            <w:r>
              <w:t>0.3997</w:t>
            </w:r>
          </w:p>
        </w:tc>
        <w:tc>
          <w:tcPr>
            <w:tcW w:type="dxa" w:w="2409"/>
          </w:tcPr>
          <w:p>
            <w:r>
              <w:t>341,097</w:t>
            </w:r>
          </w:p>
        </w:tc>
        <w:tc>
          <w:tcPr>
            <w:tcW w:type="dxa" w:w="2409"/>
          </w:tcPr>
          <w:p>
            <w:r>
              <w:t>75,900</w:t>
            </w:r>
          </w:p>
        </w:tc>
      </w:tr>
    </w:tbl>
    <w:p>
      <w:r>
        <w:t>类别 5 单列：4 题，各策略按既有拒答规则匹配均为 4/4，不并入 F1。token 为各策略 20 题全部查询尝试的提供方用量，含失败、重试和各阶段，不含复用 Build 的构建。Full Text 输入完整对话，RAG 采用各自证据预算。</w:t>
      </w:r>
    </w:p>
    <w:p>
      <w:r>
        <w:t>Dynamic 有 2 题实际触发结构化失败后的原文备用路径，结果按请求策略汇总，并保留实际执行策略；该组不是关闭备用路径的纯动态消融。</w:t>
      </w:r>
    </w:p>
    <w:p>
      <w:r>
        <w:t>另完成 40 题证据检索检查：K 计初始 Memory 排名数，覆盖计映射后去重的 gold Source Turn，逐题算覆盖再平均。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K</w:t>
            </w:r>
          </w:p>
        </w:tc>
        <w:tc>
          <w:tcPr>
            <w:tcW w:type="dxa" w:w="2409"/>
          </w:tcPr>
          <w:p>
            <w:r>
              <w:t>初始 RRF</w:t>
            </w:r>
          </w:p>
        </w:tc>
        <w:tc>
          <w:tcPr>
            <w:tcW w:type="dxa" w:w="2409"/>
          </w:tcPr>
          <w:p>
            <w:r>
              <w:t>Dense 通道诊断</w:t>
            </w:r>
          </w:p>
        </w:tc>
        <w:tc>
          <w:tcPr>
            <w:tcW w:type="dxa" w:w="2409"/>
          </w:tcPr>
          <w:p>
            <w:r>
              <w:t>BM25 通道诊断</w:t>
            </w:r>
          </w:p>
        </w:tc>
      </w:tr>
      <w:tr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64.17%</w:t>
            </w:r>
          </w:p>
        </w:tc>
        <w:tc>
          <w:tcPr>
            <w:tcW w:type="dxa" w:w="2409"/>
          </w:tcPr>
          <w:p>
            <w:r>
              <w:t>62.92%</w:t>
            </w:r>
          </w:p>
        </w:tc>
        <w:tc>
          <w:tcPr>
            <w:tcW w:type="dxa" w:w="2409"/>
          </w:tcPr>
          <w:p>
            <w:r>
              <w:t>57.08%</w:t>
            </w:r>
          </w:p>
        </w:tc>
      </w:tr>
      <w:tr>
        <w:tc>
          <w:tcPr>
            <w:tcW w:type="dxa" w:w="2409"/>
          </w:tcPr>
          <w:p>
            <w:r>
              <w:t>10</w:t>
            </w:r>
          </w:p>
        </w:tc>
        <w:tc>
          <w:tcPr>
            <w:tcW w:type="dxa" w:w="2409"/>
          </w:tcPr>
          <w:p>
            <w:r>
              <w:t>72.92%</w:t>
            </w:r>
          </w:p>
        </w:tc>
        <w:tc>
          <w:tcPr>
            <w:tcW w:type="dxa" w:w="2409"/>
          </w:tcPr>
          <w:p>
            <w:r>
              <w:t>74.17%</w:t>
            </w:r>
          </w:p>
        </w:tc>
        <w:tc>
          <w:tcPr>
            <w:tcW w:type="dxa" w:w="2409"/>
          </w:tcPr>
          <w:p>
            <w:r>
              <w:t>63.33%</w:t>
            </w:r>
          </w:p>
        </w:tc>
      </w:tr>
      <w:tr>
        <w:tc>
          <w:tcPr>
            <w:tcW w:type="dxa" w:w="2409"/>
          </w:tcPr>
          <w:p>
            <w:r>
              <w:t>20</w:t>
            </w:r>
          </w:p>
        </w:tc>
        <w:tc>
          <w:tcPr>
            <w:tcW w:type="dxa" w:w="2409"/>
          </w:tcPr>
          <w:p>
            <w:r>
              <w:t>77.92%</w:t>
            </w:r>
          </w:p>
        </w:tc>
        <w:tc>
          <w:tcPr>
            <w:tcW w:type="dxa" w:w="2409"/>
          </w:tcPr>
          <w:p>
            <w:r>
              <w:t>79.17%</w:t>
            </w:r>
          </w:p>
        </w:tc>
        <w:tc>
          <w:tcPr>
            <w:tcW w:type="dxa" w:w="2409"/>
          </w:tcPr>
          <w:p>
            <w:r>
              <w:t>66.67%</w:t>
            </w:r>
          </w:p>
        </w:tc>
      </w:tr>
    </w:tbl>
    <w:p>
      <w:r>
        <w:t>结果分析：Hybrid F1 为 0.5124，Dynamic 为 0.5100；同组查询总 token 分别为 172,451 和 1,589,305，Dynamic 约为 Hybrid 的 9.2 倍。本轮未观察到 Dynamic 的整体优势，需要进一步核查状态变化问题上的收益和额外开销。原文兜底也未总体胜出。</w:t>
      </w:r>
    </w:p>
    <w:p>
      <w:r>
        <w:t>当前真实 Build 尚无 SUPERSEDE／CONFLICT，两类真实关系质量未评；合成冲突仅验证处理流程。10 个动态案例作者审阅为 9 条正确、1 条部分支持，存储关系另有 2 处语义异议，未独立复核。单对话单轮展示不能代表跨对话或留出集表现。〔5〕 〔7〕</w:t>
      </w:r>
    </w:p>
    <w:p>
      <w:r>
        <w:br w:type="page"/>
      </w:r>
    </w:p>
    <w:p>
      <w:pPr>
        <w:pStyle w:val="Heading1"/>
      </w:pPr>
      <w:r>
        <w:t>5 问题、后续安排与证据索引</w:t>
      </w:r>
    </w:p>
    <w:p>
      <w:pPr>
        <w:pStyle w:val="Heading2"/>
      </w:pPr>
      <w:r>
        <w:t>5.1 两个需要处理的真实案例</w:t>
      </w:r>
    </w:p>
    <w:p>
      <w:r>
        <w:t>QA51：枚举画作时遗漏 sunrise，部分分组超出明确文本。已确认答案覆盖不全；遗漏发生在抽取、召回、有效证据选择还是生成，尚待定位。下一步对照 gold 原文、初始／扩展／有效集合及答案，确定缺失阶段后修正，并用固定题复核。〔5〕</w:t>
      </w:r>
    </w:p>
    <w:p>
      <w:r>
        <w:t>state-02：回答把“现有对话未报告完成收养”表达为“确定尚未完成”。已确认结论强于证据，具体引入阶段待查。下一步对照 Trace 定位越界处，校正证据不足与否定事实的表达边界，并加入有／无明确完成证据的成对检查。〔7〕</w:t>
      </w:r>
    </w:p>
    <w:p>
      <w:pPr>
        <w:pStyle w:val="Heading2"/>
      </w:pPr>
      <w:r>
        <w:t>5.2 尚未完成的评价与下一步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未完成项</w:t>
            </w:r>
          </w:p>
        </w:tc>
        <w:tc>
          <w:tcPr>
            <w:tcW w:type="dxa" w:w="4819"/>
          </w:tcPr>
          <w:p>
            <w:r>
              <w:t>下一步与证据</w:t>
            </w:r>
          </w:p>
        </w:tc>
      </w:tr>
      <w:tr>
        <w:tc>
          <w:tcPr>
            <w:tcW w:type="dxa" w:w="4819"/>
          </w:tcPr>
          <w:p>
            <w:r>
              <w:t>留出集测试</w:t>
            </w:r>
          </w:p>
        </w:tc>
        <w:tc>
          <w:tcPr>
            <w:tcW w:type="dxa" w:w="4819"/>
          </w:tcPr>
          <w:p>
            <w:r>
              <w:t>尚未完成；冻结实现、题单和预算后，在 conv-43/44 测试并单列结果，不用留出成绩调参</w:t>
            </w:r>
          </w:p>
        </w:tc>
      </w:tr>
      <w:tr>
        <w:tc>
          <w:tcPr>
            <w:tcW w:type="dxa" w:w="4819"/>
          </w:tcPr>
          <w:p>
            <w:r>
              <w:t>跨对话评测</w:t>
            </w:r>
          </w:p>
        </w:tc>
        <w:tc>
          <w:tcPr>
            <w:tcW w:type="dxa" w:w="4819"/>
          </w:tcPr>
          <w:p>
            <w:r>
              <w:t>尚未完成；先在 conv-30/41/42 固定少量同类状态问题，按对话比较回答、证据覆盖与 token</w:t>
            </w:r>
          </w:p>
        </w:tc>
      </w:tr>
      <w:tr>
        <w:tc>
          <w:tcPr>
            <w:tcW w:type="dxa" w:w="4819"/>
          </w:tcPr>
          <w:p>
            <w:r>
              <w:t>独立动态质量评价</w:t>
            </w:r>
          </w:p>
        </w:tc>
        <w:tc>
          <w:tcPr>
            <w:tcW w:type="dxa" w:w="4819"/>
          </w:tcPr>
          <w:p>
            <w:r>
              <w:t>未独立复核；需取得独立核查的关系与有效证据判断，再评价状态变化子集；优先保留并核查现有异议</w:t>
            </w:r>
          </w:p>
        </w:tc>
      </w:tr>
    </w:tbl>
    <w:p>
      <w:r>
        <w:t>下一阶段先完成现有失败案例定位，再按固定范围逐步推进上述评价。中期报告呈现当前成果与初步结果。</w:t>
      </w:r>
    </w:p>
    <w:p>
      <w:pPr>
        <w:pStyle w:val="Heading2"/>
      </w:pPr>
      <w:r>
        <w:t>5.3 依据与结果索引</w:t>
      </w:r>
    </w:p>
    <w:p>
      <w:r>
        <w:t>〔1〕 M3 需求规格说明书 v0.3（2026-10-22，待团队复核）；Issue #4 实现规格历史副本供参考。</w:t>
      </w:r>
    </w:p>
    <w:p>
      <w:r>
        <w:t>〔2〕 ADR 0001 架构、ADR 0002 最新评测范围。</w:t>
      </w:r>
    </w:p>
    <w:p>
      <w:r>
        <w:t>〔3〕 原始数据、展示固定计划。</w:t>
      </w:r>
    </w:p>
    <w:p>
      <w:r>
        <w:t>〔4〕 运行指南、构建与版本、有效证据问答。</w:t>
      </w:r>
    </w:p>
    <w:p>
      <w:r>
        <w:t>〔5〕 展示分析与真实页面截图、逐题指标、最终审计。</w:t>
      </w:r>
    </w:p>
    <w:p>
      <w:r>
        <w:t>〔6〕 合并前验证、早期 MiniLM 检查。</w:t>
      </w:r>
    </w:p>
    <w:p>
      <w:r>
        <w:t>〔7〕 动态案例及已有异议、关系与有效证据记录。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动态对话记忆管理：M4 中期报告</dc:title>
  <dc:subject/>
  <dc:creator>在阴雨天游泳项目组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