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 w:cs="Noto Sans CJK SC"/>
          <w:b/>
          <w:color w:val="000000"/>
          <w:sz w:val="42"/>
        </w:rPr>
        <w:t>动态对话记忆管理项目提案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Milestone 2 · Vision and Scope &amp; Feature Roadmap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队名：在阴雨天游泳　Team ID：3　日期：2026-10-06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成员：莫远序、黎志丽、卓新烨、田亦洁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1 问题与项目愿景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跨会话助手需要记住用户事实，也需要处理事实的变化。LangChain 官方文档采用可更新的 JSON 档案或记忆集合，并指出更新可能丢失信息或过度覆盖 [1]。Zep 官方示例中，Kendra 因 Adidas 鞋损坏转而喜欢 Puma，系统尝试将旧偏好标为失效并保存新事实 [2]。这是已有产品的文档示例，不是本组的用户调查。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本项目聚焦一个可检验的问题：检索到相关历史后，怎样判断它是否适用于问题所指的时间？我们计划开发基于课程 LoCoMo 数据的 Web 应用，提取带人物、时间和来源的结构化 Memory，保留历史与状态关系，维护 Current State；提问时结合关键词、语义和结构化条件找候选，再选择有效证据。用户可以查看原始轮次及状态判断过程。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我们的价值是把记录、检索和状态选择连成可核查的课程系统。宏观方法参考已有实践，效果由后续对照实验检验。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2 使用者与主要功能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主要使用者为项目开发与评测人员，以及检查系统的教师和助教。基本操作为导入对话、构建并浏览记忆、输入问题、核查回答及证据、导出 JSON。一次构建的 Memory 可保存并供多次提问复用。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030"/>
      </w:tblGrid>
      <w:tr>
        <w:trPr>
          <w:cantSplit/>
          <w:tblHeader/>
        </w:trPr>
        <w:tc>
          <w:tcPr>
            <w:tcW w:type="dxa" w:w="238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功能</w:t>
            </w:r>
          </w:p>
        </w:tc>
        <w:tc>
          <w:tcPr>
            <w:tcW w:type="dxa" w:w="7030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可检查的完成依据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F01 对话导入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读取课程指定对话，保留人物、会话、轮次和时间来源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F02 记忆构建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重要事实和事件形成结构化 Memory，能够定位原始证据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F03 历史与状态维护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保留旧 Memory，记录状态关系，维护 Current State 并保存复用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F04 混合检索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结合 BM25、Vector 与 Entity/Time 条件，返回可追溯候选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F05 有效记忆选择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按问题时间选择证据，展示未消解冲突与证据不足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F06 回答与 Web 展示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展示回答、相关历史、采用证据和状态解析过程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F07 JSON 导出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导出可与界面及来源记录对应的结构化 Memory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F08 测试与对照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记录课程指标、对照配置和失败案例，支持复现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3 首版范围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首版覆盖上述链路。图谱、多跳、合并压缩、复杂冲突消解与自适应检索为候选扩展，不承诺公众账户、外部搜索或图片理解。M2 确定宏观方法及路线，数据库、接口与 Prompt 留待 M3；尚无运行及效果结论。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4 总体架构与职责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方案由 Memory Construction、Memory Repository、Hybrid Retrieval、State Resolution 和 Answer / Evidence 展示构成。记录流程维护可复用的历史，查询流程根据问题选择有效证据。两条流程通过同一记忆仓库衔接。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863793"/>
            <wp:docPr id="1" name="Picture 1" descr="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86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图 1 简化总体架构。箭头表示数据与证据流向，图中各块是宏观职责，不限定内部代码结构。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030"/>
      </w:tblGrid>
      <w:tr>
        <w:trPr>
          <w:cantSplit/>
          <w:tblHeader/>
        </w:trPr>
        <w:tc>
          <w:tcPr>
            <w:tcW w:type="dxa" w:w="238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宏观部分</w:t>
            </w:r>
          </w:p>
        </w:tc>
        <w:tc>
          <w:tcPr>
            <w:tcW w:type="dxa" w:w="7030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职责与产出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Memory Construction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抽取事实和事件，整理人物与时间，校验来源，产出结构化 Memory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Memory Repository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保存历史、来源及关系，维护 Current State，供检索与核查复用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Hybrid Retrieval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理解问题的对象与时间，合并关键词、向量及结构化条件找到的候选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State Resolution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结合历史、关系及问题时间，选择有效 Memory 或说明不确定性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Answer 与证据展示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根据有效证据回答，在 Web 中展示原文、历史及选择过程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Current State 是依据历史及状态关系整理的当前状态摘要，可能包含未消解冲突。它帮助理解当前问题，但不能替代历史记录，也不能成为所有问题的固定答案来源。一次查询的选择不永久覆盖全局历史。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全组已确认此宏观路线。采用大模型辅助抽取与语义理解，规则负责可核查的字段、来源和明确时间；具体技术栈不在 M2 锁定。图谱扩展不属于核心架构实施前提。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5 记忆记录与检索流程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记录流程先提取 Memory 并保存来源，再与相关历史比较，维护关系和 Current State。查询流程先找相关 Memory，再按问题与时间条件判断哪些证据有效。状态变化不意味着历史事实被删除。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430483"/>
            <wp:docPr id="2" name="Picture 2" descr="记忆记录与检索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rding-retrieval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3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Noto Sans CJK SC" w:hAnsi="Noto Sans CJK SC" w:eastAsia="Noto Sans CJK SC" w:cs="Noto Sans CJK SC"/>
          <w:color w:val="000000"/>
          <w:sz w:val="18"/>
        </w:rPr>
        <w:t>图 2 Memory Recording / Retrieval。检索后的状态解析区分“与问题有关”与“适用于问题时间”。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030"/>
      </w:tblGrid>
      <w:tr>
        <w:trPr>
          <w:cantSplit/>
          <w:tblHeader/>
        </w:trPr>
        <w:tc>
          <w:tcPr>
            <w:tcW w:type="dxa" w:w="238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验收场景</w:t>
            </w:r>
          </w:p>
        </w:tc>
        <w:tc>
          <w:tcPr>
            <w:tcW w:type="dxa" w:w="7030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预期行为与检查方法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当前状态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“先住 A，后来搬到 B”；问现在住哪里，采用搬家后证据，旧来源仍可查看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历史状态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对相同历史问搬家前住哪里，采用旧证据，不套用 Current State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未消解冲突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两条同一时间条件下的状态证据互相矛盾，展示双方来源和不确定性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证据不足与导出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无充分证据时说明不足；导出的 Memory 能定位原始轮次并与界面对应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RETAIN 表示继续保留可用记忆；UPDATE / SUPERSEDE 描述推进或替代关系；CONFLICT 表示证据尚不足以消解矛盾。UPDATE 与 SUPERSEDE 的精确标签边界按课程标注和评测口径核实。时间更新本身不足以证明一条记录应被替代。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6 现实方案与方法选择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调研一手文档后，我们保留已确认的结构化 Memory 与 Hybrid Retrieval 路线。现成系统提供了实现依据，也暴露出需要验证的限制。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030"/>
      </w:tblGrid>
      <w:tr>
        <w:trPr>
          <w:cantSplit/>
          <w:tblHeader/>
        </w:trPr>
        <w:tc>
          <w:tcPr>
            <w:tcW w:type="dxa" w:w="238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已有实践</w:t>
            </w:r>
          </w:p>
        </w:tc>
        <w:tc>
          <w:tcPr>
            <w:tcW w:type="dxa" w:w="7030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对首版方案的启示与限制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LangChain 的 JSON 档案与记忆集合 [1]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结构化记忆可跨会话保存；官方提示过度新增、过度更新及上下文丢失风险，抽取结果必须保留来源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Zep / Graphiti 的时间事实 [2]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事实可有有效时间并随新信息失效，支持历史查询；时间字段不能证明事实为真，图谱本身增加工作量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Elasticsearch 的混合检索 [3]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官方支持 BM25 与向量结果融合，证明此检索组合已有实现；相关排名仍不等于状态有效性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首版采用结构化历史与 Current State，检索后依据问题时间选证据。单纯时间优先难以回答历史问题，单一向量检索保留为对照；图谱与多跳列为扩展。上表是机制参考，不承诺采用这些产品，也不声称本组方案优于它们。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大模型辅助抽取和语义理解，规则核查字段、来源及可明确换算的时间。无法确定的人物、时间与冲突保留不确定性。混合候选先合并去重，再判断状态；Entity/Time 策略在开发集验证，避免过早删掉变化前的证据。融合算法、数据库与 Prompt 留待 M3。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7 数据与评测计划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LoCoMo 由 LLM 生成对话后经人工核验编辑，论文明确承认它不能完全反映真实交流 [4]。课程指定 6 段对话，4 开发、2 独立测试，划分以课程通知为准。测试集不用于调参，QA 答案只供评价。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LongMemEval 将知识更新、时间推理与无法回答时拒答列为评价能力 [5]。因此，本项目除课程指标外，记录当前、历史、冲突和证据不足案例；案例检查不等于新增标准基准，也不能外推成真实用户效果。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030"/>
      </w:tblGrid>
      <w:tr>
        <w:trPr>
          <w:cantSplit/>
          <w:tblHeader/>
        </w:trPr>
        <w:tc>
          <w:tcPr>
            <w:tcW w:type="dxa" w:w="238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检查项</w:t>
            </w:r>
          </w:p>
        </w:tc>
        <w:tc>
          <w:tcPr>
            <w:tcW w:type="dxa" w:w="7030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计划与计算边界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回答质量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回答 F1，按课程脚本及答案规范化口径计算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证据覆盖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Recall@K，核对 Memory 到原始轮次映射及 K 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状态判断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核对课程关系、有效记忆标注、评价单位与准确率口径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完整性与成本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检查核心链路及异常，记录模型调用、耗时与 token 用量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对照使用 Full Text 和不做状态判断的 Vector RAG；另关闭本项目状态判断，检查其单独影响。尽量固定模型、生成配置与证据预算，记录输入截断及额外调用。当前不预设提升比例，实验结论限于指定数据与设置。</w:t>
      </w: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8 功能路线与团队安排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各阶段安排首轮、优化、验收与缓冲。M3/M4 重叠，共享团队投入，按已明确的需求逐步实施；下表为计划。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4309"/>
        <w:gridCol w:w="3061"/>
      </w:tblGrid>
      <w:tr>
        <w:trPr>
          <w:cantSplit/>
          <w:tblHeader/>
        </w:trPr>
        <w:tc>
          <w:tcPr>
            <w:tcW w:type="dxa" w:w="204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阶段与时间</w:t>
            </w:r>
          </w:p>
        </w:tc>
        <w:tc>
          <w:tcPr>
            <w:tcW w:type="dxa" w:w="4309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功能与主要产物</w:t>
            </w:r>
          </w:p>
        </w:tc>
        <w:tc>
          <w:tcPr>
            <w:tcW w:type="dxa" w:w="306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9"/>
              </w:rPr>
              <w:t>三轮与缓冲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M2 提案，10/5–10/10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明确问题、范围、宏观方法、流程、评测计划与路线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 10/5–6；优化 10/7；验收 10/8；缓冲 10/9–10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M3 需求，10/11–10/24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功能、数据、异常、接口边界及可检查验收场景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 10/11–15；优化 10/16–19；验收 10/20–21；缓冲 10/22–24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M4 中期，10/11–10/24</w:t>
            </w:r>
          </w:p>
        </w:tc>
        <w:tc>
          <w:tcPr>
            <w:tcW w:type="dxa" w:w="4309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实现导入、Memory、检索、状态选择和 Web 核心链路，提供真实初步测试</w:t>
            </w:r>
          </w:p>
        </w:tc>
        <w:tc>
          <w:tcPr>
            <w:tcW w:type="dxa" w:w="306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 10/11–17；优化 10/18–19；验收 10/20–21；缓冲 10/22–24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M5 最终，10/25–11/9</w:t>
            </w:r>
          </w:p>
        </w:tc>
        <w:tc>
          <w:tcPr>
            <w:tcW w:type="dxa" w:w="4309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完整系统、JSON、对照实验、失败分析及可复现交付</w:t>
            </w:r>
          </w:p>
        </w:tc>
        <w:tc>
          <w:tcPr>
            <w:tcW w:type="dxa" w:w="306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19"/>
              </w:rPr>
              <w:t>首轮 10/25–11/1；优化 11/2–4；验收 11/5–6；缓冲 11/7–9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日期均为 2026 年。课件截止时间为 M1/M2 10 月 10 日 24:00、M3/M4 10 月 24 日 24:00、M5 11 月 9 日 24:00，实际展示场次与提交口径另按课程通知核对。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030"/>
      </w:tblGrid>
      <w:tr>
        <w:trPr>
          <w:cantSplit/>
          <w:tblHeader/>
        </w:trPr>
        <w:tc>
          <w:tcPr>
            <w:tcW w:type="dxa" w:w="2381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成员</w:t>
            </w:r>
          </w:p>
        </w:tc>
        <w:tc>
          <w:tcPr>
            <w:tcW w:type="dxa" w:w="7030"/>
            <w:vAlign w:val="center"/>
            <w:shd w:fill="E7EDF4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20"/>
              </w:rPr>
              <w:t>模块职责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莫远序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管理、整体设计、动态状态判断与集成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黎志丽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对话导入、记忆构建与 JSON 导出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卓新烨</w:t>
            </w:r>
          </w:p>
        </w:tc>
        <w:tc>
          <w:tcPr>
            <w:tcW w:type="dxa" w:w="7030"/>
            <w:vAlign w:val="center"/>
            <w:shd w:fill="FFFFFF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检索、证据追踪与对照实验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田亦洁</w:t>
            </w:r>
          </w:p>
        </w:tc>
        <w:tc>
          <w:tcPr>
            <w:tcW w:type="dxa" w:w="7030"/>
            <w:vAlign w:val="center"/>
            <w:shd w:fill="F6F8FA"/>
            <w:tcMar>
              <w:top w:w="65" w:type="dxa"/>
              <w:bottom w:w="65" w:type="dxa"/>
              <w:left w:w="95" w:type="dxa"/>
              <w:right w:w="95" w:type="dxa"/>
            </w:tcMar>
          </w:tcPr>
          <w:p>
            <w:pPr>
              <w:spacing w:after="0" w:before="0" w:line="259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000000"/>
                <w:sz w:val="20"/>
              </w:rPr>
              <w:t>Web 交互、证据展示与端到端验收</w:t>
            </w:r>
          </w:p>
        </w:tc>
      </w:tr>
    </w:tbl>
    <w:p>
      <w:pPr>
        <w:spacing w:after="20" w:before="0" w:line="40" w:lineRule="exact"/>
      </w:pPr>
      <w:r>
        <w:rPr>
          <w:sz w:val="4"/>
        </w:rPr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M2 正文由卓新烨负责、莫远序复核；过程材料由黎志丽整理、田亦洁检查。Notion 维护实时任务，GitHub 保存版本与阶段材料，微信沟通并每周短会；材料制作不代替成员复核。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9 风险与待落实事项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抽取与时间判断可能出错，保留原文核查；检索可能漏掉旧证据，用开发集检查召回；状态策略可停用，历史继续保留。公开文档支持可行性，尚无本组用户访谈与系统效果数据。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模型平台、model ID、参数与预算，以及课程数据和评测口径待核实。按共同样例分阶段集成，扩展不挤占必做链路。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b/>
          <w:color w:val="000000"/>
          <w:sz w:val="26"/>
        </w:rPr>
        <w:t>10 参考依据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2"/>
        </w:rPr>
        <w:t>课程课件第 4、9–13 页及 M1 Team Workflow 确定交付、评测与分工。以下一手资料访问于 2026-10-06；完整调研与采用理由存入过程包。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18"/>
        </w:rPr>
        <w:t xml:space="preserve">[1] LangChain. </w:t>
      </w:r>
      <w:hyperlink r:id="rId13">
        <w:r>
          <w:rPr>
            <w:rFonts w:ascii="Noto Sans CJK SC" w:hAnsi="Noto Sans CJK SC" w:eastAsia="Noto Sans CJK SC" w:cs="Noto Sans CJK SC"/>
            <w:color w:val="000000"/>
            <w:sz w:val="18"/>
          </w:rPr>
          <w:t>Memory overview</w:t>
        </w:r>
      </w:hyperlink>
      <w:r>
        <w:rPr>
          <w:rFonts w:ascii="Noto Sans CJK SC" w:hAnsi="Noto Sans CJK SC" w:eastAsia="Noto Sans CJK SC" w:cs="Noto Sans CJK SC"/>
          <w:color w:val="000000"/>
          <w:sz w:val="18"/>
        </w:rPr>
        <w:t>.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18"/>
        </w:rPr>
        <w:t xml:space="preserve">[2] Zep. </w:t>
      </w:r>
      <w:hyperlink r:id="rId14">
        <w:r>
          <w:rPr>
            <w:rFonts w:ascii="Noto Sans CJK SC" w:hAnsi="Noto Sans CJK SC" w:eastAsia="Noto Sans CJK SC" w:cs="Noto Sans CJK SC"/>
            <w:color w:val="000000"/>
            <w:sz w:val="18"/>
          </w:rPr>
          <w:t>Facts</w:t>
        </w:r>
      </w:hyperlink>
      <w:r>
        <w:rPr>
          <w:rFonts w:ascii="Noto Sans CJK SC" w:hAnsi="Noto Sans CJK SC" w:eastAsia="Noto Sans CJK SC" w:cs="Noto Sans CJK SC"/>
          <w:color w:val="000000"/>
          <w:sz w:val="18"/>
        </w:rPr>
        <w:t xml:space="preserve">；Graphiti. </w:t>
      </w:r>
      <w:hyperlink r:id="rId15">
        <w:r>
          <w:rPr>
            <w:rFonts w:ascii="Noto Sans CJK SC" w:hAnsi="Noto Sans CJK SC" w:eastAsia="Noto Sans CJK SC" w:cs="Noto Sans CJK SC"/>
            <w:color w:val="000000"/>
            <w:sz w:val="18"/>
          </w:rPr>
          <w:t>Overview</w:t>
        </w:r>
      </w:hyperlink>
      <w:r>
        <w:rPr>
          <w:rFonts w:ascii="Noto Sans CJK SC" w:hAnsi="Noto Sans CJK SC" w:eastAsia="Noto Sans CJK SC" w:cs="Noto Sans CJK SC"/>
          <w:color w:val="000000"/>
          <w:sz w:val="18"/>
        </w:rPr>
        <w:t>.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18"/>
        </w:rPr>
        <w:t xml:space="preserve">[3] Elastic. </w:t>
      </w:r>
      <w:hyperlink r:id="rId16">
        <w:r>
          <w:rPr>
            <w:rFonts w:ascii="Noto Sans CJK SC" w:hAnsi="Noto Sans CJK SC" w:eastAsia="Noto Sans CJK SC" w:cs="Noto Sans CJK SC"/>
            <w:color w:val="000000"/>
            <w:sz w:val="18"/>
          </w:rPr>
          <w:t>Ranking and reranking</w:t>
        </w:r>
      </w:hyperlink>
      <w:r>
        <w:rPr>
          <w:rFonts w:ascii="Noto Sans CJK SC" w:hAnsi="Noto Sans CJK SC" w:eastAsia="Noto Sans CJK SC" w:cs="Noto Sans CJK SC"/>
          <w:color w:val="000000"/>
          <w:sz w:val="18"/>
        </w:rPr>
        <w:t>.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18"/>
        </w:rPr>
        <w:t xml:space="preserve">[4] Maharana et al. </w:t>
      </w:r>
      <w:hyperlink r:id="rId17">
        <w:r>
          <w:rPr>
            <w:rFonts w:ascii="Noto Sans CJK SC" w:hAnsi="Noto Sans CJK SC" w:eastAsia="Noto Sans CJK SC" w:cs="Noto Sans CJK SC"/>
            <w:color w:val="000000"/>
            <w:sz w:val="18"/>
          </w:rPr>
          <w:t>Evaluating Very Long-Term Conversational Memory of LLM Agents</w:t>
        </w:r>
      </w:hyperlink>
      <w:r>
        <w:rPr>
          <w:rFonts w:ascii="Noto Sans CJK SC" w:hAnsi="Noto Sans CJK SC" w:eastAsia="Noto Sans CJK SC" w:cs="Noto Sans CJK SC"/>
          <w:color w:val="000000"/>
          <w:sz w:val="18"/>
        </w:rPr>
        <w:t>. ACL 2024.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18"/>
        </w:rPr>
        <w:t xml:space="preserve">[5] Wu et al. </w:t>
      </w:r>
      <w:hyperlink r:id="rId18">
        <w:r>
          <w:rPr>
            <w:rFonts w:ascii="Noto Sans CJK SC" w:hAnsi="Noto Sans CJK SC" w:eastAsia="Noto Sans CJK SC" w:cs="Noto Sans CJK SC"/>
            <w:color w:val="000000"/>
            <w:sz w:val="18"/>
          </w:rPr>
          <w:t>LongMemEval</w:t>
        </w:r>
      </w:hyperlink>
      <w:r>
        <w:rPr>
          <w:rFonts w:ascii="Noto Sans CJK SC" w:hAnsi="Noto Sans CJK SC" w:eastAsia="Noto Sans CJK SC" w:cs="Noto Sans CJK SC"/>
          <w:color w:val="000000"/>
          <w:sz w:val="18"/>
        </w:rPr>
        <w:t>. ICLR 2025.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247" w:bottom="935" w:left="1247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color w:val="000000"/>
        <w:sz w:val="16"/>
      </w:rPr>
      <w:t xml:space="preserve">Vision and Scope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SC" w:hAnsi="Noto Sans CJK SC" w:eastAsia="Noto Sans CJK SC" w:cs="Noto Sans CJK SC"/>
        <w:color w:val="000000"/>
        <w:sz w:val="16"/>
      </w:rPr>
      <w:t>在阴雨天游泳   |   Team 3   |   M2 项目提案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/>
    </w:pPr>
    <w:rPr>
      <w:rFonts w:ascii="Noto Sans CJK SC" w:hAnsi="Noto Sans CJK SC" w:eastAsia="Noto Sans CJK SC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langchain.com/oss/python/concepts/memory" TargetMode="External"/><Relationship Id="rId14" Type="http://schemas.openxmlformats.org/officeDocument/2006/relationships/hyperlink" Target="https://help.getzep.com/facts" TargetMode="External"/><Relationship Id="rId15" Type="http://schemas.openxmlformats.org/officeDocument/2006/relationships/hyperlink" Target="https://help.getzep.com/graphiti/getting-started/overview" TargetMode="External"/><Relationship Id="rId16" Type="http://schemas.openxmlformats.org/officeDocument/2006/relationships/hyperlink" Target="https://www.elastic.co/docs/solutions/search/ranking" TargetMode="External"/><Relationship Id="rId17" Type="http://schemas.openxmlformats.org/officeDocument/2006/relationships/hyperlink" Target="https://aclanthology.org/2024.acl-long.747/" TargetMode="External"/><Relationship Id="rId18" Type="http://schemas.openxmlformats.org/officeDocument/2006/relationships/hyperlink" Target="https://arxiv.org/abs/2410.108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动态对话记忆管理项目提案</dc:title>
  <dc:subject>M2 Vision and Scope and Feature Roadmap</dc:subject>
  <dc:creator>在阴雨天游泳项目组</dc:creator>
  <cp:keywords>M2, LoCoMo, Dynamic Memory</cp:keywords>
  <dc:description>本地制作稿，正式交付前按团队流程复核。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