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4/27/17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w/Tristan:</w:t>
      </w:r>
    </w:p>
    <w:p w:rsidR="00000000" w:rsidDel="00000000" w:rsidP="00000000" w:rsidRDefault="00000000" w:rsidRPr="00000000">
      <w:pPr>
        <w:pBdr/>
        <w:contextualSpacing w:val="0"/>
        <w:rPr/>
      </w:pPr>
      <w:r w:rsidDel="00000000" w:rsidR="00000000" w:rsidRPr="00000000">
        <w:rPr>
          <w:rtl w:val="0"/>
        </w:rPr>
        <w:t xml:space="preserve">- align vector spaces on stop words</w:t>
      </w:r>
    </w:p>
    <w:p w:rsidR="00000000" w:rsidDel="00000000" w:rsidP="00000000" w:rsidRDefault="00000000" w:rsidRPr="00000000">
      <w:pPr>
        <w:pBdr/>
        <w:contextualSpacing w:val="0"/>
        <w:rPr/>
      </w:pPr>
      <w:r w:rsidDel="00000000" w:rsidR="00000000" w:rsidRPr="00000000">
        <w:rPr>
          <w:rtl w:val="0"/>
        </w:rPr>
        <w:t xml:space="preserve">- align vector spaces on synthetic words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Measuring similarity between embedding spaces:</w:t>
      </w:r>
    </w:p>
    <w:p w:rsidR="00000000" w:rsidDel="00000000" w:rsidP="00000000" w:rsidRDefault="00000000" w:rsidRPr="00000000">
      <w:pPr>
        <w:numPr>
          <w:ilvl w:val="0"/>
          <w:numId w:val="3"/>
        </w:numPr>
        <w:pBdr/>
        <w:ind w:left="720" w:hanging="360"/>
        <w:contextualSpacing w:val="1"/>
        <w:rPr>
          <w:sz w:val="22"/>
          <w:szCs w:val="22"/>
          <w:u w:val="none"/>
        </w:rPr>
      </w:pPr>
      <w:r w:rsidDel="00000000" w:rsidR="00000000" w:rsidRPr="00000000">
        <w:rPr>
          <w:sz w:val="22"/>
          <w:szCs w:val="22"/>
          <w:rtl w:val="0"/>
        </w:rPr>
        <w:t xml:space="preserve">Cem Safak Sahin,</w:t>
      </w:r>
      <w:hyperlink r:id="rId5">
        <w:r w:rsidDel="00000000" w:rsidR="00000000" w:rsidRPr="00000000">
          <w:rPr>
            <w:sz w:val="22"/>
            <w:szCs w:val="22"/>
            <w:rtl w:val="0"/>
          </w:rPr>
          <w:t xml:space="preserve"> Rajmonda S. Caceres</w:t>
        </w:r>
      </w:hyperlink>
      <w:r w:rsidDel="00000000" w:rsidR="00000000" w:rsidRPr="00000000">
        <w:rPr>
          <w:sz w:val="22"/>
          <w:szCs w:val="22"/>
          <w:rtl w:val="0"/>
        </w:rPr>
        <w:t xml:space="preserve">,</w:t>
      </w:r>
      <w:hyperlink r:id="rId6">
        <w:r w:rsidDel="00000000" w:rsidR="00000000" w:rsidRPr="00000000">
          <w:rPr>
            <w:sz w:val="22"/>
            <w:szCs w:val="22"/>
            <w:rtl w:val="0"/>
          </w:rPr>
          <w:t xml:space="preserve"> Brandon Oselio</w:t>
        </w:r>
      </w:hyperlink>
      <w:r w:rsidDel="00000000" w:rsidR="00000000" w:rsidRPr="00000000">
        <w:rPr>
          <w:sz w:val="22"/>
          <w:szCs w:val="22"/>
          <w:rtl w:val="0"/>
        </w:rPr>
        <w:t xml:space="preserve">,</w:t>
      </w:r>
      <w:hyperlink r:id="rId7">
        <w:r w:rsidDel="00000000" w:rsidR="00000000" w:rsidRPr="00000000">
          <w:rPr>
            <w:sz w:val="22"/>
            <w:szCs w:val="22"/>
            <w:rtl w:val="0"/>
          </w:rPr>
          <w:t xml:space="preserve"> William M. Campbell</w:t>
        </w:r>
      </w:hyperlink>
      <w:r w:rsidDel="00000000" w:rsidR="00000000" w:rsidRPr="00000000">
        <w:rPr>
          <w:sz w:val="22"/>
          <w:szCs w:val="22"/>
          <w:rtl w:val="0"/>
        </w:rPr>
        <w:t xml:space="preserve">. Consistent Alignment of Word Embedding Models. </w:t>
      </w:r>
      <w:hyperlink r:id="rId8">
        <w:r w:rsidDel="00000000" w:rsidR="00000000" w:rsidRPr="00000000">
          <w:rPr>
            <w:color w:val="1155cc"/>
            <w:sz w:val="22"/>
            <w:szCs w:val="22"/>
            <w:u w:val="single"/>
            <w:rtl w:val="0"/>
          </w:rPr>
          <w:t xml:space="preserve">https://arxiv.org/abs/1702.07680</w:t>
        </w:r>
      </w:hyperlink>
      <w:hyperlink r:id="rId9">
        <w:r w:rsidDel="00000000" w:rsidR="00000000" w:rsidRPr="00000000">
          <w:rPr>
            <w:rtl w:val="0"/>
          </w:rPr>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Kim et al 2014.  Temporal Analysis of Language through Neural Language Models </w:t>
      </w:r>
      <w:hyperlink r:id="rId10">
        <w:r w:rsidDel="00000000" w:rsidR="00000000" w:rsidRPr="00000000">
          <w:rPr>
            <w:color w:val="1155cc"/>
            <w:u w:val="single"/>
            <w:rtl w:val="0"/>
          </w:rPr>
          <w:t xml:space="preserve">https://www.aclweb.org/anthology/W/W14/W14-2517.pdf</w:t>
        </w:r>
      </w:hyperlink>
      <w:r w:rsidDel="00000000" w:rsidR="00000000" w:rsidRPr="00000000">
        <w:rPr>
          <w:rtl w:val="0"/>
        </w:rPr>
        <w:t xml:space="preserve">. In it the authors initialize train an embedding and then use it as an initialization to train a subsequent embedding, essentially providing incentive more many frequent words to stay in the same place. They then do a similarly measure of the words between the two embeddings. In the paper they're doing it to try to look at how embeddings change over time, but we would be doing it just for comparing the words in two embeddings.</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Misha D: gensim code, approach easy to implement</w:t>
      </w:r>
    </w:p>
    <w:p w:rsidR="00000000" w:rsidDel="00000000" w:rsidP="00000000" w:rsidRDefault="00000000" w:rsidRPr="00000000">
      <w:pPr>
        <w:numPr>
          <w:ilvl w:val="1"/>
          <w:numId w:val="5"/>
        </w:numPr>
        <w:pBdr/>
        <w:ind w:left="1440" w:hanging="360"/>
        <w:contextualSpacing w:val="1"/>
        <w:rPr>
          <w:b w:val="1"/>
          <w:i w:val="1"/>
        </w:rPr>
      </w:pPr>
      <w:r w:rsidDel="00000000" w:rsidR="00000000" w:rsidRPr="00000000">
        <w:rPr>
          <w:b w:val="1"/>
          <w:i w:val="1"/>
          <w:rtl w:val="0"/>
        </w:rPr>
        <w:t xml:space="preserve">In fact it is not 100% clear how they did this, but </w:t>
      </w:r>
      <w:r w:rsidDel="00000000" w:rsidR="00000000" w:rsidRPr="00000000">
        <w:rPr>
          <w:b w:val="1"/>
          <w:i w:val="1"/>
          <w:color w:val="888888"/>
          <w:sz w:val="20"/>
          <w:szCs w:val="20"/>
          <w:highlight w:val="white"/>
          <w:rtl w:val="0"/>
        </w:rPr>
        <w:t xml:space="preserve">intersect_word2vec_format()</w:t>
      </w:r>
      <w:r w:rsidDel="00000000" w:rsidR="00000000" w:rsidRPr="00000000">
        <w:rPr>
          <w:b w:val="1"/>
          <w:i w:val="1"/>
          <w:rtl w:val="0"/>
        </w:rPr>
        <w:t xml:space="preserve"> seems to be the way to go: </w:t>
      </w:r>
      <w:hyperlink r:id="rId11">
        <w:r w:rsidDel="00000000" w:rsidR="00000000" w:rsidRPr="00000000">
          <w:rPr>
            <w:b w:val="1"/>
            <w:i w:val="1"/>
            <w:color w:val="1155cc"/>
            <w:u w:val="single"/>
            <w:rtl w:val="0"/>
          </w:rPr>
          <w:t xml:space="preserve">https://groups.google.com/forum/#!topic/gensim/Y_WmJST9xx8</w:t>
        </w:r>
      </w:hyperlink>
      <w:r w:rsidDel="00000000" w:rsidR="00000000" w:rsidRPr="00000000">
        <w:rPr>
          <w:b w:val="1"/>
          <w:i w:val="1"/>
          <w:rtl w:val="0"/>
        </w:rPr>
        <w:t xml:space="preserve"> - the only problem may be that this method may fix the vectors and prevent them from being changed during training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Yao et al. - Discovery of Evolving Semantics through Dynamic Word Embedding Learning (March 2017). </w:t>
      </w:r>
      <w:hyperlink r:id="rId12">
        <w:r w:rsidDel="00000000" w:rsidR="00000000" w:rsidRPr="00000000">
          <w:rPr>
            <w:color w:val="1155cc"/>
            <w:u w:val="single"/>
            <w:rtl w:val="0"/>
          </w:rPr>
          <w:t xml:space="preserve">https://arxiv.org/pdf/1703.00607.pdf</w:t>
        </w:r>
      </w:hyperlink>
      <w:r w:rsidDel="00000000" w:rsidR="00000000" w:rsidRPr="00000000">
        <w:rPr>
          <w:rtl w:val="0"/>
        </w:rPr>
        <w:t xml:space="preserve"> - they compute word embeddings and alignments </w:t>
      </w:r>
      <w:r w:rsidDel="00000000" w:rsidR="00000000" w:rsidRPr="00000000">
        <w:rPr>
          <w:b w:val="1"/>
          <w:rtl w:val="0"/>
        </w:rPr>
        <w:t xml:space="preserve">jointly</w:t>
      </w:r>
      <w:r w:rsidDel="00000000" w:rsidR="00000000" w:rsidRPr="00000000">
        <w:rPr>
          <w:rtl w:val="0"/>
        </w:rPr>
        <w:t xml:space="preserve">, through solving one overall optimization problem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Sources:</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b w:val="1"/>
          <w:rtl w:val="0"/>
        </w:rPr>
        <w:t xml:space="preserve">twitter</w:t>
      </w:r>
      <w:r w:rsidDel="00000000" w:rsidR="00000000" w:rsidRPr="00000000">
        <w:rPr>
          <w:rtl w:val="0"/>
        </w:rPr>
        <w:t xml:space="preserve">: hashtags as groups; hashtag-based language diversion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b w:val="1"/>
          <w:rtl w:val="0"/>
        </w:rPr>
        <w:t xml:space="preserve">vk</w:t>
      </w:r>
      <w:r w:rsidDel="00000000" w:rsidR="00000000" w:rsidRPr="00000000">
        <w:rPr>
          <w:rtl w:val="0"/>
        </w:rPr>
        <w:t xml:space="preserve">: did the language of the groups diverge as the conflict continued? if so, by how much?</w:t>
      </w:r>
    </w:p>
    <w:p w:rsidR="00000000" w:rsidDel="00000000" w:rsidP="00000000" w:rsidRDefault="00000000" w:rsidRPr="00000000">
      <w:pPr>
        <w:numPr>
          <w:ilvl w:val="0"/>
          <w:numId w:val="2"/>
        </w:numPr>
        <w:pBdr/>
        <w:ind w:left="720" w:hanging="360"/>
        <w:contextualSpacing w:val="1"/>
        <w:rPr>
          <w:b w:val="1"/>
          <w:u w:val="none"/>
        </w:rPr>
      </w:pPr>
      <w:r w:rsidDel="00000000" w:rsidR="00000000" w:rsidRPr="00000000">
        <w:rPr>
          <w:b w:val="1"/>
          <w:rtl w:val="0"/>
        </w:rPr>
        <w:t xml:space="preserve">reddit</w:t>
      </w:r>
    </w:p>
    <w:p w:rsidR="00000000" w:rsidDel="00000000" w:rsidP="00000000" w:rsidRDefault="00000000" w:rsidRPr="00000000">
      <w:pPr>
        <w:numPr>
          <w:ilvl w:val="0"/>
          <w:numId w:val="2"/>
        </w:numPr>
        <w:pBdr/>
        <w:ind w:left="720" w:hanging="360"/>
        <w:contextualSpacing w:val="1"/>
        <w:rPr>
          <w:b w:val="1"/>
          <w:u w:val="none"/>
        </w:rPr>
      </w:pPr>
      <w:r w:rsidDel="00000000" w:rsidR="00000000" w:rsidRPr="00000000">
        <w:rPr>
          <w:b w:val="1"/>
          <w:rtl w:val="0"/>
        </w:rPr>
        <w:t xml:space="preserve">fortune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u w:val="single"/>
          <w:rtl w:val="0"/>
        </w:rPr>
        <w:t xml:space="preserve">Subculture detection and language drift:</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Zhang, Leskovec, Jurafsky et al, ICWSM 2017. Community Identity and User Engagement in a Multi-Community Landscape </w:t>
      </w:r>
      <w:hyperlink r:id="rId13">
        <w:r w:rsidDel="00000000" w:rsidR="00000000" w:rsidRPr="00000000">
          <w:rPr>
            <w:color w:val="1155cc"/>
            <w:u w:val="single"/>
            <w:rtl w:val="0"/>
          </w:rPr>
          <w:t xml:space="preserve">https://cs.stanford.edu/people/jure/pubs/identity-icwsm17.pdf</w:t>
        </w:r>
      </w:hyperlink>
      <w:r w:rsidDel="00000000" w:rsidR="00000000" w:rsidRPr="00000000">
        <w:rPr>
          <w:rtl w:val="0"/>
        </w:rPr>
      </w:r>
    </w:p>
    <w:p w:rsidR="00000000" w:rsidDel="00000000" w:rsidP="00000000" w:rsidRDefault="00000000" w:rsidRPr="00000000">
      <w:pPr>
        <w:pStyle w:val="Heading1"/>
        <w:numPr>
          <w:ilvl w:val="0"/>
          <w:numId w:val="1"/>
        </w:numPr>
        <w:pBdr/>
        <w:ind w:left="720" w:hanging="360"/>
        <w:contextualSpacing w:val="1"/>
        <w:rPr>
          <w:sz w:val="22"/>
          <w:szCs w:val="22"/>
          <w:u w:val="none"/>
        </w:rPr>
      </w:pPr>
      <w:bookmarkStart w:colFirst="0" w:colLast="0" w:name="_3tt4ud5x2o03" w:id="0"/>
      <w:bookmarkEnd w:id="0"/>
      <w:r w:rsidDel="00000000" w:rsidR="00000000" w:rsidRPr="00000000">
        <w:rPr>
          <w:sz w:val="22"/>
          <w:szCs w:val="22"/>
          <w:rtl w:val="0"/>
        </w:rPr>
        <w:t xml:space="preserve">Hamilton, Lescovec, Jurafsky.  EMNLP 2016. Cultural Shift or Linguistic Drift? Comparing Two Computational Measures of Semantic Change. </w:t>
      </w:r>
      <w:hyperlink r:id="rId14">
        <w:r w:rsidDel="00000000" w:rsidR="00000000" w:rsidRPr="00000000">
          <w:rPr>
            <w:color w:val="1155cc"/>
            <w:sz w:val="22"/>
            <w:szCs w:val="22"/>
            <w:u w:val="single"/>
            <w:rtl w:val="0"/>
          </w:rPr>
          <w:t xml:space="preserve">https://arxiv.org/abs/1606.02821</w:t>
        </w:r>
      </w:hyperlink>
      <w:r w:rsidDel="00000000" w:rsidR="00000000" w:rsidRPr="00000000">
        <w:rPr>
          <w:rtl w:val="0"/>
        </w:rPr>
      </w:r>
    </w:p>
    <w:p w:rsidR="00000000" w:rsidDel="00000000" w:rsidP="00000000" w:rsidRDefault="00000000" w:rsidRPr="00000000">
      <w:pPr>
        <w:pStyle w:val="Heading1"/>
        <w:numPr>
          <w:ilvl w:val="0"/>
          <w:numId w:val="1"/>
        </w:numPr>
        <w:pBdr/>
        <w:ind w:left="720" w:hanging="360"/>
        <w:contextualSpacing w:val="1"/>
        <w:rPr>
          <w:sz w:val="22"/>
          <w:szCs w:val="22"/>
          <w:u w:val="none"/>
        </w:rPr>
      </w:pPr>
      <w:bookmarkStart w:colFirst="0" w:colLast="0" w:name="_il28mt1lsl5j" w:id="1"/>
      <w:bookmarkEnd w:id="1"/>
      <w:r w:rsidDel="00000000" w:rsidR="00000000" w:rsidRPr="00000000">
        <w:rPr>
          <w:sz w:val="22"/>
          <w:szCs w:val="22"/>
          <w:rtl w:val="0"/>
        </w:rPr>
        <w:t xml:space="preserve">Hamilton, Lescovec, Jurafsky.  ACL 2016. Diachronic Word Embeddings Reveal Statistical Laws of Semantic Change.  </w:t>
      </w:r>
      <w:hyperlink r:id="rId15">
        <w:r w:rsidDel="00000000" w:rsidR="00000000" w:rsidRPr="00000000">
          <w:rPr>
            <w:color w:val="1155cc"/>
            <w:sz w:val="22"/>
            <w:szCs w:val="22"/>
            <w:u w:val="single"/>
            <w:rtl w:val="0"/>
          </w:rPr>
          <w:t xml:space="preserve">https://arxiv.org/abs/1605.09096</w:t>
        </w:r>
      </w:hyperlink>
      <w:r w:rsidDel="00000000" w:rsidR="00000000" w:rsidRPr="00000000">
        <w:rPr>
          <w:sz w:val="22"/>
          <w:szCs w:val="22"/>
          <w:rtl w:val="0"/>
        </w:rPr>
        <w:t xml:space="preserve"> - diachronic word embeddings</w:t>
      </w:r>
      <w:r w:rsidDel="00000000" w:rsidR="00000000" w:rsidRPr="00000000">
        <w:rPr>
          <w:rtl w:val="0"/>
        </w:rPr>
      </w:r>
    </w:p>
    <w:p w:rsidR="00000000" w:rsidDel="00000000" w:rsidP="00000000" w:rsidRDefault="00000000" w:rsidRPr="00000000">
      <w:pPr>
        <w:pStyle w:val="Heading1"/>
        <w:numPr>
          <w:ilvl w:val="0"/>
          <w:numId w:val="1"/>
        </w:numPr>
        <w:pBdr/>
        <w:ind w:left="720" w:hanging="360"/>
        <w:contextualSpacing w:val="1"/>
        <w:rPr>
          <w:sz w:val="22"/>
          <w:szCs w:val="22"/>
          <w:u w:val="none"/>
        </w:rPr>
      </w:pPr>
      <w:bookmarkStart w:colFirst="0" w:colLast="0" w:name="_r3es945y3yjl" w:id="2"/>
      <w:bookmarkEnd w:id="2"/>
      <w:hyperlink r:id="rId16">
        <w:r w:rsidDel="00000000" w:rsidR="00000000" w:rsidRPr="00000000">
          <w:rPr>
            <w:sz w:val="22"/>
            <w:szCs w:val="22"/>
            <w:rtl w:val="0"/>
          </w:rPr>
          <w:t xml:space="preserve">Ian Stewart</w:t>
        </w:r>
      </w:hyperlink>
      <w:r w:rsidDel="00000000" w:rsidR="00000000" w:rsidRPr="00000000">
        <w:rPr>
          <w:sz w:val="22"/>
          <w:szCs w:val="22"/>
          <w:rtl w:val="0"/>
        </w:rPr>
        <w:t xml:space="preserve">,</w:t>
      </w:r>
      <w:hyperlink r:id="rId17">
        <w:r w:rsidDel="00000000" w:rsidR="00000000" w:rsidRPr="00000000">
          <w:rPr>
            <w:sz w:val="22"/>
            <w:szCs w:val="22"/>
            <w:rtl w:val="0"/>
          </w:rPr>
          <w:t xml:space="preserve"> Dustin Arendt</w:t>
        </w:r>
      </w:hyperlink>
      <w:r w:rsidDel="00000000" w:rsidR="00000000" w:rsidRPr="00000000">
        <w:rPr>
          <w:sz w:val="22"/>
          <w:szCs w:val="22"/>
          <w:rtl w:val="0"/>
        </w:rPr>
        <w:t xml:space="preserve">,</w:t>
      </w:r>
      <w:hyperlink r:id="rId18">
        <w:r w:rsidDel="00000000" w:rsidR="00000000" w:rsidRPr="00000000">
          <w:rPr>
            <w:sz w:val="22"/>
            <w:szCs w:val="22"/>
            <w:rtl w:val="0"/>
          </w:rPr>
          <w:t xml:space="preserve"> Eric Bell</w:t>
        </w:r>
      </w:hyperlink>
      <w:r w:rsidDel="00000000" w:rsidR="00000000" w:rsidRPr="00000000">
        <w:rPr>
          <w:sz w:val="22"/>
          <w:szCs w:val="22"/>
          <w:rtl w:val="0"/>
        </w:rPr>
        <w:t xml:space="preserve">,</w:t>
      </w:r>
      <w:hyperlink r:id="rId19">
        <w:r w:rsidDel="00000000" w:rsidR="00000000" w:rsidRPr="00000000">
          <w:rPr>
            <w:sz w:val="22"/>
            <w:szCs w:val="22"/>
            <w:rtl w:val="0"/>
          </w:rPr>
          <w:t xml:space="preserve"> Svitlana Volkova</w:t>
        </w:r>
      </w:hyperlink>
      <w:r w:rsidDel="00000000" w:rsidR="00000000" w:rsidRPr="00000000">
        <w:rPr>
          <w:sz w:val="22"/>
          <w:szCs w:val="22"/>
          <w:rtl w:val="0"/>
        </w:rPr>
        <w:t xml:space="preserve">. </w:t>
      </w:r>
      <w:r w:rsidDel="00000000" w:rsidR="00000000" w:rsidRPr="00000000">
        <w:rPr>
          <w:sz w:val="22"/>
          <w:szCs w:val="22"/>
          <w:rtl w:val="0"/>
        </w:rPr>
        <w:t xml:space="preserve">a</w:t>
      </w:r>
      <w:r w:rsidDel="00000000" w:rsidR="00000000" w:rsidRPr="00000000">
        <w:rPr>
          <w:sz w:val="22"/>
          <w:szCs w:val="22"/>
          <w:rtl w:val="0"/>
        </w:rPr>
        <w:t xml:space="preserve">rxiv 2017. </w:t>
      </w:r>
      <w:r w:rsidDel="00000000" w:rsidR="00000000" w:rsidRPr="00000000">
        <w:rPr>
          <w:sz w:val="22"/>
          <w:szCs w:val="22"/>
          <w:rtl w:val="0"/>
        </w:rPr>
        <w:t xml:space="preserve">Measuring, Predicting and Visualizing Short-Term Change in Word Representation and Usage in VKontakte Social Network. </w:t>
      </w:r>
      <w:hyperlink r:id="rId20">
        <w:r w:rsidDel="00000000" w:rsidR="00000000" w:rsidRPr="00000000">
          <w:rPr>
            <w:color w:val="1155cc"/>
            <w:sz w:val="22"/>
            <w:szCs w:val="22"/>
            <w:u w:val="single"/>
            <w:rtl w:val="0"/>
          </w:rPr>
          <w:t xml:space="preserve">https://arxiv.org/abs/1703.07012</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Detecting slang:</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(older work)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(unrelated) Lescovec 2016, inducing sentiment lexicons in an unsupervised manner:</w:t>
      </w:r>
    </w:p>
    <w:p w:rsidR="00000000" w:rsidDel="00000000" w:rsidP="00000000" w:rsidRDefault="00000000" w:rsidRPr="00000000">
      <w:pPr>
        <w:pBdr/>
        <w:contextualSpacing w:val="0"/>
        <w:rPr/>
      </w:pPr>
      <w:hyperlink r:id="rId21">
        <w:r w:rsidDel="00000000" w:rsidR="00000000" w:rsidRPr="00000000">
          <w:rPr>
            <w:color w:val="1155cc"/>
            <w:u w:val="single"/>
            <w:rtl w:val="0"/>
          </w:rPr>
          <w:t xml:space="preserve">https://arxiv.org/abs/1606.02820</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w/Svitlana: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Make two sets of embeddings for each month</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Filter by frequency (take only the words that occurred 1000 times?)</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Initialize embeddings for the next month from the previous month</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AR: we need to visualize the “misaligned” words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abs/1703.07012" TargetMode="External"/><Relationship Id="rId11" Type="http://schemas.openxmlformats.org/officeDocument/2006/relationships/hyperlink" Target="https://groups.google.com/forum/#!topic/gensim/Y_WmJST9xx8" TargetMode="External"/><Relationship Id="rId10" Type="http://schemas.openxmlformats.org/officeDocument/2006/relationships/hyperlink" Target="https://www.aclweb.org/anthology/W/W14/W14-2517.pdf" TargetMode="External"/><Relationship Id="rId21" Type="http://schemas.openxmlformats.org/officeDocument/2006/relationships/hyperlink" Target="https://arxiv.org/abs/1606.02820" TargetMode="External"/><Relationship Id="rId13" Type="http://schemas.openxmlformats.org/officeDocument/2006/relationships/hyperlink" Target="https://cs.stanford.edu/people/jure/pubs/identity-icwsm17.pdf" TargetMode="External"/><Relationship Id="rId12" Type="http://schemas.openxmlformats.org/officeDocument/2006/relationships/hyperlink" Target="https://arxiv.org/pdf/1703.00607.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arxiv.org/find/cs/1/au:+Campbell_W/0/1/0/all/0/1" TargetMode="External"/><Relationship Id="rId15" Type="http://schemas.openxmlformats.org/officeDocument/2006/relationships/hyperlink" Target="https://arxiv.org/abs/1605.09096" TargetMode="External"/><Relationship Id="rId14" Type="http://schemas.openxmlformats.org/officeDocument/2006/relationships/hyperlink" Target="https://arxiv.org/abs/1606.02821" TargetMode="External"/><Relationship Id="rId17" Type="http://schemas.openxmlformats.org/officeDocument/2006/relationships/hyperlink" Target="https://arxiv.org/find/cs/1/au:+Arendt_D/0/1/0/all/0/1" TargetMode="External"/><Relationship Id="rId16" Type="http://schemas.openxmlformats.org/officeDocument/2006/relationships/hyperlink" Target="https://arxiv.org/find/cs/1/au:+Stewart_I/0/1/0/all/0/1" TargetMode="External"/><Relationship Id="rId5" Type="http://schemas.openxmlformats.org/officeDocument/2006/relationships/hyperlink" Target="https://arxiv.org/find/cs/1/au:+Caceres_R/0/1/0/all/0/1" TargetMode="External"/><Relationship Id="rId19" Type="http://schemas.openxmlformats.org/officeDocument/2006/relationships/hyperlink" Target="https://arxiv.org/find/cs/1/au:+Volkova_S/0/1/0/all/0/1" TargetMode="External"/><Relationship Id="rId6" Type="http://schemas.openxmlformats.org/officeDocument/2006/relationships/hyperlink" Target="https://arxiv.org/find/cs/1/au:+Oselio_B/0/1/0/all/0/1" TargetMode="External"/><Relationship Id="rId18" Type="http://schemas.openxmlformats.org/officeDocument/2006/relationships/hyperlink" Target="https://arxiv.org/find/cs/1/au:+Bell_E/0/1/0/all/0/1" TargetMode="External"/><Relationship Id="rId7" Type="http://schemas.openxmlformats.org/officeDocument/2006/relationships/hyperlink" Target="https://arxiv.org/find/cs/1/au:+Campbell_W/0/1/0/all/0/1" TargetMode="External"/><Relationship Id="rId8" Type="http://schemas.openxmlformats.org/officeDocument/2006/relationships/hyperlink" Target="https://arxiv.org/abs/1702.07680" TargetMode="External"/></Relationships>
</file>