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E99F" w14:textId="6B2F9A79" w:rsidR="00A95652" w:rsidRDefault="001821EB" w:rsidP="001821EB">
      <w:pPr>
        <w:pStyle w:val="Heading1"/>
      </w:pPr>
      <w:r>
        <w:t>Computational Finance</w:t>
      </w:r>
    </w:p>
    <w:p w14:paraId="1C461762" w14:textId="47FBD528" w:rsidR="001821EB" w:rsidRDefault="001821EB" w:rsidP="001821EB"/>
    <w:p w14:paraId="232D2F1B" w14:textId="50B7EC4C" w:rsidR="001821EB" w:rsidRDefault="005641A1" w:rsidP="005641A1">
      <w:pPr>
        <w:pStyle w:val="Heading3"/>
      </w:pPr>
      <w:r>
        <w:t>18 Feb 2020</w:t>
      </w:r>
    </w:p>
    <w:p w14:paraId="3AF107C3" w14:textId="4BC389BF" w:rsidR="005641A1" w:rsidRDefault="005641A1" w:rsidP="005641A1"/>
    <w:p w14:paraId="27885049" w14:textId="212E4F95" w:rsidR="005641A1" w:rsidRDefault="00184942" w:rsidP="00184942">
      <w:pPr>
        <w:pStyle w:val="Heading4"/>
      </w:pPr>
      <w:r>
        <w:t>Returns</w:t>
      </w:r>
    </w:p>
    <w:p w14:paraId="21EB3098" w14:textId="67FBDE43" w:rsidR="006B08D0" w:rsidRDefault="006B08D0" w:rsidP="00184942">
      <w:pPr>
        <w:rPr>
          <w:rFonts w:eastAsiaTheme="minorEastAsia"/>
        </w:rPr>
      </w:pPr>
      <w:r>
        <w:t xml:space="preserve">We can evaluate returns based on a time series of prices, denoted as </w:t>
      </w:r>
      <m:oMath>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xml:space="preserve">. For instance,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100, 101, 102, 104, …</m:t>
            </m:r>
          </m:e>
        </m:d>
      </m:oMath>
    </w:p>
    <w:p w14:paraId="448AA29B" w14:textId="2800AF20" w:rsidR="006B08D0" w:rsidRDefault="006B08D0" w:rsidP="00184942">
      <w:pPr>
        <w:rPr>
          <w:rFonts w:eastAsiaTheme="minorEastAsia"/>
        </w:rPr>
      </w:pPr>
      <w:r>
        <w:rPr>
          <w:rFonts w:eastAsiaTheme="minorEastAsia"/>
        </w:rPr>
        <w:t xml:space="preserve">We can consider returns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-P(t-1)</m:t>
            </m:r>
          </m:num>
          <m:den>
            <m:r>
              <w:rPr>
                <w:rFonts w:ascii="Cambria Math" w:eastAsiaTheme="minorEastAsia" w:hAnsi="Cambria Math"/>
              </w:rPr>
              <m:t>P(t-1)</m:t>
            </m:r>
          </m:den>
        </m:f>
      </m:oMath>
      <w:r>
        <w:rPr>
          <w:rFonts w:eastAsiaTheme="minorEastAsia"/>
        </w:rPr>
        <w:t xml:space="preserve"> . It is important to note the asymmetry here, as if we were to take an example,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60, 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r>
        <w:rPr>
          <w:rFonts w:eastAsiaTheme="minorEastAsia"/>
        </w:rPr>
        <w:t xml:space="preserve">, then consequently </w:t>
      </w:r>
      <m:oMath>
        <m:f>
          <m:fPr>
            <m:ctrlPr>
              <w:rPr>
                <w:rFonts w:ascii="Cambria Math" w:eastAsiaTheme="minorEastAsia" w:hAnsi="Cambria Math"/>
                <w:i/>
              </w:rPr>
            </m:ctrlPr>
          </m:fPr>
          <m:num>
            <m:r>
              <w:rPr>
                <w:rFonts w:ascii="Cambria Math" w:eastAsiaTheme="minorEastAsia" w:hAnsi="Cambria Math"/>
              </w:rPr>
              <m:t>60 -50</m:t>
            </m:r>
          </m:num>
          <m:den>
            <m:r>
              <w:rPr>
                <w:rFonts w:ascii="Cambria Math" w:eastAsiaTheme="minorEastAsia" w:hAnsi="Cambria Math"/>
              </w:rPr>
              <m:t>50</m:t>
            </m:r>
          </m:den>
        </m:f>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50-60</m:t>
            </m:r>
          </m:num>
          <m:den>
            <m:r>
              <w:rPr>
                <w:rFonts w:ascii="Cambria Math" w:eastAsiaTheme="minorEastAsia" w:hAnsi="Cambria Math"/>
              </w:rPr>
              <m:t>60</m:t>
            </m:r>
          </m:den>
        </m:f>
        <m:r>
          <w:rPr>
            <w:rFonts w:ascii="Cambria Math" w:eastAsiaTheme="minorEastAsia" w:hAnsi="Cambria Math"/>
          </w:rPr>
          <m:t xml:space="preserve"> </m:t>
        </m:r>
      </m:oMath>
      <w:r>
        <w:rPr>
          <w:rFonts w:eastAsiaTheme="minorEastAsia"/>
        </w:rPr>
        <w:t xml:space="preserve">if we were to flip the values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P(t-1)</m:t>
        </m:r>
      </m:oMath>
      <w:r>
        <w:rPr>
          <w:rFonts w:eastAsiaTheme="minorEastAsia"/>
        </w:rPr>
        <w:t>.</w:t>
      </w:r>
    </w:p>
    <w:p w14:paraId="3D4B1E04" w14:textId="45C17A84" w:rsidR="00EE00AA" w:rsidRDefault="00EE00AA" w:rsidP="00EE00AA">
      <w:pPr>
        <w:pStyle w:val="Heading4"/>
      </w:pPr>
      <w:r>
        <w:t>Multiperiod Returns</w:t>
      </w:r>
    </w:p>
    <w:p w14:paraId="2A85E5F8" w14:textId="7C10887E" w:rsidR="00EE00AA" w:rsidRDefault="00EE00AA" w:rsidP="00EE00AA">
      <w:pPr>
        <w:rPr>
          <w:rFonts w:eastAsiaTheme="minorEastAsia"/>
        </w:rPr>
      </w:pPr>
      <w:r>
        <w:t xml:space="preserve">Returns over multiple time steps are a product rather than a sum, and this could be demonstrated with an example over 4 time steps, where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=10, P</m:t>
        </m:r>
        <m:d>
          <m:dPr>
            <m:ctrlPr>
              <w:rPr>
                <w:rFonts w:ascii="Cambria Math" w:hAnsi="Cambria Math"/>
                <w:i/>
              </w:rPr>
            </m:ctrlPr>
          </m:dPr>
          <m:e>
            <m:r>
              <w:rPr>
                <w:rFonts w:ascii="Cambria Math" w:hAnsi="Cambria Math"/>
              </w:rPr>
              <m:t>2</m:t>
            </m:r>
          </m:e>
        </m:d>
        <m:r>
          <w:rPr>
            <w:rFonts w:ascii="Cambria Math" w:hAnsi="Cambria Math"/>
          </w:rPr>
          <m:t>=12, P</m:t>
        </m:r>
        <m:d>
          <m:dPr>
            <m:ctrlPr>
              <w:rPr>
                <w:rFonts w:ascii="Cambria Math" w:hAnsi="Cambria Math"/>
                <w:i/>
              </w:rPr>
            </m:ctrlPr>
          </m:dPr>
          <m:e>
            <m:r>
              <w:rPr>
                <w:rFonts w:ascii="Cambria Math" w:hAnsi="Cambria Math"/>
              </w:rPr>
              <m:t>3</m:t>
            </m:r>
          </m:e>
        </m:d>
        <m:r>
          <w:rPr>
            <w:rFonts w:ascii="Cambria Math" w:hAnsi="Cambria Math"/>
          </w:rPr>
          <m:t>=14, P</m:t>
        </m:r>
        <m:d>
          <m:dPr>
            <m:ctrlPr>
              <w:rPr>
                <w:rFonts w:ascii="Cambria Math" w:hAnsi="Cambria Math"/>
                <w:i/>
              </w:rPr>
            </m:ctrlPr>
          </m:dPr>
          <m:e>
            <m:r>
              <w:rPr>
                <w:rFonts w:ascii="Cambria Math" w:hAnsi="Cambria Math"/>
              </w:rPr>
              <m:t>4</m:t>
            </m:r>
          </m:e>
        </m:d>
        <m:r>
          <w:rPr>
            <w:rFonts w:ascii="Cambria Math" w:hAnsi="Cambria Math"/>
          </w:rPr>
          <m:t>=16</m:t>
        </m:r>
      </m:oMath>
      <w:r>
        <w:rPr>
          <w:rFonts w:eastAsiaTheme="minorEastAsia"/>
        </w:rPr>
        <w:t xml:space="preserve">. The returns would yield </w:t>
      </w:r>
      <m:oMath>
        <m:r>
          <w:rPr>
            <w:rFonts w:ascii="Cambria Math" w:eastAsiaTheme="minorEastAsia" w:hAnsi="Cambria Math"/>
          </w:rPr>
          <m:t>0.2, 0.166, 0.125, 0.142857</m:t>
        </m:r>
      </m:oMath>
      <w:r>
        <w:rPr>
          <w:rFonts w:eastAsiaTheme="minorEastAsia"/>
        </w:rPr>
        <w:t xml:space="preserve">. This does not sum to 0.6, but in fact the product still yields </w:t>
      </w:r>
      <w:r w:rsidR="00B40213">
        <w:rPr>
          <w:rFonts w:eastAsiaTheme="minorEastAsia"/>
        </w:rPr>
        <w:t>the correct values.</w:t>
      </w:r>
    </w:p>
    <w:p w14:paraId="21514209" w14:textId="54692D9B" w:rsidR="00B40213" w:rsidRDefault="00285FD4" w:rsidP="00285FD4">
      <w:pPr>
        <w:pStyle w:val="Heading4"/>
      </w:pPr>
      <w:r>
        <w:t>Return on a Portfolio</w:t>
      </w:r>
    </w:p>
    <w:p w14:paraId="59A8A8A5" w14:textId="3288EDA1" w:rsidR="00285FD4" w:rsidRDefault="00285FD4" w:rsidP="00285FD4">
      <w:pPr>
        <w:rPr>
          <w:rFonts w:eastAsiaTheme="minorEastAsia"/>
        </w:rPr>
      </w:pPr>
      <w:r>
        <w:t xml:space="preserve">Assuming </w:t>
      </w:r>
      <m:oMath>
        <m:r>
          <w:rPr>
            <w:rFonts w:ascii="Cambria Math" w:hAnsi="Cambria Math"/>
          </w:rPr>
          <m:t>n</m:t>
        </m:r>
      </m:oMath>
      <w:r>
        <w:rPr>
          <w:rFonts w:eastAsiaTheme="minorEastAsia"/>
        </w:rPr>
        <w:t xml:space="preserve"> assets (google, gold, USD, etc...) with an allocation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0≤i&lt;n</m:t>
        </m:r>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=1</m:t>
        </m:r>
      </m:oMath>
    </w:p>
    <w:p w14:paraId="4A11053E" w14:textId="00DC5469" w:rsidR="00285FD4" w:rsidRDefault="00285FD4" w:rsidP="00285FD4">
      <w:pPr>
        <w:rPr>
          <w:rFonts w:eastAsiaTheme="minorEastAsia"/>
        </w:rPr>
      </w:pPr>
      <w:r>
        <w:rPr>
          <w:rFonts w:eastAsiaTheme="minorEastAsia"/>
        </w:rPr>
        <w:t xml:space="preserve">Presuming </w:t>
      </w:r>
      <m:oMath>
        <m:r>
          <w:rPr>
            <w:rFonts w:ascii="Cambria Math" w:eastAsiaTheme="minorEastAsia" w:hAnsi="Cambria Math"/>
          </w:rPr>
          <m:t>C</m:t>
        </m:r>
      </m:oMath>
      <w:r>
        <w:rPr>
          <w:rFonts w:eastAsiaTheme="minorEastAsia"/>
        </w:rPr>
        <w:t xml:space="preserve"> as capital, your set up is </w:t>
      </w:r>
      <m:oMath>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m:t>
        </m:r>
      </m:oMath>
      <w:r>
        <w:rPr>
          <w:rFonts w:eastAsiaTheme="minorEastAsia"/>
        </w:rPr>
        <w:t xml:space="preserve">, which evaluates to </w:t>
      </w:r>
      <m:oMath>
        <m:r>
          <w:rPr>
            <w:rFonts w:ascii="Cambria Math" w:eastAsiaTheme="minorEastAsia" w:hAnsi="Cambria Math"/>
          </w:rPr>
          <m:t>C(1+</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r>
          <w:rPr>
            <w:rFonts w:ascii="Cambria Math" w:eastAsiaTheme="minorEastAsia" w:hAnsi="Cambria Math"/>
          </w:rPr>
          <m:t>)</m:t>
        </m:r>
      </m:oMath>
    </w:p>
    <w:p w14:paraId="1F9EDECB" w14:textId="75866447" w:rsidR="00285FD4" w:rsidRDefault="00285FD4" w:rsidP="00285FD4">
      <w:pPr>
        <w:pStyle w:val="Heading4"/>
      </w:pPr>
      <w:r>
        <w:t>Annualizing Returns</w:t>
      </w:r>
    </w:p>
    <w:p w14:paraId="3FC1EEB4" w14:textId="2A5EDF4A" w:rsidR="00285FD4" w:rsidRDefault="00783517" w:rsidP="00285FD4">
      <w:r>
        <w:t>This creates a standard to compare return rates. You can consider monthly vs yearly.</w:t>
      </w:r>
    </w:p>
    <w:p w14:paraId="14A8DDB2" w14:textId="5FC70509" w:rsidR="00783517" w:rsidRDefault="00783517" w:rsidP="00285FD4">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sup>
            <m:r>
              <w:rPr>
                <w:rFonts w:ascii="Cambria Math" w:hAnsi="Cambria Math"/>
              </w:rPr>
              <m:t>12</m:t>
            </m:r>
          </m:sup>
        </m:sSup>
        <m:r>
          <w:rPr>
            <w:rFonts w:ascii="Cambria Math" w:hAnsi="Cambria Math"/>
          </w:rPr>
          <m:t>-1</m:t>
        </m:r>
      </m:oMath>
      <w:r>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is considered fixed in this situation, or a set of returns r, where r∈R</m:t>
        </m:r>
      </m:oMath>
    </w:p>
    <w:p w14:paraId="71191E55" w14:textId="19DB5D4A" w:rsidR="00783517" w:rsidRDefault="00783517" w:rsidP="00285FD4">
      <w:pPr>
        <w:rPr>
          <w:rFonts w:eastAsiaTheme="minorEastAsia"/>
        </w:rPr>
      </w:pPr>
      <w:r>
        <w:rPr>
          <w:rFonts w:eastAsiaTheme="minorEastAsia"/>
        </w:rPr>
        <w:t xml:space="preserve">Or you can do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e>
          <m:sup>
            <m:r>
              <w:rPr>
                <w:rFonts w:ascii="Cambria Math" w:hAnsi="Cambria Math"/>
              </w:rPr>
              <m:t>300</m:t>
            </m:r>
          </m:sup>
        </m:sSup>
        <m:r>
          <w:rPr>
            <w:rFonts w:ascii="Cambria Math" w:hAnsi="Cambria Math"/>
          </w:rPr>
          <m:t>-1</m:t>
        </m:r>
      </m:oMath>
      <w:r>
        <w:rPr>
          <w:rFonts w:eastAsiaTheme="minorEastAsia"/>
        </w:rPr>
        <w:t>. Note here that instead of 365, 300 is used. This is a variation within the field, having values such as 250, 275, 300, 365, etc... (My best guess to why this is the case is because we are going off the presumption that we are not trading every day)</w:t>
      </w:r>
    </w:p>
    <w:p w14:paraId="0F96AC50" w14:textId="05FC87C4" w:rsidR="00783517" w:rsidRDefault="00897051" w:rsidP="00285FD4">
      <w:pPr>
        <w:rPr>
          <w:rFonts w:eastAsiaTheme="minorEastAsia"/>
        </w:rPr>
      </w:pPr>
      <w:r>
        <w:rPr>
          <w:rFonts w:eastAsiaTheme="minorEastAsia"/>
        </w:rPr>
        <w:t>Notice that we use exponential to take into account the notion of compounding.</w:t>
      </w:r>
    </w:p>
    <w:p w14:paraId="43F124CC" w14:textId="24E0FC92" w:rsidR="00897051" w:rsidRDefault="00897051" w:rsidP="00897051">
      <w:pPr>
        <w:pStyle w:val="Heading4"/>
      </w:pPr>
      <w:r>
        <w:t>Value of Money</w:t>
      </w:r>
    </w:p>
    <w:p w14:paraId="664642C1" w14:textId="3569D728" w:rsidR="00897051" w:rsidRDefault="00897051" w:rsidP="00897051">
      <w:r>
        <w:t>To answer the question of “how much is one dollar today worth tomorrow?”</w:t>
      </w:r>
      <w:r w:rsidR="00C7069E">
        <w:t xml:space="preserve"> We need to look at the </w:t>
      </w:r>
      <w:r w:rsidR="00C7069E" w:rsidRPr="00C7069E">
        <w:rPr>
          <w:rStyle w:val="StyleUnderline"/>
        </w:rPr>
        <w:t>frequency of returns</w:t>
      </w:r>
      <w:r w:rsidR="00C7069E">
        <w:t>.</w:t>
      </w:r>
    </w:p>
    <w:p w14:paraId="0D8CA45C" w14:textId="77777777" w:rsidR="00C7069E" w:rsidRDefault="00C7069E" w:rsidP="00897051">
      <w:r>
        <w:t>Consider:</w:t>
      </w:r>
    </w:p>
    <w:p w14:paraId="386FF758" w14:textId="02C0E313" w:rsidR="00C7069E" w:rsidRDefault="00C7069E" w:rsidP="00897051">
      <w:pPr>
        <w:rPr>
          <w:rFonts w:eastAsiaTheme="minorEastAsia"/>
        </w:rPr>
      </w:pPr>
      <m:oMath>
        <m:r>
          <w:rPr>
            <w:rFonts w:ascii="Cambria Math" w:hAnsi="Cambria Math"/>
          </w:rPr>
          <m:t>t=1</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1</m:t>
            </m:r>
          </m:sub>
        </m:sSub>
        <m:r>
          <w:rPr>
            <w:rFonts w:ascii="Cambria Math" w:eastAsiaTheme="minorEastAsia" w:hAnsi="Cambria Math"/>
          </w:rPr>
          <m:t>=1*1(1+R)</m:t>
        </m:r>
      </m:oMath>
    </w:p>
    <w:p w14:paraId="2B2B2214" w14:textId="050D19A4" w:rsidR="00C7069E" w:rsidRPr="00897051" w:rsidRDefault="00C7069E" w:rsidP="00C7069E">
      <m:oMath>
        <m:r>
          <w:rPr>
            <w:rFonts w:ascii="Cambria Math" w:hAnsi="Cambria Math"/>
          </w:rPr>
          <m:t>t=</m:t>
        </m:r>
        <m:r>
          <w:rPr>
            <w:rFonts w:ascii="Cambria Math" w:hAnsi="Cambria Math"/>
          </w:rPr>
          <m:t>2</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2</m:t>
            </m:r>
          </m:sup>
        </m:sSup>
      </m:oMath>
    </w:p>
    <w:p w14:paraId="527CAA1C" w14:textId="42617FD4" w:rsidR="00C7069E" w:rsidRDefault="00C7069E" w:rsidP="00C7069E">
      <w:pPr>
        <w:rPr>
          <w:rFonts w:eastAsiaTheme="minorEastAsia"/>
        </w:rPr>
      </w:pPr>
      <m:oMath>
        <m:r>
          <w:rPr>
            <w:rFonts w:ascii="Cambria Math" w:hAnsi="Cambria Math"/>
          </w:rPr>
          <m:t>t=</m:t>
        </m:r>
        <m:r>
          <w:rPr>
            <w:rFonts w:ascii="Cambria Math" w:hAnsi="Cambria Math"/>
          </w:rPr>
          <m:t>n</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n</m:t>
            </m:r>
          </m:sup>
        </m:sSup>
      </m:oMath>
    </w:p>
    <w:p w14:paraId="19889544" w14:textId="0E4F647F" w:rsidR="00390637" w:rsidRDefault="00390637" w:rsidP="00C7069E">
      <w:pPr>
        <w:rPr>
          <w:rFonts w:eastAsiaTheme="minorEastAsia"/>
        </w:rPr>
      </w:pPr>
      <w:r>
        <w:rPr>
          <w:rFonts w:eastAsiaTheme="minorEastAsia"/>
        </w:rPr>
        <w:t xml:space="preserve">Generalized as </w:t>
      </w:r>
      <m:oMath>
        <m:r>
          <w:rPr>
            <w:rFonts w:ascii="Cambria Math" w:eastAsiaTheme="minorEastAsia" w:hAnsi="Cambria Math"/>
          </w:rPr>
          <m:t>FV=V*</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current value.</w:t>
      </w:r>
    </w:p>
    <w:p w14:paraId="16CF1456" w14:textId="0DFB40E9" w:rsidR="00390637" w:rsidRDefault="00390637" w:rsidP="00C7069E">
      <w:pPr>
        <w:rPr>
          <w:rFonts w:eastAsiaTheme="minorEastAsia"/>
        </w:rPr>
      </w:pPr>
      <w:r>
        <w:rPr>
          <w:rFonts w:eastAsiaTheme="minorEastAsia"/>
        </w:rPr>
        <w:t>There is a theoretical consideration here where we consider the returns to be continuous, allowing us to use limits, which results in our calculations to come to:</w:t>
      </w:r>
    </w:p>
    <w:p w14:paraId="7AF5EB4E" w14:textId="5213C06D" w:rsidR="00390637" w:rsidRPr="00390637" w:rsidRDefault="00390637" w:rsidP="00C7069E">
      <w:pPr>
        <w:rPr>
          <w:rFonts w:eastAsiaTheme="minorEastAsia"/>
        </w:rPr>
      </w:pPr>
      <m:oMathPara>
        <m:oMath>
          <m:r>
            <w:rPr>
              <w:rFonts w:ascii="Cambria Math" w:eastAsiaTheme="minorEastAsia" w:hAnsi="Cambria Math"/>
            </w:rPr>
            <m:t>FV = V</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Rn</m:t>
              </m:r>
            </m:sup>
          </m:sSup>
        </m:oMath>
      </m:oMathPara>
    </w:p>
    <w:p w14:paraId="5AC9EAA4" w14:textId="187353F2" w:rsidR="00390637" w:rsidRDefault="00390637" w:rsidP="00C7069E">
      <w:pPr>
        <w:rPr>
          <w:rFonts w:eastAsiaTheme="minorEastAsia"/>
        </w:rPr>
      </w:pPr>
      <w:r>
        <w:rPr>
          <w:rFonts w:eastAsiaTheme="minorEastAsia"/>
        </w:rPr>
        <w:t>(We can kind of remember vaguely something similar to this when we originally calculated compounding interest)</w:t>
      </w:r>
    </w:p>
    <w:p w14:paraId="1B68365F" w14:textId="491F85A8" w:rsidR="0001269D" w:rsidRDefault="0001269D" w:rsidP="00C7069E">
      <w:pPr>
        <w:rPr>
          <w:rFonts w:eastAsiaTheme="minorEastAsia"/>
        </w:rPr>
      </w:pPr>
      <w:r>
        <w:rPr>
          <w:rFonts w:eastAsiaTheme="minorEastAsia"/>
        </w:rPr>
        <w:t>It is not considered realistic in practice however.</w:t>
      </w:r>
    </w:p>
    <w:p w14:paraId="7BA457FD" w14:textId="6889B35B" w:rsidR="005A5EBF" w:rsidRDefault="005A5EBF" w:rsidP="00C7069E">
      <w:pPr>
        <w:rPr>
          <w:rFonts w:eastAsiaTheme="minorEastAsia"/>
        </w:rPr>
      </w:pPr>
      <w:r>
        <w:rPr>
          <w:rFonts w:eastAsiaTheme="minorEastAsia"/>
        </w:rPr>
        <w:t>Note that this formula also allows for a symmetry (whereas the multiperiod returns before do not)</w:t>
      </w:r>
      <w:r w:rsidR="000765D0">
        <w:rPr>
          <w:rFonts w:eastAsiaTheme="minorEastAsia"/>
        </w:rPr>
        <w:t>.</w:t>
      </w:r>
    </w:p>
    <w:p w14:paraId="05B28EB1" w14:textId="6D6A4D3E" w:rsidR="000765D0" w:rsidRDefault="000765D0" w:rsidP="00C7069E">
      <w:pPr>
        <w:rPr>
          <w:rFonts w:eastAsiaTheme="minorEastAsia"/>
        </w:rPr>
      </w:pPr>
      <w:r>
        <w:rPr>
          <w:rFonts w:eastAsiaTheme="minorEastAsia"/>
        </w:rPr>
        <w:t>Multiperiod Continuous returns are additive.</w:t>
      </w:r>
    </w:p>
    <w:p w14:paraId="2222229C" w14:textId="3F2A35ED" w:rsidR="000765D0" w:rsidRDefault="000765D0" w:rsidP="000765D0">
      <w:pPr>
        <w:pStyle w:val="Heading4"/>
      </w:pPr>
      <w:r>
        <w:t>Book-keeping</w:t>
      </w:r>
    </w:p>
    <w:p w14:paraId="648EE62D" w14:textId="5DF12ABD" w:rsidR="000765D0" w:rsidRDefault="000765D0" w:rsidP="000765D0">
      <w:pPr>
        <w:rPr>
          <w:rFonts w:eastAsiaTheme="minorEastAsia"/>
        </w:rPr>
      </w:pPr>
      <w:r>
        <w:t xml:space="preserve">It is done in the format </w:t>
      </w:r>
      <m:oMath>
        <m:r>
          <w:rPr>
            <w:rFonts w:ascii="Cambria Math" w:hAnsi="Cambria Math"/>
          </w:rPr>
          <m:t>S1_S2</m:t>
        </m:r>
      </m:oMath>
      <w:r>
        <w:rPr>
          <w:rFonts w:eastAsiaTheme="minorEastAsia"/>
        </w:rPr>
        <w:t xml:space="preserve">, for instance, </w:t>
      </w:r>
      <m:oMath>
        <m:r>
          <w:rPr>
            <w:rFonts w:ascii="Cambria Math" w:eastAsiaTheme="minorEastAsia" w:hAnsi="Cambria Math"/>
          </w:rPr>
          <m:t>USD_CNY</m:t>
        </m:r>
      </m:oMath>
      <w:r>
        <w:rPr>
          <w:rFonts w:eastAsiaTheme="minorEastAsia"/>
        </w:rPr>
        <w:t xml:space="preserve"> or </w:t>
      </w:r>
      <m:oMath>
        <m:r>
          <w:rPr>
            <w:rFonts w:ascii="Cambria Math" w:eastAsiaTheme="minorEastAsia" w:hAnsi="Cambria Math"/>
          </w:rPr>
          <m:t>IBM_USD</m:t>
        </m:r>
      </m:oMath>
      <w:r>
        <w:rPr>
          <w:rFonts w:eastAsiaTheme="minorEastAsia"/>
        </w:rPr>
        <w:t xml:space="preserve">. The </w:t>
      </w:r>
      <m:oMath>
        <m:r>
          <w:rPr>
            <w:rFonts w:ascii="Cambria Math" w:eastAsiaTheme="minorEastAsia" w:hAnsi="Cambria Math"/>
          </w:rPr>
          <m:t>S1</m:t>
        </m:r>
      </m:oMath>
      <w:r>
        <w:rPr>
          <w:rFonts w:eastAsiaTheme="minorEastAsia"/>
        </w:rPr>
        <w:t xml:space="preserve"> indicates the BUY, and the </w:t>
      </w:r>
      <m:oMath>
        <m:r>
          <w:rPr>
            <w:rFonts w:ascii="Cambria Math" w:eastAsiaTheme="minorEastAsia" w:hAnsi="Cambria Math"/>
          </w:rPr>
          <m:t>S2</m:t>
        </m:r>
      </m:oMath>
      <w:r>
        <w:rPr>
          <w:rFonts w:eastAsiaTheme="minorEastAsia"/>
        </w:rPr>
        <w:t xml:space="preserve"> indicates the SELL.</w:t>
      </w:r>
    </w:p>
    <w:p w14:paraId="080170AD" w14:textId="57B527A3" w:rsidR="000765D0" w:rsidRDefault="000765D0" w:rsidP="000765D0">
      <w:pPr>
        <w:rPr>
          <w:rFonts w:eastAsiaTheme="minorEastAsia"/>
        </w:rPr>
      </w:pPr>
      <w:r>
        <w:rPr>
          <w:rFonts w:eastAsiaTheme="minorEastAsia"/>
        </w:rPr>
        <w:t xml:space="preserve">Note that in the market, there is not a singular price for any given item, but rather a ASK and a BID price. Meaning that BUY and SELL prices are marked differently. The difference between the ASK and BID price is called the </w:t>
      </w:r>
      <w:r w:rsidRPr="000765D0">
        <w:rPr>
          <w:rStyle w:val="StyleUnderline"/>
        </w:rPr>
        <w:t>spread</w:t>
      </w:r>
      <w:r>
        <w:rPr>
          <w:rFonts w:eastAsiaTheme="minorEastAsia"/>
        </w:rPr>
        <w:t>.</w:t>
      </w:r>
    </w:p>
    <w:p w14:paraId="5BBE6C3F" w14:textId="77777777" w:rsidR="000765D0" w:rsidRPr="000765D0" w:rsidRDefault="000765D0" w:rsidP="000765D0">
      <w:pPr>
        <w:rPr>
          <w:rFonts w:eastAsiaTheme="minorEastAsia"/>
        </w:rPr>
      </w:pPr>
      <w:bookmarkStart w:id="0" w:name="_GoBack"/>
      <w:bookmarkEnd w:id="0"/>
    </w:p>
    <w:p w14:paraId="3CD3FA03" w14:textId="77777777" w:rsidR="00C7069E" w:rsidRPr="00897051" w:rsidRDefault="00C7069E" w:rsidP="00897051"/>
    <w:sectPr w:rsidR="00C7069E" w:rsidRPr="0089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8758360"/>
    <w:docVar w:name="VerbatimVersion" w:val="5.1"/>
  </w:docVars>
  <w:rsids>
    <w:rsidRoot w:val="001821EB"/>
    <w:rsid w:val="0001269D"/>
    <w:rsid w:val="000139A3"/>
    <w:rsid w:val="000765D0"/>
    <w:rsid w:val="00100833"/>
    <w:rsid w:val="00104529"/>
    <w:rsid w:val="00105942"/>
    <w:rsid w:val="00107396"/>
    <w:rsid w:val="00144A4C"/>
    <w:rsid w:val="00176AB0"/>
    <w:rsid w:val="00177B7D"/>
    <w:rsid w:val="001821EB"/>
    <w:rsid w:val="0018322D"/>
    <w:rsid w:val="00184942"/>
    <w:rsid w:val="001B5776"/>
    <w:rsid w:val="001E527A"/>
    <w:rsid w:val="001F78CE"/>
    <w:rsid w:val="00251FC7"/>
    <w:rsid w:val="002855A7"/>
    <w:rsid w:val="00285FD4"/>
    <w:rsid w:val="002B146A"/>
    <w:rsid w:val="002B5E17"/>
    <w:rsid w:val="00315690"/>
    <w:rsid w:val="00316B75"/>
    <w:rsid w:val="00325646"/>
    <w:rsid w:val="003460F2"/>
    <w:rsid w:val="0038158C"/>
    <w:rsid w:val="003902BA"/>
    <w:rsid w:val="00390637"/>
    <w:rsid w:val="003A09E2"/>
    <w:rsid w:val="003B29EE"/>
    <w:rsid w:val="00407037"/>
    <w:rsid w:val="004605D6"/>
    <w:rsid w:val="00461EEA"/>
    <w:rsid w:val="004C60E8"/>
    <w:rsid w:val="004E3579"/>
    <w:rsid w:val="004E728B"/>
    <w:rsid w:val="004F39E0"/>
    <w:rsid w:val="00537BD5"/>
    <w:rsid w:val="005641A1"/>
    <w:rsid w:val="0057268A"/>
    <w:rsid w:val="005A5EBF"/>
    <w:rsid w:val="005D2912"/>
    <w:rsid w:val="006065BD"/>
    <w:rsid w:val="00645FA9"/>
    <w:rsid w:val="00647866"/>
    <w:rsid w:val="00665003"/>
    <w:rsid w:val="006A2AD0"/>
    <w:rsid w:val="006B08D0"/>
    <w:rsid w:val="006C2375"/>
    <w:rsid w:val="006D4ECC"/>
    <w:rsid w:val="00722258"/>
    <w:rsid w:val="007243E5"/>
    <w:rsid w:val="00766EA0"/>
    <w:rsid w:val="00783517"/>
    <w:rsid w:val="007A2226"/>
    <w:rsid w:val="007F5B66"/>
    <w:rsid w:val="00823A1C"/>
    <w:rsid w:val="00845B9D"/>
    <w:rsid w:val="00860984"/>
    <w:rsid w:val="00897051"/>
    <w:rsid w:val="008B3ECB"/>
    <w:rsid w:val="008B4E85"/>
    <w:rsid w:val="008C1B2E"/>
    <w:rsid w:val="0091627E"/>
    <w:rsid w:val="0097032B"/>
    <w:rsid w:val="009D2EAD"/>
    <w:rsid w:val="009D54B2"/>
    <w:rsid w:val="009E1922"/>
    <w:rsid w:val="009F7ED2"/>
    <w:rsid w:val="00A93661"/>
    <w:rsid w:val="00A95652"/>
    <w:rsid w:val="00AC0AB8"/>
    <w:rsid w:val="00B33C6D"/>
    <w:rsid w:val="00B40213"/>
    <w:rsid w:val="00B4508F"/>
    <w:rsid w:val="00B55AD5"/>
    <w:rsid w:val="00B72FFE"/>
    <w:rsid w:val="00B8057C"/>
    <w:rsid w:val="00BD6238"/>
    <w:rsid w:val="00BF593B"/>
    <w:rsid w:val="00BF773A"/>
    <w:rsid w:val="00BF7E81"/>
    <w:rsid w:val="00C13773"/>
    <w:rsid w:val="00C17CC8"/>
    <w:rsid w:val="00C7069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00AA"/>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C377"/>
  <w15:chartTrackingRefBased/>
  <w15:docId w15:val="{968DF10E-8347-4EB6-BF12-D334B59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21EB"/>
    <w:rPr>
      <w:rFonts w:ascii="Calibri" w:hAnsi="Calibri" w:cs="Calibri"/>
    </w:rPr>
  </w:style>
  <w:style w:type="paragraph" w:styleId="Heading1">
    <w:name w:val="heading 1"/>
    <w:aliases w:val="Pocket"/>
    <w:basedOn w:val="Normal"/>
    <w:next w:val="Normal"/>
    <w:link w:val="Heading1Char"/>
    <w:qFormat/>
    <w:rsid w:val="001821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21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821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821E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21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21EB"/>
  </w:style>
  <w:style w:type="character" w:customStyle="1" w:styleId="Heading1Char">
    <w:name w:val="Heading 1 Char"/>
    <w:aliases w:val="Pocket Char"/>
    <w:basedOn w:val="DefaultParagraphFont"/>
    <w:link w:val="Heading1"/>
    <w:rsid w:val="001821E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21E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821E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821EB"/>
    <w:rPr>
      <w:rFonts w:ascii="Calibri" w:eastAsiaTheme="majorEastAsia" w:hAnsi="Calibri" w:cstheme="majorBidi"/>
      <w:b/>
      <w:iCs/>
      <w:sz w:val="26"/>
    </w:rPr>
  </w:style>
  <w:style w:type="character" w:styleId="Emphasis">
    <w:name w:val="Emphasis"/>
    <w:basedOn w:val="DefaultParagraphFont"/>
    <w:uiPriority w:val="7"/>
    <w:qFormat/>
    <w:rsid w:val="001821EB"/>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1821EB"/>
    <w:rPr>
      <w:b/>
      <w:bCs/>
      <w:sz w:val="26"/>
      <w:u w:val="single"/>
    </w:rPr>
  </w:style>
  <w:style w:type="character" w:customStyle="1" w:styleId="StyleUnderline">
    <w:name w:val="Style Underline"/>
    <w:aliases w:val="Underline"/>
    <w:basedOn w:val="DefaultParagraphFont"/>
    <w:uiPriority w:val="6"/>
    <w:qFormat/>
    <w:rsid w:val="001821EB"/>
    <w:rPr>
      <w:b w:val="0"/>
      <w:sz w:val="22"/>
      <w:u w:val="single"/>
    </w:rPr>
  </w:style>
  <w:style w:type="character" w:styleId="Hyperlink">
    <w:name w:val="Hyperlink"/>
    <w:basedOn w:val="DefaultParagraphFont"/>
    <w:uiPriority w:val="99"/>
    <w:semiHidden/>
    <w:unhideWhenUsed/>
    <w:rsid w:val="001821EB"/>
    <w:rPr>
      <w:color w:val="auto"/>
      <w:u w:val="none"/>
    </w:rPr>
  </w:style>
  <w:style w:type="character" w:styleId="FollowedHyperlink">
    <w:name w:val="FollowedHyperlink"/>
    <w:basedOn w:val="DefaultParagraphFont"/>
    <w:uiPriority w:val="99"/>
    <w:semiHidden/>
    <w:unhideWhenUsed/>
    <w:rsid w:val="001821EB"/>
    <w:rPr>
      <w:color w:val="auto"/>
      <w:u w:val="none"/>
    </w:rPr>
  </w:style>
  <w:style w:type="character" w:styleId="PlaceholderText">
    <w:name w:val="Placeholder Text"/>
    <w:basedOn w:val="DefaultParagraphFont"/>
    <w:uiPriority w:val="99"/>
    <w:unhideWhenUsed/>
    <w:rsid w:val="006B0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3DCD3-2DA5-4822-AC63-89D32BFD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13</cp:revision>
  <dcterms:created xsi:type="dcterms:W3CDTF">2020-02-18T14:34:00Z</dcterms:created>
  <dcterms:modified xsi:type="dcterms:W3CDTF">2020-02-18T15:00:00Z</dcterms:modified>
</cp:coreProperties>
</file>