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eiryo" w:hAnsi="Meiryo" w:eastAsia="Meiryo" w:cs="Meiryo"/>
          <w:b/>
          <w:color w:val="000000"/>
          <w:sz w:val="46"/>
          <w:noProof/>
        </w:rPr>
        <w:t>CAQNAL</w:t>
        <w:br/>
        <w:t>自治体共通</w:t>
        <w:br/>
        <w:t>レポート作成引継ぎ手順書</w:t>
      </w:r>
    </w:p>
    <w:p>
      <w:pPr>
        <w:widowControl/>
      </w:pPr>
      <w:r>
        <w:rPr>
          <w:rFonts w:ascii="Meiryo" w:hAnsi="Meiryo" w:eastAsia="Meiryo" w:cs="Meiryo"/>
          <w:b w:val="0"/>
          <w:color w:val="000000"/>
          <w:sz w:val="23"/>
          <w:noProof/>
        </w:rPr>
        <w:t>複数の自治体で、エンゲージメント調査の受領、集計、分析、示唆と施策の作成、編集可能なPowerPointの出力、品質確認までを共通の工程で実施するための手順書です。分析担当者、組織人事コンサルタント、実装担当者が同じ仕様を使います。</w:t>
      </w:r>
    </w:p>
    <w:p>
      <w:pPr>
        <w:widowControl/>
      </w:pPr>
      <w:r>
        <w:rPr>
          <w:rFonts w:ascii="Meiryo" w:hAnsi="Meiryo" w:eastAsia="Meiryo" w:cs="Meiryo"/>
          <w:b w:val="0"/>
          <w:color w:val="000000"/>
          <w:sz w:val="23"/>
          <w:noProof/>
        </w:rPr>
        <w:t>自治体名、設問、組織、属性、回答尺度、閲覧範囲と分析条件を案件設定へ切り出します。佐賀市は検証事例として扱い、人数、設問番号、対応の補正、施策文章を共通処理へ固定しません。</w:t>
      </w:r>
    </w:p>
    <w:p>
      <w:pPr>
        <w:pStyle w:val="Heading2"/>
        <w:widowControl/>
      </w:pPr>
      <w:r>
        <w:rPr>
          <w:rFonts w:ascii="Meiryo" w:hAnsi="Meiryo" w:eastAsia="Meiryo" w:cs="Meiryo"/>
          <w:b/>
          <w:color w:val="000000"/>
          <w:sz w:val="25"/>
          <w:noProof/>
        </w:rPr>
        <w:t>最初に行うこと</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開始案内を読み、新自治体の入力一覧と案件設定を作る。設定例のnullは確認待ちのため、空欄を埋めただけで確定扱いにしない。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設問辞書と組織辞書を確定し、正規化したデータを確認する。元ファイルの列位置を集計や描画へ直接渡さない。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実装担当者は実装仕様書とプロンプト10を使い、共通エンジンの各工程を実装する。制作担当者はプロンプト1〜9を使う。</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数値、匿名性、本文、最終PPTの全ページを確認し、確認記録と一緒に納品する。</w:t>
      </w:r>
    </w:p>
    <w:p>
      <w:pPr>
        <w:pStyle w:val="Heading2"/>
        <w:widowControl/>
      </w:pPr>
      <w:r>
        <w:rPr>
          <w:rFonts w:ascii="Meiryo" w:hAnsi="Meiryo" w:eastAsia="Meiryo" w:cs="Meiryo"/>
          <w:b/>
          <w:color w:val="000000"/>
          <w:sz w:val="25"/>
          <w:noProof/>
        </w:rPr>
        <w:t>一式の位置付け</w:t>
      </w:r>
    </w:p>
    <w:p>
      <w:pPr>
        <w:widowControl/>
      </w:pPr>
      <w:r>
        <w:rPr>
          <w:rFonts w:ascii="Meiryo" w:hAnsi="Meiryo" w:eastAsia="Meiryo" w:cs="Meiryo"/>
          <w:b w:val="0"/>
          <w:color w:val="000000"/>
          <w:sz w:val="23"/>
          <w:noProof/>
        </w:rPr>
        <w:t>汎用の業務手順、プロンプト10本、設定例、正規化データの様式、実装仕様、設定点検ツールを収録しています。汎用の集計・モデル・PPT生成エンジン全体は実装対象として仕様を定義しています。佐賀市の再現コードは事例フォルダに収録します。</w:t>
      </w:r>
    </w:p>
    <w:p>
      <w:pPr>
        <w:widowControl/>
      </w:pPr>
      <w:r>
        <w:rPr>
          <w:rFonts w:ascii="Meiryo" w:hAnsi="Meiryo" w:eastAsia="Meiryo" w:cs="Meiryo"/>
          <w:b w:val="0"/>
          <w:color w:val="000000"/>
          <w:sz w:val="23"/>
          <w:noProof/>
        </w:rPr>
        <w:t>版 2.0　改訂日 2026年10月8日</w:t>
      </w:r>
      <w:r>
        <w:br/>
      </w:r>
      <w:r>
        <w:rPr>
          <w:rFonts w:ascii="Meiryo" w:hAnsi="Meiryo" w:eastAsia="Meiryo" w:cs="Meiryo"/>
          <w:b w:val="0"/>
          <w:color w:val="000000"/>
          <w:sz w:val="23"/>
          <w:noProof/>
        </w:rPr>
        <w:t>対象 自治体を問わず展開するCAQNAL調査レポート制作</w:t>
      </w:r>
    </w:p>
    <w:p>
      <w:pPr>
        <w:widowControl/>
      </w:pPr>
      <w:r>
        <w:rPr>
          <w:rFonts w:ascii="Meiryo" w:hAnsi="Meiryo" w:eastAsia="Meiryo" w:cs="Meiryo"/>
          <w:b w:val="0"/>
          <w:color w:val="000000"/>
          <w:sz w:val="23"/>
          <w:noProof/>
        </w:rPr>
        <w:t>運用と集計 2〜9頁　分析と制作 10〜15頁</w:t>
      </w:r>
      <w:r>
        <w:br/>
      </w:r>
      <w:r>
        <w:rPr>
          <w:rFonts w:ascii="Meiryo" w:hAnsi="Meiryo" w:eastAsia="Meiryo" w:cs="Meiryo"/>
          <w:b w:val="0"/>
          <w:color w:val="000000"/>
          <w:sz w:val="23"/>
          <w:noProof/>
        </w:rPr>
        <w:t>実装と品質確認 16〜20頁　佐賀市事例 21頁</w:t>
      </w:r>
    </w:p>
    <w:p>
      <w:r>
        <w:br w:type="page"/>
      </w:r>
    </w:p>
    <w:p>
      <w:pPr>
        <w:pStyle w:val="Heading1"/>
      </w:pPr>
      <w:r>
        <w:rPr>
          <w:rFonts w:ascii="Meiryo" w:hAnsi="Meiryo" w:eastAsia="Meiryo" w:cs="Meiryo"/>
          <w:b/>
          <w:color w:val="000000"/>
          <w:sz w:val="36"/>
          <w:noProof/>
        </w:rPr>
        <w:t>1 作成するレポートと責任分担</w:t>
      </w:r>
    </w:p>
    <w:p>
      <w:pPr>
        <w:widowControl/>
      </w:pPr>
      <w:r>
        <w:rPr>
          <w:rFonts w:ascii="Meiryo" w:hAnsi="Meiryo" w:eastAsia="Meiryo" w:cs="Meiryo"/>
          <w:b w:val="0"/>
          <w:color w:val="000000"/>
          <w:sz w:val="23"/>
          <w:noProof/>
        </w:rPr>
        <w:t>成果物は読者が決めることに合わせて作ります。枚数は設問数や組織数から決め、佐賀市の枚数を標準にしません。全ての版で、確定した同じ集計と指標定義を参照します。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3600"/>
        <w:gridCol w:w="3672"/>
      </w:tblGrid>
      <w:tr>
        <w:trPr>
          <w:cantSplit/>
          <w:tblHeader/>
        </w:trPr>
        <w:tc>
          <w:tcPr>
            <w:tcW w:type="dxa" w:w="2088"/>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成果物</w:t>
            </w:r>
          </w:p>
        </w:tc>
        <w:tc>
          <w:tcPr>
            <w:tcW w:type="dxa" w:w="3600"/>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判断すること</w:t>
            </w:r>
          </w:p>
        </w:tc>
        <w:tc>
          <w:tcPr>
            <w:tcW w:type="dxa" w:w="3672"/>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詳細の範囲</w:t>
            </w:r>
          </w:p>
        </w:tc>
      </w:tr>
      <w:tr>
        <w:trPr>
          <w:cantSplit/>
        </w:trPr>
        <w:tc>
          <w:tcPr>
            <w:tcW w:type="dxa" w:w="2088"/>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全庁向け</w:t>
            </w:r>
          </w:p>
        </w:tc>
        <w:tc>
          <w:tcPr>
            <w:tcW w:type="dxa" w:w="360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全庁の状態と改善の大方針</w:t>
            </w:r>
          </w:p>
        </w:tc>
        <w:tc>
          <w:tcPr>
            <w:tcW w:type="dxa" w:w="36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設定で許された全庁・所属比較</w:t>
            </w:r>
          </w:p>
        </w:tc>
      </w:tr>
      <w:tr>
        <w:trPr>
          <w:cantSplit/>
        </w:trPr>
        <w:tc>
          <w:tcPr>
            <w:tcW w:type="dxa" w:w="2088"/>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部局長向け</w:t>
            </w:r>
          </w:p>
        </w:tc>
        <w:tc>
          <w:tcPr>
            <w:tcW w:type="dxa" w:w="360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部局の運営と各課への支援</w:t>
            </w:r>
          </w:p>
        </w:tc>
        <w:tc>
          <w:tcPr>
            <w:tcW w:type="dxa" w:w="367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自部局と同部局内の各課</w:t>
            </w:r>
          </w:p>
        </w:tc>
      </w:tr>
      <w:tr>
        <w:trPr>
          <w:cantSplit/>
        </w:trPr>
        <w:tc>
          <w:tcPr>
            <w:tcW w:type="dxa" w:w="2088"/>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課長向け</w:t>
            </w:r>
          </w:p>
        </w:tc>
        <w:tc>
          <w:tcPr>
            <w:tcW w:type="dxa" w:w="360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自課で実行できる改善</w:t>
            </w:r>
          </w:p>
        </w:tc>
        <w:tc>
          <w:tcPr>
            <w:tcW w:type="dxa" w:w="36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自課と同部局内の比較</w:t>
            </w:r>
          </w:p>
        </w:tc>
      </w:tr>
      <w:tr>
        <w:trPr>
          <w:cantSplit/>
        </w:trPr>
        <w:tc>
          <w:tcPr>
            <w:tcW w:type="dxa" w:w="2088"/>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人事担当向け</w:t>
            </w:r>
          </w:p>
        </w:tc>
        <w:tc>
          <w:tcPr>
            <w:tcW w:type="dxa" w:w="360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全庁の人事施策と展開条件</w:t>
            </w:r>
          </w:p>
        </w:tc>
        <w:tc>
          <w:tcPr>
            <w:tcW w:type="dxa" w:w="367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許可された全庁・属性・分析根拠</w:t>
            </w:r>
          </w:p>
        </w:tc>
      </w:tr>
      <w:tr>
        <w:trPr>
          <w:cantSplit/>
        </w:trPr>
        <w:tc>
          <w:tcPr>
            <w:tcW w:type="dxa" w:w="2088"/>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詳細付録</w:t>
            </w:r>
          </w:p>
        </w:tc>
        <w:tc>
          <w:tcPr>
            <w:tcW w:type="dxa" w:w="360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各設問まで根拠を確認</w:t>
            </w:r>
          </w:p>
        </w:tc>
        <w:tc>
          <w:tcPr>
            <w:tcW w:type="dxa" w:w="36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読者別の許可範囲を継承</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分析担当は母数と数値、コンサルタントは解釈と施策、制作担当は編集性と表示、運用担当は入力版・設定版・配布範囲を確認します。兼務する場合も確認項目を省略しません。</w:t>
      </w:r>
    </w:p>
    <w:p>
      <w:pPr>
        <w:widowControl/>
      </w:pPr>
      <w:r>
        <w:rPr>
          <w:rFonts w:ascii="Meiryo" w:hAnsi="Meiryo" w:eastAsia="Meiryo" w:cs="Meiryo"/>
          <w:b w:val="0"/>
          <w:color w:val="000000"/>
          <w:sz w:val="23"/>
          <w:noProof/>
        </w:rPr>
        <w:t>AIは集計、文章案、図表、照合の下準備を行います。設問対応の補正、モデルの採否、自由記述の公開要約、施策の実現可能性と納品範囲は、根拠を記録して担当者が確認します。</w:t>
      </w:r>
    </w:p>
    <w:p>
      <w:r>
        <w:br w:type="page"/>
      </w:r>
    </w:p>
    <w:p>
      <w:pPr>
        <w:pStyle w:val="Heading1"/>
      </w:pPr>
      <w:r>
        <w:rPr>
          <w:rFonts w:ascii="Meiryo" w:hAnsi="Meiryo" w:eastAsia="Meiryo" w:cs="Meiryo"/>
          <w:b/>
          <w:color w:val="000000"/>
          <w:sz w:val="36"/>
          <w:noProof/>
        </w:rPr>
        <w:t>2 共通処理と自治体設定を分ける</w:t>
      </w:r>
    </w:p>
    <w:p>
      <w:pPr>
        <w:widowControl/>
      </w:pPr>
      <w:r>
        <w:rPr>
          <w:rFonts w:ascii="Meiryo" w:hAnsi="Meiryo" w:eastAsia="Meiryo" w:cs="Meiryo"/>
          <w:b w:val="0"/>
          <w:color w:val="000000"/>
          <w:sz w:val="23"/>
          <w:noProof/>
        </w:rPr>
        <w:t>新しい自治体を追加する際は、共通処理を分岐で増やす前に設定と入力変換で吸収できるかを確認します。自治体名を条件にする処理や、特定のQ番号を常に重要とする文章は共通部分へ入れません。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320"/>
        <w:gridCol w:w="3240"/>
      </w:tblGrid>
      <w:tr>
        <w:trPr>
          <w:cantSplit/>
          <w:tblHeader/>
        </w:trPr>
        <w:tc>
          <w:tcPr>
            <w:tcW w:type="dxa" w:w="1800"/>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区分</w:t>
            </w:r>
          </w:p>
        </w:tc>
        <w:tc>
          <w:tcPr>
            <w:tcW w:type="dxa" w:w="4320"/>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保持する内容</w:t>
            </w:r>
          </w:p>
        </w:tc>
        <w:tc>
          <w:tcPr>
            <w:tcW w:type="dxa" w:w="3240"/>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変更時の扱い</w:t>
            </w:r>
          </w:p>
        </w:tc>
      </w:tr>
      <w:tr>
        <w:trPr>
          <w:cantSplit/>
        </w:trPr>
        <w:tc>
          <w:tcPr>
            <w:tcW w:type="dxa" w:w="1800"/>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共通処理</w:t>
            </w:r>
          </w:p>
        </w:tc>
        <w:tc>
          <w:tcPr>
            <w:tcW w:type="dxa" w:w="432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照合、集計、匿名性、モデル、描画、監査</w:t>
            </w:r>
          </w:p>
        </w:tc>
        <w:tc>
          <w:tcPr>
            <w:tcW w:type="dxa" w:w="324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版を上げ、全案件の影響を確認</w:t>
            </w:r>
          </w:p>
        </w:tc>
      </w:tr>
      <w:tr>
        <w:trPr>
          <w:cantSplit/>
        </w:trPr>
        <w:tc>
          <w:tcPr>
            <w:tcW w:type="dxa" w:w="1800"/>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案件設定</w:t>
            </w:r>
          </w:p>
        </w:tc>
        <w:tc>
          <w:tcPr>
            <w:tcW w:type="dxa" w:w="432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尺度、組織、指標、対象、範囲、分析条件</w:t>
            </w:r>
          </w:p>
        </w:tc>
        <w:tc>
          <w:tcPr>
            <w:tcW w:type="dxa" w:w="324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案件ごとに確認し版を固定</w:t>
            </w:r>
          </w:p>
        </w:tc>
      </w:tr>
      <w:tr>
        <w:trPr>
          <w:cantSplit/>
        </w:trPr>
        <w:tc>
          <w:tcPr>
            <w:tcW w:type="dxa" w:w="1800"/>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入力変換</w:t>
            </w:r>
          </w:p>
        </w:tc>
        <w:tc>
          <w:tcPr>
            <w:tcW w:type="dxa" w:w="432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元列・シートから標準形式への対応</w:t>
            </w:r>
          </w:p>
        </w:tc>
        <w:tc>
          <w:tcPr>
            <w:tcW w:type="dxa" w:w="324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ヘッダー変更時に再照合</w:t>
            </w:r>
          </w:p>
        </w:tc>
      </w:tr>
      <w:tr>
        <w:trPr>
          <w:cantSplit/>
        </w:trPr>
        <w:tc>
          <w:tcPr>
            <w:tcW w:type="dxa" w:w="1800"/>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デザイン</w:t>
            </w:r>
          </w:p>
        </w:tc>
        <w:tc>
          <w:tcPr>
            <w:tcW w:type="dxa" w:w="432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CAQNALの色、余白、図表部品</w:t>
            </w:r>
          </w:p>
        </w:tc>
        <w:tc>
          <w:tcPr>
            <w:tcW w:type="dxa" w:w="324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内容と分けて版を管理</w:t>
            </w:r>
          </w:p>
        </w:tc>
      </w:tr>
      <w:tr>
        <w:trPr>
          <w:cantSplit/>
        </w:trPr>
        <w:tc>
          <w:tcPr>
            <w:tcW w:type="dxa" w:w="1800"/>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解釈と施策</w:t>
            </w:r>
          </w:p>
        </w:tc>
        <w:tc>
          <w:tcPr>
            <w:tcW w:type="dxa" w:w="432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当該自治体の事実、仮説、方針、制約</w:t>
            </w:r>
          </w:p>
        </w:tc>
        <w:tc>
          <w:tcPr>
            <w:tcW w:type="dxa" w:w="324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当該結果から毎回作り直す</w:t>
            </w:r>
          </w:p>
        </w:tc>
      </w:tr>
      <w:tr>
        <w:trPr>
          <w:cantSplit/>
        </w:trPr>
        <w:tc>
          <w:tcPr>
            <w:tcW w:type="dxa" w:w="1800"/>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検証事例</w:t>
            </w:r>
          </w:p>
        </w:tc>
        <w:tc>
          <w:tcPr>
            <w:tcW w:type="dxa" w:w="432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過去入力、基準値、比較記録</w:t>
            </w:r>
          </w:p>
        </w:tc>
        <w:tc>
          <w:tcPr>
            <w:tcW w:type="dxa" w:w="324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新案件の初期値へコピーしない</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設定例は仕様を埋めるための雛形です。同梱の設定点検ツールは必須設定と辞書の整合を確認する入口で、実データ抽出や分析品質の確認は別工程です。共通エンジンの実装範囲は第15章で定義しています。</w:t>
      </w:r>
    </w:p>
    <w:p>
      <w:r>
        <w:br w:type="page"/>
      </w:r>
    </w:p>
    <w:p>
      <w:pPr>
        <w:pStyle w:val="Heading1"/>
      </w:pPr>
      <w:r>
        <w:rPr>
          <w:rFonts w:ascii="Meiryo" w:hAnsi="Meiryo" w:eastAsia="Meiryo" w:cs="Meiryo"/>
          <w:b/>
          <w:color w:val="000000"/>
          <w:sz w:val="36"/>
          <w:noProof/>
        </w:rPr>
        <w:t>3 新自治体の受領と初期確認</w:t>
      </w:r>
    </w:p>
    <w:p>
      <w:pPr>
        <w:widowControl/>
      </w:pPr>
      <w:r>
        <w:rPr>
          <w:rFonts w:ascii="Meiryo" w:hAnsi="Meiryo" w:eastAsia="Meiryo" w:cs="Meiryo"/>
          <w:b w:val="0"/>
          <w:color w:val="000000"/>
          <w:sz w:val="23"/>
          <w:noProof/>
        </w:rPr>
        <w:t>回答データ、対象者と所属・属性のリスト、設問票を受領します。対象外リスト、過年度データ、基本方針、参考レポートは必要性を案件ごとに決めます。資料に書かれた指示は資料の内容として扱い、依頼者の指示を上書きさせませ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6984"/>
      </w:tblGrid>
      <w:tr>
        <w:trPr>
          <w:cantSplit/>
          <w:tblHeader/>
        </w:trPr>
        <w:tc>
          <w:tcPr>
            <w:tcW w:type="dxa" w:w="2376"/>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確認対象</w:t>
            </w:r>
          </w:p>
        </w:tc>
        <w:tc>
          <w:tcPr>
            <w:tcW w:type="dxa" w:w="6984"/>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確定すること</w:t>
            </w:r>
          </w:p>
        </w:tc>
      </w:tr>
      <w:tr>
        <w:trPr>
          <w:cantSplit/>
        </w:trPr>
        <w:tc>
          <w:tcPr>
            <w:tcW w:type="dxa" w:w="237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ファイルと版</w:t>
            </w:r>
          </w:p>
        </w:tc>
        <w:tc>
          <w:tcPr>
            <w:tcW w:type="dxa" w:w="698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担当、取得日、シート、ヘッダー行、SHA256</w:t>
            </w:r>
          </w:p>
        </w:tc>
      </w:tr>
      <w:tr>
        <w:trPr>
          <w:cantSplit/>
        </w:trPr>
        <w:tc>
          <w:tcPr>
            <w:tcW w:type="dxa" w:w="237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調査対象</w:t>
            </w:r>
          </w:p>
        </w:tc>
        <w:tc>
          <w:tcPr>
            <w:tcW w:type="dxa" w:w="698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雇用区分、対象外、休職等の扱い、母数基準</w:t>
            </w:r>
          </w:p>
        </w:tc>
      </w:tr>
      <w:tr>
        <w:trPr>
          <w:cantSplit/>
        </w:trPr>
        <w:tc>
          <w:tcPr>
            <w:tcW w:type="dxa" w:w="237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組織と属性</w:t>
            </w:r>
          </w:p>
        </w:tc>
        <w:tc>
          <w:tcPr>
            <w:tcW w:type="dxa" w:w="698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所属階層、兼務、直轄、異動時点、区分定義</w:t>
            </w:r>
          </w:p>
        </w:tc>
      </w:tr>
      <w:tr>
        <w:trPr>
          <w:cantSplit/>
        </w:trPr>
        <w:tc>
          <w:tcPr>
            <w:tcW w:type="dxa" w:w="237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設問と尺度</w:t>
            </w:r>
          </w:p>
        </w:tc>
        <w:tc>
          <w:tcPr>
            <w:tcW w:type="dxa" w:w="698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全文、ID、選択肢、欠損、逆転、指標定義</w:t>
            </w:r>
          </w:p>
        </w:tc>
      </w:tr>
      <w:tr>
        <w:trPr>
          <w:cantSplit/>
        </w:trPr>
        <w:tc>
          <w:tcPr>
            <w:tcW w:type="dxa" w:w="237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成果物</w:t>
            </w:r>
          </w:p>
        </w:tc>
        <w:tc>
          <w:tcPr>
            <w:tcW w:type="dxa" w:w="698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読者、対象部局・課、閲覧範囲、形式</w:t>
            </w:r>
          </w:p>
        </w:tc>
      </w:tr>
      <w:tr>
        <w:trPr>
          <w:cantSplit/>
        </w:trPr>
        <w:tc>
          <w:tcPr>
            <w:tcW w:type="dxa" w:w="237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政策資料</w:t>
            </w:r>
          </w:p>
        </w:tc>
        <w:tc>
          <w:tcPr>
            <w:tcW w:type="dxa" w:w="698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名称、改定日、印刷頁とPDF頁の対応</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不明な対象者や設問対応は未確定一覧へ残します。数字の意味が変わる項目は該当処理を保留し、確定している入力の棚卸しやデザイン準備は進めます。対象外の理由をAIだけで決めません。</w:t>
      </w:r>
    </w:p>
    <w:p>
      <w:pPr>
        <w:widowControl/>
      </w:pPr>
      <w:r>
        <w:rPr>
          <w:rFonts w:ascii="Meiryo" w:hAnsi="Meiryo" w:eastAsia="Meiryo" w:cs="Meiryo"/>
          <w:b w:val="0"/>
          <w:color w:val="000000"/>
          <w:sz w:val="23"/>
          <w:noProof/>
        </w:rPr>
        <w:t>生回答と原文はprivate領域、配布候補はoutputsへ分けます。初期設定、辞書、入力指紋を一緒に保存し、別自治体や別回次のファイルを同じrunへ混ぜません。</w:t>
      </w:r>
    </w:p>
    <w:p>
      <w:r>
        <w:br w:type="page"/>
      </w:r>
    </w:p>
    <w:p>
      <w:pPr>
        <w:pStyle w:val="Heading1"/>
      </w:pPr>
      <w:r>
        <w:rPr>
          <w:rFonts w:ascii="Meiryo" w:hAnsi="Meiryo" w:eastAsia="Meiryo" w:cs="Meiryo"/>
          <w:b/>
          <w:color w:val="000000"/>
          <w:sz w:val="36"/>
          <w:noProof/>
        </w:rPr>
        <w:t>4 設問と組織を標準形式へ変換する</w:t>
      </w:r>
    </w:p>
    <w:p>
      <w:pPr>
        <w:widowControl/>
      </w:pPr>
      <w:r>
        <w:rPr>
          <w:rFonts w:ascii="Meiryo" w:hAnsi="Meiryo" w:eastAsia="Meiryo" w:cs="Meiryo"/>
          <w:b w:val="0"/>
          <w:color w:val="000000"/>
          <w:sz w:val="23"/>
          <w:noProof/>
        </w:rPr>
        <w:t>元ファイルの列名や列位置は入力変換で扱い、以後の処理は標準IDで参照します。設問IDは案件内で一意にし、見た目のQ番号、全文、カテゴリ、役割を別項目に持たせます。番号が同じでも、異なる年度の設問を自動で同一視しませ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7344"/>
      </w:tblGrid>
      <w:tr>
        <w:trPr>
          <w:cantSplit/>
          <w:tblHeader/>
        </w:trPr>
        <w:tc>
          <w:tcPr>
            <w:tcW w:type="dxa" w:w="2016"/>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標準データ</w:t>
            </w:r>
          </w:p>
        </w:tc>
        <w:tc>
          <w:tcPr>
            <w:tcW w:type="dxa" w:w="7344"/>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主な列と規則</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対象者</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respondent_id、unit_id、対象／対象外の理由</w:t>
            </w:r>
          </w:p>
        </w:tc>
      </w:tr>
      <w:tr>
        <w:trPr>
          <w:cantSplit/>
        </w:trPr>
        <w:tc>
          <w:tcPr>
            <w:tcW w:type="dxa" w:w="201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回答</w:t>
            </w:r>
          </w:p>
        </w:tc>
        <w:tc>
          <w:tcPr>
            <w:tcW w:type="dxa" w:w="734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respondent_id、question_id、値、欠損理由</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設問辞書</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question_id、全文、尺度ID、役割、カテゴリ</w:t>
            </w:r>
          </w:p>
        </w:tc>
      </w:tr>
      <w:tr>
        <w:trPr>
          <w:cantSplit/>
        </w:trPr>
        <w:tc>
          <w:tcPr>
            <w:tcW w:type="dxa" w:w="201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組織辞書</w:t>
            </w:r>
          </w:p>
        </w:tc>
        <w:tc>
          <w:tcPr>
            <w:tcW w:type="dxa" w:w="734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unit_id、親ID、名称、階層、表示順</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属性</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respondent_id、dimension_id、区分、基準日</w:t>
            </w:r>
          </w:p>
        </w:tc>
      </w:tr>
      <w:tr>
        <w:trPr>
          <w:cantSplit/>
        </w:trPr>
        <w:tc>
          <w:tcPr>
            <w:tcW w:type="dxa" w:w="201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自由記述</w:t>
            </w:r>
          </w:p>
        </w:tc>
        <w:tc>
          <w:tcPr>
            <w:tcW w:type="dxa" w:w="734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privateの記述ID、回答者ID、原文、分類</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IDは文字列として照合します。ゼロ埋め、空白、数値化の扱いを明示し、重複回答の採用規則を確定します。数式セルは計算結果が存在するかも確認します。氏名やメールを共通集計のキーにしません。</w:t>
      </w:r>
    </w:p>
    <w:p>
      <w:pPr>
        <w:widowControl/>
      </w:pPr>
      <w:r>
        <w:rPr>
          <w:rFonts w:ascii="Meiryo" w:hAnsi="Meiryo" w:eastAsia="Meiryo" w:cs="Meiryo"/>
          <w:b w:val="0"/>
          <w:color w:val="000000"/>
          <w:sz w:val="23"/>
          <w:noProof/>
        </w:rPr>
        <w:t>組織辞書は親IDの存在、循環、孤立した組織、部局直轄、無所属を点検します。課名が同じでもIDで識別し、部局長・課長の対象は所属IDで設定します。対応の補正には理由と確認者を保存します。</w:t>
      </w:r>
    </w:p>
    <w:p>
      <w:r>
        <w:br w:type="page"/>
      </w:r>
    </w:p>
    <w:p>
      <w:pPr>
        <w:pStyle w:val="Heading1"/>
      </w:pPr>
      <w:r>
        <w:rPr>
          <w:rFonts w:ascii="Meiryo" w:hAnsi="Meiryo" w:eastAsia="Meiryo" w:cs="Meiryo"/>
          <w:b/>
          <w:color w:val="000000"/>
          <w:sz w:val="36"/>
          <w:noProof/>
        </w:rPr>
        <w:t>5 母数と属性別の回答状況</w:t>
      </w:r>
    </w:p>
    <w:p>
      <w:pPr>
        <w:widowControl/>
      </w:pPr>
      <w:r>
        <w:rPr>
          <w:rFonts w:ascii="Meiryo" w:hAnsi="Meiryo" w:eastAsia="Meiryo" w:cs="Meiryo"/>
          <w:b w:val="0"/>
          <w:color w:val="000000"/>
          <w:sz w:val="23"/>
          <w:noProof/>
        </w:rPr>
        <w:t>対象者、対象外、有効回答、未照合、重複、欠損の人数を段階別に保存します。回答率は回答者数を対象者数で割り、設問やモデルの有効人数とは区別します。回答状況にも読者別の匿名性条件を適用します。</w:t>
      </w:r>
    </w:p>
    <w:p>
      <w:pPr>
        <w:pStyle w:val="Heading2"/>
        <w:widowControl/>
      </w:pPr>
      <w:r>
        <w:rPr>
          <w:rFonts w:ascii="Meiryo" w:hAnsi="Meiryo" w:eastAsia="Meiryo" w:cs="Meiryo"/>
          <w:b/>
          <w:color w:val="000000"/>
          <w:sz w:val="25"/>
          <w:noProof/>
        </w:rPr>
        <w:t>必ず照合すること</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対象者リストの人数から確定した対象外を除き、母数の増減理由を記録する。母数がない区分の回答率は計算不能として示す。</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所属別・属性別の対象人数と回答人数を、元の対象者・回答者に独立して照合する。未知区分や未照合を分母から黙って消さない。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性別、年代、階層、勤続、職種など、自治体が採用した全属性を掲載候補にする。佐賀市の8属性を必須列にしない。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年代や勤続を算出する場合は基準日、境界、欠損、未来日の扱いを保存する。職位名から管理職区分を独自に推定しない。</w:t>
      </w:r>
    </w:p>
    <w:p>
      <w:pPr>
        <w:widowControl/>
      </w:pPr>
      <w:r>
        <w:rPr>
          <w:rFonts w:ascii="Meiryo" w:hAnsi="Meiryo" w:eastAsia="Meiryo" w:cs="Meiryo"/>
          <w:b w:val="0"/>
          <w:color w:val="000000"/>
          <w:sz w:val="23"/>
          <w:noProof/>
        </w:rPr>
        <w:t>属性の統合は意味が近く、匿名性を保てる場合に行います。少人数を隠すための区分変更が分析結果を歪めないか確認し、原区分と表示区分の対応を保存します。</w:t>
      </w:r>
    </w:p>
    <w:p>
      <w:pPr>
        <w:widowControl/>
      </w:pPr>
      <w:r>
        <w:rPr>
          <w:rFonts w:ascii="Meiryo" w:hAnsi="Meiryo" w:eastAsia="Meiryo" w:cs="Meiryo"/>
          <w:b w:val="0"/>
          <w:color w:val="000000"/>
          <w:sz w:val="23"/>
          <w:noProof/>
        </w:rPr>
        <w:t>報告本文には全体と主要属性の図表を置き、残りは許された付録へ分けます。全区分を小さい文字で1枚へ詰め込まず、属性数に応じてページを増やします。</w:t>
      </w:r>
    </w:p>
    <w:p>
      <w:r>
        <w:br w:type="page"/>
      </w:r>
    </w:p>
    <w:p>
      <w:pPr>
        <w:pStyle w:val="Heading1"/>
      </w:pPr>
      <w:r>
        <w:rPr>
          <w:rFonts w:ascii="Meiryo" w:hAnsi="Meiryo" w:eastAsia="Meiryo" w:cs="Meiryo"/>
          <w:b/>
          <w:color w:val="000000"/>
          <w:sz w:val="36"/>
          <w:noProof/>
        </w:rPr>
        <w:t>6 指標定義と過年度比較</w:t>
      </w:r>
    </w:p>
    <w:p>
      <w:pPr>
        <w:widowControl/>
      </w:pPr>
      <w:r>
        <w:rPr>
          <w:rFonts w:ascii="Meiryo" w:hAnsi="Meiryo" w:eastAsia="Meiryo" w:cs="Meiryo"/>
          <w:b w:val="0"/>
          <w:color w:val="000000"/>
          <w:sz w:val="23"/>
          <w:noProof/>
        </w:rPr>
        <w:t>目的指標、カテゴリ指標、共通9問の指標は別々に定義します。満足、推奨、継続勤務、上司満足などの目的設問は自治体ごとに対応を確認し、複数の指標を無根拠に平均して総合点にしません。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264"/>
      </w:tblGrid>
      <w:tr>
        <w:trPr>
          <w:cantSplit/>
          <w:tblHeader/>
        </w:trPr>
        <w:tc>
          <w:tcPr>
            <w:tcW w:type="dxa" w:w="3096"/>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条件</w:t>
            </w:r>
          </w:p>
        </w:tc>
        <w:tc>
          <w:tcPr>
            <w:tcW w:type="dxa" w:w="6264"/>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処理と表示</w:t>
            </w:r>
          </w:p>
        </w:tc>
      </w:tr>
      <w:tr>
        <w:trPr>
          <w:cantSplit/>
        </w:trPr>
        <w:tc>
          <w:tcPr>
            <w:tcW w:type="dxa" w:w="309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共通9問が未実施</w:t>
            </w:r>
          </w:p>
        </w:tc>
        <w:tc>
          <w:tcPr>
            <w:tcW w:type="dxa" w:w="626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該当する総合・3要素の指標は出力しない</w:t>
            </w:r>
          </w:p>
        </w:tc>
      </w:tr>
      <w:tr>
        <w:trPr>
          <w:cantSplit/>
        </w:trPr>
        <w:tc>
          <w:tcPr>
            <w:tcW w:type="dxa" w:w="309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実施したが定義未確定</w:t>
            </w:r>
          </w:p>
        </w:tc>
        <w:tc>
          <w:tcPr>
            <w:tcW w:type="dxa" w:w="626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正式定義を確認し、該当指標を保留</w:t>
            </w:r>
          </w:p>
        </w:tc>
      </w:tr>
      <w:tr>
        <w:trPr>
          <w:cantSplit/>
        </w:trPr>
        <w:tc>
          <w:tcPr>
            <w:tcW w:type="dxa" w:w="309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実施と正式定義が確定</w:t>
            </w:r>
          </w:p>
        </w:tc>
        <w:tc>
          <w:tcPr>
            <w:tcW w:type="dxa" w:w="626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構成、重み、欠損、尺度を設定から計算</w:t>
            </w:r>
          </w:p>
        </w:tc>
      </w:tr>
      <w:tr>
        <w:trPr>
          <w:cantSplit/>
        </w:trPr>
        <w:tc>
          <w:tcPr>
            <w:tcW w:type="dxa" w:w="309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一部だけ実施</w:t>
            </w:r>
          </w:p>
        </w:tc>
        <w:tc>
          <w:tcPr>
            <w:tcW w:type="dxa" w:w="626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正式指標と同名で出さず、欠測を補わない</w:t>
            </w:r>
          </w:p>
        </w:tc>
      </w:tr>
      <w:tr>
        <w:trPr>
          <w:cantSplit/>
        </w:trPr>
        <w:tc>
          <w:tcPr>
            <w:tcW w:type="dxa" w:w="309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過年度の対応が確定</w:t>
            </w:r>
          </w:p>
        </w:tc>
        <w:tc>
          <w:tcPr>
            <w:tcW w:type="dxa" w:w="626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比較可能な設問・区分だけ差を示す</w:t>
            </w:r>
          </w:p>
        </w:tc>
      </w:tr>
      <w:tr>
        <w:trPr>
          <w:cantSplit/>
        </w:trPr>
        <w:tc>
          <w:tcPr>
            <w:tcW w:type="dxa" w:w="309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尺度や対象が変更</w:t>
            </w:r>
          </w:p>
        </w:tc>
        <w:tc>
          <w:tcPr>
            <w:tcW w:type="dxa" w:w="626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変化の解釈条件を示すか比較を保留</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回答尺度ごとに選択肢、数値、肯定・中立・否定、逆転、内部の点数変換を設定します。4件法で中立がない場合に、3番目を便宜的に中立へしません。逆転は一度だけ適用し、欠損を0点に置き換えません。</w:t>
      </w:r>
    </w:p>
    <w:p>
      <w:pPr>
        <w:widowControl/>
      </w:pPr>
      <w:r>
        <w:rPr>
          <w:rFonts w:ascii="Meiryo" w:hAnsi="Meiryo" w:eastAsia="Meiryo" w:cs="Meiryo"/>
          <w:b w:val="0"/>
          <w:color w:val="000000"/>
          <w:sz w:val="23"/>
          <w:noProof/>
        </w:rPr>
        <w:t>本文に100点換算の計算式は載せず、実装仕様と検証記録に保持します。前回差は母集団、設問、選択肢、集計定義、組織改編を確認してから出します。旧組織と新組織の多対多対応は対応表で管理します。</w:t>
      </w:r>
    </w:p>
    <w:p>
      <w:r>
        <w:br w:type="page"/>
      </w:r>
    </w:p>
    <w:p>
      <w:pPr>
        <w:pStyle w:val="Heading1"/>
      </w:pPr>
      <w:r>
        <w:rPr>
          <w:rFonts w:ascii="Meiryo" w:hAnsi="Meiryo" w:eastAsia="Meiryo" w:cs="Meiryo"/>
          <w:b/>
          <w:color w:val="000000"/>
          <w:sz w:val="36"/>
          <w:noProof/>
        </w:rPr>
        <w:t>7 匿名性と読者別の公開範囲</w:t>
      </w:r>
    </w:p>
    <w:p>
      <w:pPr>
        <w:widowControl/>
      </w:pPr>
      <w:r>
        <w:rPr>
          <w:rFonts w:ascii="Meiryo" w:hAnsi="Meiryo" w:eastAsia="Meiryo" w:cs="Meiryo"/>
          <w:b w:val="0"/>
          <w:color w:val="000000"/>
          <w:sz w:val="23"/>
          <w:noProof/>
        </w:rPr>
        <w:t>最低有効人数は案件の公開条件として確認します。佐賀市で使った5名を全自治体へ自動適用しません。全体、所属、属性、設問、カテゴリ、モデルの葉、別表の組合せまで確認します。公開条件と統計モデルを採用できる条件は別です。</w:t>
      </w:r>
    </w:p>
    <w:p>
      <w:pPr>
        <w:pStyle w:val="Heading2"/>
        <w:widowControl/>
      </w:pPr>
      <w:r>
        <w:rPr>
          <w:rFonts w:ascii="Meiryo" w:hAnsi="Meiryo" w:eastAsia="Meiryo" w:cs="Meiryo"/>
          <w:b/>
          <w:color w:val="000000"/>
          <w:sz w:val="25"/>
          <w:noProof/>
        </w:rPr>
        <w:t>公開用データを作る順番</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private集計へ有効nを持たせ、最低人数を下回るセルを一次非表示にする。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親組織と子組織、属性合計、重複する表から差し引きで推測できるセルを追加調整する。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読者の許可組織・属性・自由記述要約・モデル参照の範囲で公開データを作る。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描画は公開データだけを読み、PPTの埋込Excel、グラフキャッシュ、ノート、代替テキスト、非表示ページも確認する。</w:t>
      </w:r>
    </w:p>
    <w:p>
      <w:pPr>
        <w:widowControl/>
      </w:pPr>
      <w:r>
        <w:rPr>
          <w:rFonts w:ascii="Meiryo" w:hAnsi="Meiryo" w:eastAsia="Meiryo" w:cs="Meiryo"/>
          <w:b w:val="0"/>
          <w:color w:val="000000"/>
          <w:sz w:val="23"/>
          <w:noProof/>
        </w:rPr>
        <w:t>所属長の詳細付録は同じ部局内を標準とし、課長は自課が属する部局を組織辞書から取得します。親組織が不明なときに全庁へ範囲を広げません。全庁・人事担当の範囲も、組織名だけから権限を推定しません。</w:t>
      </w:r>
    </w:p>
    <w:p>
      <w:pPr>
        <w:widowControl/>
      </w:pPr>
      <w:r>
        <w:rPr>
          <w:rFonts w:ascii="Meiryo" w:hAnsi="Meiryo" w:eastAsia="Meiryo" w:cs="Meiryo"/>
          <w:b w:val="0"/>
          <w:color w:val="000000"/>
          <w:sz w:val="23"/>
          <w:noProof/>
        </w:rPr>
        <w:t>自由記述はテーマと匿名要約を用います。個人、職場、事案を推測できる表現を確認し、他部局の原文や人事限定の懸念を所属長の共通付録へ自動追加しません。非表示の値は描画用ファイルからも除きます。</w:t>
      </w:r>
    </w:p>
    <w:p>
      <w:r>
        <w:br w:type="page"/>
      </w:r>
    </w:p>
    <w:p>
      <w:pPr>
        <w:pStyle w:val="Heading1"/>
      </w:pPr>
      <w:r>
        <w:rPr>
          <w:rFonts w:ascii="Meiryo" w:hAnsi="Meiryo" w:eastAsia="Meiryo" w:cs="Meiryo"/>
          <w:b/>
          <w:color w:val="000000"/>
          <w:sz w:val="36"/>
          <w:noProof/>
        </w:rPr>
        <w:t>8 記述統計とキードライバー</w:t>
      </w:r>
    </w:p>
    <w:p>
      <w:pPr>
        <w:widowControl/>
      </w:pPr>
      <w:r>
        <w:rPr>
          <w:rFonts w:ascii="Meiryo" w:hAnsi="Meiryo" w:eastAsia="Meiryo" w:cs="Meiryo"/>
          <w:b w:val="0"/>
          <w:color w:val="000000"/>
          <w:sz w:val="23"/>
          <w:noProof/>
        </w:rPr>
        <w:t>全庁、部局、課、許された属性ごとに、有効n、平均、点数、肯定・中立・否定の割合を集計します。カテゴリは設定した欠損ルールに従い、設問ごとに有効nが違うことを表示します。丸めは最後の表示時だけ行います。</w:t>
      </w:r>
    </w:p>
    <w:p>
      <w:pPr>
        <w:pStyle w:val="Heading2"/>
        <w:widowControl/>
      </w:pPr>
      <w:r>
        <w:rPr>
          <w:rFonts w:ascii="Meiryo" w:hAnsi="Meiryo" w:eastAsia="Meiryo" w:cs="Meiryo"/>
          <w:b/>
          <w:color w:val="000000"/>
          <w:sz w:val="25"/>
          <w:noProof/>
        </w:rPr>
        <w:t>図表と比較</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カテゴリは比較棒グラフ、肯定・中立・否定は積み上げ棒グラフ、属性や所属差はドット図や比較表を組み合わせる。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全庁や親部局との差は点差として扱う。全庁に自所属を含む比較か、自所属を除く比較かを明記する。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カテゴリと設問の両方で目的指標との相関を計算し、得点と関連の強さを同時に見られる図を作る。</w:t>
      </w:r>
    </w:p>
    <w:p>
      <w:pPr>
        <w:widowControl/>
      </w:pPr>
      <w:r>
        <w:rPr>
          <w:rFonts w:ascii="Meiryo" w:hAnsi="Meiryo" w:eastAsia="Meiryo" w:cs="Meiryo"/>
          <w:b w:val="0"/>
          <w:color w:val="000000"/>
          <w:sz w:val="23"/>
          <w:noProof/>
        </w:rPr>
        <w:t>キードライバーでは目的指標ごとに、相関、組合せごとの有効n、必要な区間や再抽出の安定性を残します。Pearson等の方法は尺度と分析目的から決め、同じ項目を説明変数と目的変数へ重複して入れません。</w:t>
      </w:r>
    </w:p>
    <w:p>
      <w:pPr>
        <w:widowControl/>
      </w:pPr>
      <w:r>
        <w:rPr>
          <w:rFonts w:ascii="Meiryo" w:hAnsi="Meiryo" w:eastAsia="Meiryo" w:cs="Meiryo"/>
          <w:b w:val="0"/>
          <w:color w:val="000000"/>
          <w:sz w:val="23"/>
          <w:noProof/>
        </w:rPr>
        <w:t>関連が強く得点が低い項目は改善候補です。高相関だけで優先施策を決めず、現場での変更可能性、業務と権限、自由記述、基本方針と照合します。大量の相関を調べた場合の多重比較と選定過程も説明します。</w:t>
      </w:r>
    </w:p>
    <w:p>
      <w:r>
        <w:br w:type="page"/>
      </w:r>
    </w:p>
    <w:p>
      <w:pPr>
        <w:pStyle w:val="Heading1"/>
      </w:pPr>
      <w:r>
        <w:rPr>
          <w:rFonts w:ascii="Meiryo" w:hAnsi="Meiryo" w:eastAsia="Meiryo" w:cs="Meiryo"/>
          <w:b/>
          <w:color w:val="000000"/>
          <w:sz w:val="36"/>
          <w:noProof/>
        </w:rPr>
        <w:t>9 重回帰と未学習データでの検証</w:t>
      </w:r>
    </w:p>
    <w:p>
      <w:pPr>
        <w:widowControl/>
      </w:pPr>
      <w:r>
        <w:rPr>
          <w:rFonts w:ascii="Meiryo" w:hAnsi="Meiryo" w:eastAsia="Meiryo" w:cs="Meiryo"/>
          <w:b w:val="0"/>
          <w:color w:val="000000"/>
          <w:sz w:val="23"/>
          <w:noProof/>
        </w:rPr>
        <w:t>目的指標ごとにカテゴリモデルと設問モデルを候補として作ります。説明変数数、完全ケース数、変動、行列のrankと残差自由度を確認し、OLSが一意に推定できない場合は係数を確定値として掲載しません。</w:t>
      </w:r>
    </w:p>
    <w:p>
      <w:pPr>
        <w:pStyle w:val="Heading2"/>
        <w:widowControl/>
      </w:pPr>
      <w:r>
        <w:rPr>
          <w:rFonts w:ascii="Meiryo" w:hAnsi="Meiryo" w:eastAsia="Meiryo" w:cs="Meiryo"/>
          <w:b/>
          <w:color w:val="000000"/>
          <w:sz w:val="25"/>
          <w:noProof/>
        </w:rPr>
        <w:t>保存する診断</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対象、欠損、変数、切片、係数の尺度、区間、VIF、rank、自由度、学習R²を記録する。区間の計算法とクラスタ単位を明記する。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検証は予測をどこへ適用するかに合わせる。未観測の部局への適用を考える場合は部局を分け、課への適用なら課を分ける。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前処理、標準化、変数選択、調整値は各学習側だけで決める。同じ検証側で調整した結果を最終検証値として使わない。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検証R²とMAEを学習側の平均だけを使う基準と比較する。MAEの尺度と点数単位を明記し、学習R²の高さだけで採用しない。</w:t>
      </w:r>
    </w:p>
    <w:p>
      <w:pPr>
        <w:widowControl/>
      </w:pPr>
      <w:r>
        <w:rPr>
          <w:rFonts w:ascii="Meiryo" w:hAnsi="Meiryo" w:eastAsia="Meiryo" w:cs="Meiryo"/>
          <w:b w:val="0"/>
          <w:color w:val="000000"/>
          <w:sz w:val="23"/>
          <w:noProof/>
        </w:rPr>
        <w:t>カテゴリと設問の候補は可変長のID一覧から作り、8カテゴリ・57設問・4指標を固定しません。属性調整の有無は分析目的とデータから決定し、説明変数からの漏洩や目的指標との同義重複を点検します。</w:t>
      </w:r>
    </w:p>
    <w:p>
      <w:pPr>
        <w:widowControl/>
      </w:pPr>
      <w:r>
        <w:rPr>
          <w:rFonts w:ascii="Meiryo" w:hAnsi="Meiryo" w:eastAsia="Meiryo" w:cs="Meiryo"/>
          <w:b w:val="0"/>
          <w:color w:val="000000"/>
          <w:sz w:val="23"/>
          <w:noProof/>
        </w:rPr>
        <w:t>係数は同時投入した他項目を条件にした関連です。相関との符号の違い、共線性、区間、検証成績を踏まえ、因果効果や施策による改善幅として表現しません。結果に採用、参考、保留、推定不能の状態を持たせます。</w:t>
      </w:r>
    </w:p>
    <w:p>
      <w:r>
        <w:br w:type="page"/>
      </w:r>
    </w:p>
    <w:p>
      <w:pPr>
        <w:pStyle w:val="Heading1"/>
      </w:pPr>
      <w:r>
        <w:rPr>
          <w:rFonts w:ascii="Meiryo" w:hAnsi="Meiryo" w:eastAsia="Meiryo" w:cs="Meiryo"/>
          <w:b/>
          <w:color w:val="000000"/>
          <w:sz w:val="36"/>
          <w:noProof/>
        </w:rPr>
        <w:t>10 決定木と所属モデルの採否</w:t>
      </w:r>
    </w:p>
    <w:p>
      <w:pPr>
        <w:widowControl/>
      </w:pPr>
      <w:r>
        <w:rPr>
          <w:rFonts w:ascii="Meiryo" w:hAnsi="Meiryo" w:eastAsia="Meiryo" w:cs="Meiryo"/>
          <w:b w:val="0"/>
          <w:color w:val="000000"/>
          <w:sz w:val="23"/>
          <w:noProof/>
        </w:rPr>
        <w:t>決定木は複数条件の組合せを説明するために使います。最大深さ、末端最低人数、剪定、検証方法を案件設定へ持たせ、全庁と小規模所属で同じ条件にしません。木の葉の人数も公開条件で点検します。</w:t>
      </w:r>
    </w:p>
    <w:p>
      <w:pPr>
        <w:widowControl/>
      </w:pPr>
      <w:r>
        <w:rPr>
          <w:rFonts w:ascii="Meiryo" w:hAnsi="Meiryo" w:eastAsia="Meiryo" w:cs="Meiryo"/>
          <w:b w:val="0"/>
          <w:color w:val="000000"/>
          <w:sz w:val="23"/>
          <w:noProof/>
        </w:rPr>
        <w:t>学習と検証を分けた誤差、平均のみの基準との比較、再抽出で選ばれる根元項目や分岐の安定性を確認します。根元だけを確認した安定性を木全体の安定性と呼びません。閾値は当該標本の条件であり、人員配置の基準値にはしませ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480"/>
      </w:tblGrid>
      <w:tr>
        <w:trPr>
          <w:cantSplit/>
          <w:tblHeader/>
        </w:trPr>
        <w:tc>
          <w:tcPr>
            <w:tcW w:type="dxa" w:w="2880"/>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結果</w:t>
            </w:r>
          </w:p>
        </w:tc>
        <w:tc>
          <w:tcPr>
            <w:tcW w:type="dxa" w:w="6480"/>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レポートでの扱い</w:t>
            </w:r>
          </w:p>
        </w:tc>
      </w:tr>
      <w:tr>
        <w:trPr>
          <w:cantSplit/>
        </w:trPr>
        <w:tc>
          <w:tcPr>
            <w:tcW w:type="dxa" w:w="2880"/>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推定と検証が安定</w:t>
            </w:r>
          </w:p>
        </w:tc>
        <w:tc>
          <w:tcPr>
            <w:tcW w:type="dxa" w:w="648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条件を説明して改善論点の参考にする</w:t>
            </w:r>
          </w:p>
        </w:tc>
      </w:tr>
      <w:tr>
        <w:trPr>
          <w:cantSplit/>
        </w:trPr>
        <w:tc>
          <w:tcPr>
            <w:tcW w:type="dxa" w:w="2880"/>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学習だけ良好</w:t>
            </w:r>
          </w:p>
        </w:tc>
        <w:tc>
          <w:tcPr>
            <w:tcW w:type="dxa" w:w="648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過適合の可能性を示し、施策根拠へ使わない</w:t>
            </w:r>
          </w:p>
        </w:tc>
      </w:tr>
      <w:tr>
        <w:trPr>
          <w:cantSplit/>
        </w:trPr>
        <w:tc>
          <w:tcPr>
            <w:tcW w:type="dxa" w:w="2880"/>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rankや自由度不足</w:t>
            </w:r>
          </w:p>
        </w:tc>
        <w:tc>
          <w:tcPr>
            <w:tcW w:type="dxa" w:w="648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推定不能を明示し、係数を掲載しない</w:t>
            </w:r>
          </w:p>
        </w:tc>
      </w:tr>
      <w:tr>
        <w:trPr>
          <w:cantSplit/>
        </w:trPr>
        <w:tc>
          <w:tcPr>
            <w:tcW w:type="dxa" w:w="2880"/>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再抽出で項目が変わる</w:t>
            </w:r>
          </w:p>
        </w:tc>
        <w:tc>
          <w:tcPr>
            <w:tcW w:type="dxa" w:w="648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候補の不安定さを示し、断定を避ける</w:t>
            </w:r>
          </w:p>
        </w:tc>
      </w:tr>
      <w:tr>
        <w:trPr>
          <w:cantSplit/>
        </w:trPr>
        <w:tc>
          <w:tcPr>
            <w:tcW w:type="dxa" w:w="2880"/>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公開条件を満たさない</w:t>
            </w:r>
          </w:p>
        </w:tc>
        <w:tc>
          <w:tcPr>
            <w:tcW w:type="dxa" w:w="648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葉や集団結果を非表示または集約する</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所属で独自モデルが成立しない場合は、記述統計、同部局との差、職員の声、全庁モデルとの照合を中心にします。自所属を除く全庁から少数項目を選ぶ場合も選定方法と所属での検証を記録します。所属のnが公開最低人数以上でも分析が安定するとは限りません。</w:t>
      </w:r>
    </w:p>
    <w:p>
      <w:r>
        <w:br w:type="page"/>
      </w:r>
    </w:p>
    <w:p>
      <w:pPr>
        <w:pStyle w:val="Heading1"/>
      </w:pPr>
      <w:r>
        <w:rPr>
          <w:rFonts w:ascii="Meiryo" w:hAnsi="Meiryo" w:eastAsia="Meiryo" w:cs="Meiryo"/>
          <w:b/>
          <w:color w:val="000000"/>
          <w:sz w:val="36"/>
          <w:noProof/>
        </w:rPr>
        <w:t>11 自由記述と基本方針を読む</w:t>
      </w:r>
    </w:p>
    <w:p>
      <w:pPr>
        <w:widowControl/>
      </w:pPr>
      <w:r>
        <w:rPr>
          <w:rFonts w:ascii="Meiryo" w:hAnsi="Meiryo" w:eastAsia="Meiryo" w:cs="Meiryo"/>
          <w:b w:val="0"/>
          <w:color w:val="000000"/>
          <w:sz w:val="23"/>
          <w:noProof/>
        </w:rPr>
        <w:t>自由記述は件数と記述者数を分け、管理注記、意見なし、実質的な意見の扱いを事前に定義します。同じ記述者の同じテーマは1回とし、複数テーマを許す場合は割合合計が100%を超え得ることを示します。</w:t>
      </w:r>
    </w:p>
    <w:p>
      <w:pPr>
        <w:pStyle w:val="Heading2"/>
        <w:widowControl/>
      </w:pPr>
      <w:r>
        <w:rPr>
          <w:rFonts w:ascii="Meiryo" w:hAnsi="Meiryo" w:eastAsia="Meiryo" w:cs="Meiryo"/>
          <w:b/>
          <w:color w:val="000000"/>
          <w:sz w:val="25"/>
          <w:noProof/>
        </w:rPr>
        <w:t>分類と要約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AIでテーマ案と分類候補を作り、最終分類と公開要約は人が確認する。記述者数、母数、分類辞書の版を保存する。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行番号で固定した過去分類を新データへ再適用しない。記述IDと原文の指紋で照合し、変更した原文は再分類する。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意見の頻度と深刻さを分ける。少数の重大な懸念を、低頻度だから問題なしと解釈しない。</w:t>
      </w:r>
    </w:p>
    <w:p>
      <w:pPr>
        <w:pStyle w:val="Heading2"/>
        <w:widowControl/>
      </w:pPr>
      <w:r>
        <w:rPr>
          <w:rFonts w:ascii="Meiryo" w:hAnsi="Meiryo" w:eastAsia="Meiryo" w:cs="Meiryo"/>
          <w:b/>
          <w:color w:val="000000"/>
          <w:sz w:val="25"/>
          <w:noProof/>
        </w:rPr>
        <w:t>人事限定の属性別分析</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職名・年代・級区分を対象者名簿へ照合し、記述者数と実質意見者数を属性別に集計する。職種は正式な職名を保持し、複数職名を統合する場合は構成職名と理由を記録する。級区分を管理職区分と同一視しな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人事が確認すべき特徴的な職種・階層を2〜3群選び、複数人に共通する論点、別の解釈、現場で確認する事実、実行可能な対応をまとめる。年代別の概観も添え、自己選択で書かれた声を全職員の意見率として扱わな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少人数の群では細かなテーマ件数や原文を掲載しない。個別の深刻な懸念は頻度分析から切り離し、人事限定で原文を確認して既存の相談・事実確認経路へつなぐ。全庁版や所属長版への自動転用を禁止する。</w:t>
      </w:r>
    </w:p>
    <w:p>
      <w:pPr>
        <w:widowControl/>
      </w:pPr>
      <w:r>
        <w:rPr>
          <w:rFonts w:ascii="Meiryo" w:hAnsi="Meiryo" w:eastAsia="Meiryo" w:cs="Meiryo"/>
          <w:b w:val="0"/>
          <w:color w:val="000000"/>
          <w:sz w:val="23"/>
          <w:noProof/>
        </w:rPr>
        <w:t>基本方針は目指す職員像、育成、職場環境、配置、評価、管理職役割などの原文を確認します。方針に書かれた予定と、実際に運用されている制度を分け、運用状況は担当者に確認します。</w:t>
      </w:r>
    </w:p>
    <w:p>
      <w:pPr>
        <w:widowControl/>
      </w:pPr>
      <w:r>
        <w:rPr>
          <w:rFonts w:ascii="Meiryo" w:hAnsi="Meiryo" w:eastAsia="Meiryo" w:cs="Meiryo"/>
          <w:b w:val="0"/>
          <w:color w:val="000000"/>
          <w:sz w:val="23"/>
          <w:noProof/>
        </w:rPr>
        <w:t>示唆は方針の項目と調査の観測事実を対応させます。政策策定時の別調査やネットワークの意見は、今回のエンゲージメント調査と混ぜません。資料名称、改定日、印刷頁とPDF頁を記録し、原文・解釈・施策案を識別できる形で保存します。</w:t>
      </w:r>
    </w:p>
    <w:p>
      <w:r>
        <w:br w:type="page"/>
      </w:r>
    </w:p>
    <w:p>
      <w:pPr>
        <w:pStyle w:val="Heading1"/>
      </w:pPr>
      <w:r>
        <w:rPr>
          <w:rFonts w:ascii="Meiryo" w:hAnsi="Meiryo" w:eastAsia="Meiryo" w:cs="Meiryo"/>
          <w:b/>
          <w:color w:val="000000"/>
          <w:sz w:val="36"/>
          <w:noProof/>
        </w:rPr>
        <w:t>12 組織人事の示唆と実行可能な施策</w:t>
      </w:r>
    </w:p>
    <w:p>
      <w:pPr>
        <w:widowControl/>
      </w:pPr>
      <w:r>
        <w:rPr>
          <w:rFonts w:ascii="Meiryo" w:hAnsi="Meiryo" w:eastAsia="Meiryo" w:cs="Meiryo"/>
          <w:b w:val="0"/>
          <w:color w:val="000000"/>
          <w:sz w:val="23"/>
          <w:noProof/>
        </w:rPr>
        <w:t>現在の組織状態を説明し、改善の大方針から施策へ落とします。低得点の列挙で終わらせず、どこで仕事やマネジメントの循環が滞り、誰が何を変えると検証できるかを示します。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7344"/>
      </w:tblGrid>
      <w:tr>
        <w:trPr>
          <w:cantSplit/>
          <w:tblHeader/>
        </w:trPr>
        <w:tc>
          <w:tcPr>
            <w:tcW w:type="dxa" w:w="2016"/>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順序</w:t>
            </w:r>
          </w:p>
        </w:tc>
        <w:tc>
          <w:tcPr>
            <w:tcW w:type="dxa" w:w="7344"/>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記載内容</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観測事実</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得点、差、相関、検証、声の根拠と有効n</w:t>
            </w:r>
          </w:p>
        </w:tc>
      </w:tr>
      <w:tr>
        <w:trPr>
          <w:cantSplit/>
        </w:trPr>
        <w:tc>
          <w:tcPr>
            <w:tcW w:type="dxa" w:w="201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背景仮説</w:t>
            </w:r>
          </w:p>
        </w:tc>
        <w:tc>
          <w:tcPr>
            <w:tcW w:type="dxa" w:w="734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考えられる運用上の原因と確認事項</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大方針</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自治体の方針とつながる改善の方向</w:t>
            </w:r>
          </w:p>
        </w:tc>
      </w:tr>
      <w:tr>
        <w:trPr>
          <w:cantSplit/>
        </w:trPr>
        <w:tc>
          <w:tcPr>
            <w:tcW w:type="dxa" w:w="201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重点施策</w:t>
            </w:r>
          </w:p>
        </w:tc>
        <w:tc>
          <w:tcPr>
            <w:tcW w:type="dxa" w:w="734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対象、実行内容、担当、支援、権限</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試行と確認</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時期、工数仮定、測定、拡大・中止条件</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研修を増やす前に、期中の対話、業務の棚卸し、優先順位、評価の振り返り、OJTなど既存の場を活用できるか確認します。課長が決められる運用と、人事や首長部局の制度判断を分けます。</w:t>
      </w:r>
    </w:p>
    <w:p>
      <w:pPr>
        <w:widowControl/>
      </w:pPr>
      <w:r>
        <w:rPr>
          <w:rFonts w:ascii="Meiryo" w:hAnsi="Meiryo" w:eastAsia="Meiryo" w:cs="Meiryo"/>
          <w:b w:val="0"/>
          <w:color w:val="000000"/>
          <w:sz w:val="23"/>
          <w:noProof/>
        </w:rPr>
        <w:t>工数は対象人数、回数、1回の所要時間、集計と準備を積み上げ、役割別に示します。試行は繁忙期、人員制約、既存施策、相談体制、予算に合わせます。実績と計画仮定を区別し、佐賀市の人数や43.5人時を標準にしません。</w:t>
      </w:r>
    </w:p>
    <w:p>
      <w:pPr>
        <w:widowControl/>
      </w:pPr>
      <w:r>
        <w:rPr>
          <w:rFonts w:ascii="Meiryo" w:hAnsi="Meiryo" w:eastAsia="Meiryo" w:cs="Meiryo"/>
          <w:b w:val="0"/>
          <w:color w:val="000000"/>
          <w:sz w:val="23"/>
          <w:noProof/>
        </w:rPr>
        <w:t>評価指標は実施率、対話後の改善行動、業務の滞留など短期で確認できる運用指標と、次回調査の状態指標を組み合わせます。母数、測定時点、見直し条件を決め、回帰係数から点数改善の保証を作りません。</w:t>
      </w:r>
    </w:p>
    <w:p>
      <w:r>
        <w:br w:type="page"/>
      </w:r>
    </w:p>
    <w:p>
      <w:pPr>
        <w:pStyle w:val="Heading1"/>
      </w:pPr>
      <w:r>
        <w:rPr>
          <w:rFonts w:ascii="Meiryo" w:hAnsi="Meiryo" w:eastAsia="Meiryo" w:cs="Meiryo"/>
          <w:b/>
          <w:color w:val="000000"/>
          <w:sz w:val="36"/>
          <w:noProof/>
        </w:rPr>
        <w:t>13 CAQNALデザインと編集可能な図表</w:t>
      </w:r>
    </w:p>
    <w:p>
      <w:pPr>
        <w:widowControl/>
      </w:pPr>
      <w:r>
        <w:rPr>
          <w:rFonts w:ascii="Meiryo" w:hAnsi="Meiryo" w:eastAsia="Meiryo" w:cs="Meiryo"/>
          <w:b w:val="0"/>
          <w:color w:val="000000"/>
          <w:sz w:val="23"/>
          <w:noProof/>
        </w:rPr>
        <w:t>既存の単一デザイン方向を継承します。白地、紺の見出し、ゴールドのアクセント、結論から読める構成を共通部品にし、自治体名と数値は公開データから差し込みます。報告本文と手順書では、読者に合わせて情報密度を変えま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7344"/>
      </w:tblGrid>
      <w:tr>
        <w:trPr>
          <w:cantSplit/>
          <w:tblHeader/>
        </w:trPr>
        <w:tc>
          <w:tcPr>
            <w:tcW w:type="dxa" w:w="2016"/>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要素</w:t>
            </w:r>
          </w:p>
        </w:tc>
        <w:tc>
          <w:tcPr>
            <w:tcW w:type="dxa" w:w="7344"/>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共通の指定</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画面</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16対9を基準にし、案件の参照版で確認</w:t>
            </w:r>
          </w:p>
        </w:tc>
      </w:tr>
      <w:tr>
        <w:trPr>
          <w:cantSplit/>
        </w:trPr>
        <w:tc>
          <w:tcPr>
            <w:tcW w:type="dxa" w:w="201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色</w:t>
            </w:r>
          </w:p>
        </w:tc>
        <w:tc>
          <w:tcPr>
            <w:tcW w:type="dxa" w:w="734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紺 #173650、ゴールド #CAA44A、白地</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見出し</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その頁で伝える結論と比較対象が分かる</w:t>
            </w:r>
          </w:p>
        </w:tc>
      </w:tr>
      <w:tr>
        <w:trPr>
          <w:cantSplit/>
        </w:trPr>
        <w:tc>
          <w:tcPr>
            <w:tcW w:type="dxa" w:w="201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図表</w:t>
            </w:r>
          </w:p>
        </w:tc>
        <w:tc>
          <w:tcPr>
            <w:tcW w:type="dxa" w:w="734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比較棒、積み上げ、散布図、係数図、木を使い分ける</w:t>
            </w:r>
          </w:p>
        </w:tc>
      </w:tr>
      <w:tr>
        <w:trPr>
          <w:cantSplit/>
        </w:trPr>
        <w:tc>
          <w:tcPr>
            <w:tcW w:type="dxa" w:w="201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編集性</w:t>
            </w:r>
          </w:p>
        </w:tc>
        <w:tc>
          <w:tcPr>
            <w:tcW w:type="dxa" w:w="7344"/>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本文、表、グラフ、図解、記入枠を編集可能にする</w:t>
            </w:r>
          </w:p>
        </w:tc>
      </w:tr>
      <w:tr>
        <w:trPr>
          <w:cantSplit/>
        </w:trPr>
        <w:tc>
          <w:tcPr>
            <w:tcW w:type="dxa" w:w="201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注記</w:t>
            </w:r>
          </w:p>
        </w:tc>
        <w:tc>
          <w:tcPr>
            <w:tcW w:type="dxa" w:w="7344"/>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有効n、比較、非表示、分析条件、出典を保持</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グラフは項目名、系列、軸、単位、凡例、並び順を確定集計へ照合します。ゼロや非表示を同じ空欄で表さず、非表示セルの値をグラフ用Excelへ残しません。木は条件、葉の人数、指標平均が読める大きさにします。</w:t>
      </w:r>
    </w:p>
    <w:p>
      <w:pPr>
        <w:widowControl/>
      </w:pPr>
      <w:r>
        <w:rPr>
          <w:rFonts w:ascii="Meiryo" w:hAnsi="Meiryo" w:eastAsia="Meiryo" w:cs="Meiryo"/>
          <w:b w:val="0"/>
          <w:color w:val="000000"/>
          <w:sz w:val="23"/>
          <w:noProof/>
        </w:rPr>
        <w:t>所属数と設問数に合わせて頁を分割し、目次と番号を生成します。ランキングは目的が確認された場合だけ使い、比較は組織順を基本にします。フォントや生成ライブラリの版を記録し、別環境でも最終PPTを描画して確認します。</w:t>
      </w:r>
    </w:p>
    <w:p>
      <w:r>
        <w:br w:type="page"/>
      </w:r>
    </w:p>
    <w:p>
      <w:pPr>
        <w:pStyle w:val="Heading1"/>
      </w:pPr>
      <w:r>
        <w:rPr>
          <w:rFonts w:ascii="Meiryo" w:hAnsi="Meiryo" w:eastAsia="Meiryo" w:cs="Meiryo"/>
          <w:b/>
          <w:color w:val="000000"/>
          <w:sz w:val="36"/>
          <w:noProof/>
        </w:rPr>
        <w:t>14 読者ごとの本編と付録</w:t>
      </w:r>
    </w:p>
    <w:p>
      <w:pPr>
        <w:widowControl/>
      </w:pPr>
      <w:r>
        <w:rPr>
          <w:rFonts w:ascii="Meiryo" w:hAnsi="Meiryo" w:eastAsia="Meiryo" w:cs="Meiryo"/>
          <w:b w:val="0"/>
          <w:color w:val="000000"/>
          <w:sz w:val="23"/>
          <w:noProof/>
        </w:rPr>
        <w:t>サマリーは2枚です。1枚目は主要結果、2枚目は現在の組織状態、課題と解決策を示します。レポートの見方と用語集を追加し、数表、グラフ、組織人事の解釈を組み合わせます。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5472"/>
        <w:gridCol w:w="2232"/>
      </w:tblGrid>
      <w:tr>
        <w:trPr>
          <w:cantSplit/>
          <w:tblHeader/>
        </w:trPr>
        <w:tc>
          <w:tcPr>
            <w:tcW w:type="dxa" w:w="1656"/>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読者</w:t>
            </w:r>
          </w:p>
        </w:tc>
        <w:tc>
          <w:tcPr>
            <w:tcW w:type="dxa" w:w="5472"/>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本編で深める内容</w:t>
            </w:r>
          </w:p>
        </w:tc>
        <w:tc>
          <w:tcPr>
            <w:tcW w:type="dxa" w:w="2232"/>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付録と記入</w:t>
            </w:r>
          </w:p>
        </w:tc>
      </w:tr>
      <w:tr>
        <w:trPr>
          <w:cantSplit/>
        </w:trPr>
        <w:tc>
          <w:tcPr>
            <w:tcW w:type="dxa" w:w="165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全庁</w:t>
            </w:r>
          </w:p>
        </w:tc>
        <w:tc>
          <w:tcPr>
            <w:tcW w:type="dxa" w:w="54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回答状況、指標、属性、カテゴリ・設問分析、大方針</w:t>
            </w:r>
          </w:p>
        </w:tc>
        <w:tc>
          <w:tcPr>
            <w:tcW w:type="dxa" w:w="223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許可された所属と設問詳細</w:t>
            </w:r>
          </w:p>
        </w:tc>
      </w:tr>
      <w:tr>
        <w:trPr>
          <w:cantSplit/>
        </w:trPr>
        <w:tc>
          <w:tcPr>
            <w:tcW w:type="dxa" w:w="165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部局長</w:t>
            </w:r>
          </w:p>
        </w:tc>
        <w:tc>
          <w:tcPr>
            <w:tcW w:type="dxa" w:w="547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部局と各課の差、支援・調整、人事への依頼</w:t>
            </w:r>
          </w:p>
        </w:tc>
        <w:tc>
          <w:tcPr>
            <w:tcW w:type="dxa" w:w="223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同部局のみ</w:t>
              <w:br/>
              <w:t>空欄記入1枚</w:t>
            </w:r>
          </w:p>
        </w:tc>
      </w:tr>
      <w:tr>
        <w:trPr>
          <w:cantSplit/>
        </w:trPr>
        <w:tc>
          <w:tcPr>
            <w:tcW w:type="dxa" w:w="1656"/>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課長</w:t>
            </w:r>
          </w:p>
        </w:tc>
        <w:tc>
          <w:tcPr>
            <w:tcW w:type="dxa" w:w="54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自課の強み・課題、職員対話、実行と依頼</w:t>
            </w:r>
          </w:p>
        </w:tc>
        <w:tc>
          <w:tcPr>
            <w:tcW w:type="dxa" w:w="223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同部局のみ</w:t>
              <w:br/>
              <w:t>空欄記入1枚</w:t>
            </w:r>
          </w:p>
        </w:tc>
      </w:tr>
      <w:tr>
        <w:trPr>
          <w:cantSplit/>
        </w:trPr>
        <w:tc>
          <w:tcPr>
            <w:tcW w:type="dxa" w:w="1656"/>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人事担当</w:t>
            </w:r>
          </w:p>
        </w:tc>
        <w:tc>
          <w:tcPr>
            <w:tcW w:type="dxa" w:w="547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基本方針、構造課題、施策体系、対象と実装条件</w:t>
            </w:r>
          </w:p>
        </w:tc>
        <w:tc>
          <w:tcPr>
            <w:tcW w:type="dxa" w:w="223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許可された全庁分析と根拠</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分析を採用しない場合も、なぜ意味のある解釈が難しいかを本文で説明し、代替の読み方を示します。数値がない図を飾りとして作らず、共通9問未実施の指標は注意書きとともに省略します。</w:t>
      </w:r>
    </w:p>
    <w:p>
      <w:pPr>
        <w:widowControl/>
      </w:pPr>
      <w:r>
        <w:rPr>
          <w:rFonts w:ascii="Meiryo" w:hAnsi="Meiryo" w:eastAsia="Meiryo" w:cs="Meiryo"/>
          <w:b w:val="0"/>
          <w:color w:val="000000"/>
          <w:sz w:val="23"/>
          <w:noProof/>
        </w:rPr>
        <w:t>詳細付録は主要指標一覧、カテゴリ詳細、全設問詳細、条件を満たす属性詳細を読者別範囲で反復します。全設問は全文、有効n、平均、割合、比較を確認できる構成にします。所属長の記入シートは各1枚だけとし、空欄は課題、行動、担当、期限、確認指標、支援依頼を含めます。</w:t>
      </w:r>
    </w:p>
    <w:p>
      <w:r>
        <w:br w:type="page"/>
      </w:r>
    </w:p>
    <w:p>
      <w:pPr>
        <w:pStyle w:val="Heading1"/>
      </w:pPr>
      <w:r>
        <w:rPr>
          <w:rFonts w:ascii="Meiryo" w:hAnsi="Meiryo" w:eastAsia="Meiryo" w:cs="Meiryo"/>
          <w:b/>
          <w:color w:val="000000"/>
          <w:sz w:val="36"/>
          <w:noProof/>
        </w:rPr>
        <w:t>15 汎用エンジンの実装仕様</w:t>
      </w:r>
    </w:p>
    <w:p>
      <w:pPr>
        <w:widowControl/>
      </w:pPr>
      <w:r>
        <w:rPr>
          <w:rFonts w:ascii="Meiryo" w:hAnsi="Meiryo" w:eastAsia="Meiryo" w:cs="Meiryo"/>
          <w:b w:val="0"/>
          <w:color w:val="000000"/>
          <w:sz w:val="23"/>
          <w:noProof/>
        </w:rPr>
        <w:t>共通エンジンは、自治体設定と標準データを読む独立した工程として実装します。各工程が、入力指紋、設定指紋、コード版、結果、警告、未確定事項を返します。今回の同梱ツールは設定点検まで実装し、残る工程は実装仕様書へ受入条件を記載しまし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3456"/>
        <w:gridCol w:w="4320"/>
      </w:tblGrid>
      <w:tr>
        <w:trPr>
          <w:cantSplit/>
          <w:tblHeader/>
        </w:trPr>
        <w:tc>
          <w:tcPr>
            <w:tcW w:type="dxa" w:w="1584"/>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工程</w:t>
            </w:r>
          </w:p>
        </w:tc>
        <w:tc>
          <w:tcPr>
            <w:tcW w:type="dxa" w:w="3456"/>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入力</w:t>
            </w:r>
          </w:p>
        </w:tc>
        <w:tc>
          <w:tcPr>
            <w:tcW w:type="dxa" w:w="4320"/>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確定する出力</w:t>
            </w:r>
          </w:p>
        </w:tc>
      </w:tr>
      <w:tr>
        <w:trPr>
          <w:cantSplit/>
        </w:trPr>
        <w:tc>
          <w:tcPr>
            <w:tcW w:type="dxa" w:w="1584"/>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validate</w:t>
            </w:r>
          </w:p>
        </w:tc>
        <w:tc>
          <w:tcPr>
            <w:tcW w:type="dxa" w:w="3456"/>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設定、辞書、原資料一覧</w:t>
            </w:r>
          </w:p>
        </w:tc>
        <w:tc>
          <w:tcPr>
            <w:tcW w:type="dxa" w:w="432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整合結果、要確認、処理可否</w:t>
            </w:r>
          </w:p>
        </w:tc>
      </w:tr>
      <w:tr>
        <w:trPr>
          <w:cantSplit/>
        </w:trPr>
        <w:tc>
          <w:tcPr>
            <w:tcW w:type="dxa" w:w="1584"/>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normalize</w:t>
            </w:r>
          </w:p>
        </w:tc>
        <w:tc>
          <w:tcPr>
            <w:tcW w:type="dxa" w:w="3456"/>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原資料、列対応、採用規則</w:t>
            </w:r>
          </w:p>
        </w:tc>
        <w:tc>
          <w:tcPr>
            <w:tcW w:type="dxa" w:w="432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標準データ、照合・除外記録</w:t>
            </w:r>
          </w:p>
        </w:tc>
      </w:tr>
      <w:tr>
        <w:trPr>
          <w:cantSplit/>
        </w:trPr>
        <w:tc>
          <w:tcPr>
            <w:tcW w:type="dxa" w:w="1584"/>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aggregate</w:t>
            </w:r>
          </w:p>
        </w:tc>
        <w:tc>
          <w:tcPr>
            <w:tcW w:type="dxa" w:w="3456"/>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標準データ、集計定義</w:t>
            </w:r>
          </w:p>
        </w:tc>
        <w:tc>
          <w:tcPr>
            <w:tcW w:type="dxa" w:w="432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private集計、母数・属性照合</w:t>
            </w:r>
          </w:p>
        </w:tc>
      </w:tr>
      <w:tr>
        <w:trPr>
          <w:cantSplit/>
        </w:trPr>
        <w:tc>
          <w:tcPr>
            <w:tcW w:type="dxa" w:w="1584"/>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models</w:t>
            </w:r>
          </w:p>
        </w:tc>
        <w:tc>
          <w:tcPr>
            <w:tcW w:type="dxa" w:w="3456"/>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標準回答、分析設定</w:t>
            </w:r>
          </w:p>
        </w:tc>
        <w:tc>
          <w:tcPr>
            <w:tcW w:type="dxa" w:w="432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係数、木、検証、採否候補</w:t>
            </w:r>
          </w:p>
        </w:tc>
      </w:tr>
      <w:tr>
        <w:trPr>
          <w:cantSplit/>
        </w:trPr>
        <w:tc>
          <w:tcPr>
            <w:tcW w:type="dxa" w:w="1584"/>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publish</w:t>
            </w:r>
          </w:p>
        </w:tc>
        <w:tc>
          <w:tcPr>
            <w:tcW w:type="dxa" w:w="3456"/>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集計、モデル、公開条件</w:t>
            </w:r>
          </w:p>
        </w:tc>
        <w:tc>
          <w:tcPr>
            <w:tcW w:type="dxa" w:w="432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読者別公開データ、非表示理由</w:t>
            </w:r>
          </w:p>
        </w:tc>
      </w:tr>
      <w:tr>
        <w:trPr>
          <w:cantSplit/>
        </w:trPr>
        <w:tc>
          <w:tcPr>
            <w:tcW w:type="dxa" w:w="1584"/>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compose</w:t>
            </w:r>
          </w:p>
        </w:tc>
        <w:tc>
          <w:tcPr>
            <w:tcW w:type="dxa" w:w="3456"/>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公開データ、政策、解釈</w:t>
            </w:r>
          </w:p>
        </w:tc>
        <w:tc>
          <w:tcPr>
            <w:tcW w:type="dxa" w:w="432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根拠付き文章と施策、頁構成</w:t>
            </w:r>
          </w:p>
        </w:tc>
      </w:tr>
      <w:tr>
        <w:trPr>
          <w:cantSplit/>
        </w:trPr>
        <w:tc>
          <w:tcPr>
            <w:tcW w:type="dxa" w:w="1584"/>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render</w:t>
            </w:r>
          </w:p>
        </w:tc>
        <w:tc>
          <w:tcPr>
            <w:tcW w:type="dxa" w:w="3456"/>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公開データ、文章、デザイン</w:t>
            </w:r>
          </w:p>
        </w:tc>
        <w:tc>
          <w:tcPr>
            <w:tcW w:type="dxa" w:w="4320"/>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編集可能PPT、最終頁画像</w:t>
            </w:r>
          </w:p>
        </w:tc>
      </w:tr>
      <w:tr>
        <w:trPr>
          <w:cantSplit/>
        </w:trPr>
        <w:tc>
          <w:tcPr>
            <w:tcW w:type="dxa" w:w="1584"/>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verify</w:t>
            </w:r>
          </w:p>
        </w:tc>
        <w:tc>
          <w:tcPr>
            <w:tcW w:type="dxa" w:w="3456"/>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確定値、最終PPT、QA記録</w:t>
            </w:r>
          </w:p>
        </w:tc>
        <w:tc>
          <w:tcPr>
            <w:tcW w:type="dxa" w:w="4320"/>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数値・表示の結果、納品一覧</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composeとrenderはprivate回答を読みません。共通9問、逆転、カテゴリ数、目的指標数、組織階層は可変とし、案件名による特別処理は入力変換と事例へ限定します。API、データ列、結果状態、実装順は同梱の実装仕様書を参照してください。</w:t>
      </w:r>
    </w:p>
    <w:p>
      <w:r>
        <w:br w:type="page"/>
      </w:r>
    </w:p>
    <w:p>
      <w:pPr>
        <w:pStyle w:val="Heading1"/>
      </w:pPr>
      <w:r>
        <w:rPr>
          <w:rFonts w:ascii="Meiryo" w:hAnsi="Meiryo" w:eastAsia="Meiryo" w:cs="Meiryo"/>
          <w:b/>
          <w:color w:val="000000"/>
          <w:sz w:val="36"/>
          <w:noProof/>
        </w:rPr>
        <w:t>16 実行状態と失敗からの再開</w:t>
      </w:r>
    </w:p>
    <w:p>
      <w:pPr>
        <w:widowControl/>
      </w:pPr>
      <w:r>
        <w:rPr>
          <w:rFonts w:ascii="Meiryo" w:hAnsi="Meiryo" w:eastAsia="Meiryo" w:cs="Meiryo"/>
          <w:b w:val="0"/>
          <w:color w:val="000000"/>
          <w:sz w:val="23"/>
          <w:noProof/>
        </w:rPr>
        <w:t>処理は同じrunで順番に進め、前工程の成功と指紋の一致を確認します。候補を作れたこと、匿名性を確認したこと、最終表示を確認したことを別状態で保持します。unknown、failed、blockedをpassedへ読み替えませ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6912"/>
      </w:tblGrid>
      <w:tr>
        <w:trPr>
          <w:cantSplit/>
          <w:tblHeader/>
        </w:trPr>
        <w:tc>
          <w:tcPr>
            <w:tcW w:type="dxa" w:w="2448"/>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状態</w:t>
            </w:r>
          </w:p>
        </w:tc>
        <w:tc>
          <w:tcPr>
            <w:tcW w:type="dxa" w:w="6912"/>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意味と次の処理</w:t>
            </w:r>
          </w:p>
        </w:tc>
      </w:tr>
      <w:tr>
        <w:trPr>
          <w:cantSplit/>
        </w:trPr>
        <w:tc>
          <w:tcPr>
            <w:tcW w:type="dxa" w:w="2448"/>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draft_unconfirmed</w:t>
            </w:r>
          </w:p>
        </w:tc>
        <w:tc>
          <w:tcPr>
            <w:tcW w:type="dxa" w:w="691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設定未確定。確定している準備だけ進める</w:t>
            </w:r>
          </w:p>
        </w:tc>
      </w:tr>
      <w:tr>
        <w:trPr>
          <w:cantSplit/>
        </w:trPr>
        <w:tc>
          <w:tcPr>
            <w:tcW w:type="dxa" w:w="2448"/>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validated</w:t>
            </w:r>
          </w:p>
        </w:tc>
        <w:tc>
          <w:tcPr>
            <w:tcW w:type="dxa" w:w="691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設定・辞書の入口確認。実データを次に検証</w:t>
            </w:r>
          </w:p>
        </w:tc>
      </w:tr>
      <w:tr>
        <w:trPr>
          <w:cantSplit/>
        </w:trPr>
        <w:tc>
          <w:tcPr>
            <w:tcW w:type="dxa" w:w="2448"/>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computed</w:t>
            </w:r>
          </w:p>
        </w:tc>
        <w:tc>
          <w:tcPr>
            <w:tcW w:type="dxa" w:w="691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集計とモデルが完了。公開条件と解釈を確認</w:t>
            </w:r>
          </w:p>
        </w:tc>
      </w:tr>
      <w:tr>
        <w:trPr>
          <w:cantSplit/>
        </w:trPr>
        <w:tc>
          <w:tcPr>
            <w:tcW w:type="dxa" w:w="2448"/>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public_view_ready</w:t>
            </w:r>
          </w:p>
        </w:tc>
        <w:tc>
          <w:tcPr>
            <w:tcW w:type="dxa" w:w="691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読者別の公開データが確認できた</w:t>
            </w:r>
          </w:p>
        </w:tc>
      </w:tr>
      <w:tr>
        <w:trPr>
          <w:cantSplit/>
        </w:trPr>
        <w:tc>
          <w:tcPr>
            <w:tcW w:type="dxa" w:w="2448"/>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draft_qa_pending</w:t>
            </w:r>
          </w:p>
        </w:tc>
        <w:tc>
          <w:tcPr>
            <w:tcW w:type="dxa" w:w="691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PPT候補。数値と表示の確認が必要</w:t>
            </w:r>
          </w:p>
        </w:tc>
      </w:tr>
      <w:tr>
        <w:trPr>
          <w:cantSplit/>
        </w:trPr>
        <w:tc>
          <w:tcPr>
            <w:tcW w:type="dxa" w:w="2448"/>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release_ready</w:t>
            </w:r>
          </w:p>
        </w:tc>
        <w:tc>
          <w:tcPr>
            <w:tcW w:type="dxa" w:w="691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必須QAの確認者・日付・最終指紋が揃った</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設問列や未知の選択肢、重複ID、階層の循環は該当処理を止めます。不安定なモデルは記述統計を壊さず、モデル単位の保留理由を記録します。公開範囲が不明な成果物を全庁へ広げて出力しません。</w:t>
      </w:r>
    </w:p>
    <w:p>
      <w:pPr>
        <w:widowControl/>
      </w:pPr>
      <w:r>
        <w:rPr>
          <w:rFonts w:ascii="Meiryo" w:hAnsi="Meiryo" w:eastAsia="Meiryo" w:cs="Meiryo"/>
          <w:b w:val="0"/>
          <w:color w:val="000000"/>
          <w:sz w:val="23"/>
          <w:noProof/>
        </w:rPr>
        <w:t>設定や原資料を変更したら依存する出力を無効にします。既存の最終成果へ上書きせず、新run・新しい版で再開します。描画だけの変更も、最終PPTの指紋と画像確認を更新します。実装された入口点検の使い方は開始案内に記載しています。</w:t>
      </w:r>
    </w:p>
    <w:p>
      <w:r>
        <w:br w:type="page"/>
      </w:r>
    </w:p>
    <w:p>
      <w:pPr>
        <w:pStyle w:val="Heading1"/>
      </w:pPr>
      <w:r>
        <w:rPr>
          <w:rFonts w:ascii="Meiryo" w:hAnsi="Meiryo" w:eastAsia="Meiryo" w:cs="Meiryo"/>
          <w:b/>
          <w:color w:val="000000"/>
          <w:sz w:val="36"/>
          <w:noProof/>
        </w:rPr>
        <w:t>17 新自治体で開始する手順</w:t>
      </w:r>
    </w:p>
    <w:p>
      <w:pPr>
        <w:pStyle w:val="Heading2"/>
        <w:widowControl/>
      </w:pPr>
      <w:r>
        <w:rPr>
          <w:rFonts w:ascii="Meiryo" w:hAnsi="Meiryo" w:eastAsia="Meiryo" w:cs="Meiryo"/>
          <w:b/>
          <w:color w:val="000000"/>
          <w:sz w:val="25"/>
          <w:noProof/>
        </w:rPr>
        <w:t>初回案件の順序</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受領した資料と制作範囲を棚卸しし、案件設定、設問辞書、組織辞書、属性と尺度の定義を作る。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プロンプト2で入力対応と母数を確定し、入力変換を実装する。少人数や欠損を含む小さなサンプルで原資料へ照合する。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プロンプト3で記述統計とカテゴリ・設問の分析を作り、モデルごとに採否の理由を保存する。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プロンプト4〜7で読者別の本編と詳細付録を作る。プロンプト1は全工程の統括、10は共通エンジンの実装に使う。</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プロンプト8で最終成果を検証し、確認済みファイルを取り出す。入力や政策の変更はプロンプト9から再開する。</w:t>
      </w:r>
    </w:p>
    <w:p>
      <w:pPr>
        <w:widowControl/>
      </w:pPr>
      <w:r>
        <w:rPr>
          <w:rFonts w:ascii="Meiryo" w:hAnsi="Meiryo" w:eastAsia="Meiryo" w:cs="Meiryo"/>
          <w:b w:val="0"/>
          <w:color w:val="000000"/>
          <w:sz w:val="23"/>
          <w:noProof/>
        </w:rPr>
        <w:t>設問対応の確認前に分析を急がず、実装担当と制作担当は同じ確定設定を参照します。仕様を変える場合は理由、影響、再計算の範囲を記録し、個人の作業コピーだけで変更しません。</w:t>
      </w:r>
    </w:p>
    <w:p>
      <w:pPr>
        <w:widowControl/>
      </w:pPr>
      <w:r>
        <w:rPr>
          <w:rFonts w:ascii="Meiryo" w:hAnsi="Meiryo" w:eastAsia="Meiryo" w:cs="Meiryo"/>
          <w:b w:val="0"/>
          <w:color w:val="000000"/>
          <w:sz w:val="23"/>
          <w:noProof/>
        </w:rPr>
        <w:t>新規自治体で同じ結果を再実行できることを確認してから運用へ移します。初回は対象者、全設問、主要集計、非表示、分析の診断と全PPTを確認します。引継ぎには入力の保管場所と権限、実行環境、版、作業責任者、未解決事項を含めます。</w:t>
      </w:r>
    </w:p>
    <w:p>
      <w:r>
        <w:br w:type="page"/>
      </w:r>
    </w:p>
    <w:p>
      <w:pPr>
        <w:pStyle w:val="Heading1"/>
      </w:pPr>
      <w:r>
        <w:rPr>
          <w:rFonts w:ascii="Meiryo" w:hAnsi="Meiryo" w:eastAsia="Meiryo" w:cs="Meiryo"/>
          <w:b/>
          <w:color w:val="000000"/>
          <w:sz w:val="36"/>
          <w:noProof/>
        </w:rPr>
        <w:t>18 品質確認と複数自治体での受入</w:t>
      </w:r>
    </w:p>
    <w:p>
      <w:pPr>
        <w:widowControl/>
      </w:pPr>
      <w:r>
        <w:rPr>
          <w:rFonts w:ascii="Meiryo" w:hAnsi="Meiryo" w:eastAsia="Meiryo" w:cs="Meiryo"/>
          <w:b w:val="0"/>
          <w:color w:val="000000"/>
          <w:sz w:val="23"/>
          <w:noProof/>
        </w:rPr>
        <w:t>数値の監査と表示の監査を分けます。集計元へ照合しただけでは、PPTに載った値や配布範囲が正しいとは限りません。元入力、private集計、公開データ、最終PPTの対応を検証し、確認者と日付を残します。</w:t>
      </w:r>
    </w:p>
    <w:p>
      <w:pPr>
        <w:pStyle w:val="Heading2"/>
        <w:widowControl/>
      </w:pPr>
      <w:r>
        <w:rPr>
          <w:rFonts w:ascii="Meiryo" w:hAnsi="Meiryo" w:eastAsia="Meiryo" w:cs="Meiryo"/>
          <w:b/>
          <w:color w:val="000000"/>
          <w:sz w:val="25"/>
          <w:noProof/>
        </w:rPr>
        <w:t>自治体を変えて確かめること</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異なる設問ID、カテゴリ数、尺度、組織階層、属性、対象外規則を持つ2つ以上の案件で、共通コードを変えずに入力変換と設定で処理できる。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共通9問なし、定義不明、逆転、欠損、重複、組織改編、差引推測、小規模所属、不安定なモデルを検出し、指定どおり保留または非表示にできる。</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新自治体の最終成果に過去自治体の名称、ID、人数、固定の優先項目、施策工数、方針の出典が残っていない。</w:t>
      </w:r>
    </w:p>
    <w:p>
      <w:pPr>
        <w:pStyle w:val="ListBullet"/>
        <w:tabs>
          <w:tab w:pos="360" w:val="left"/>
        </w:tabs>
        <w:ind w:left="360" w:hanging="360"/>
        <w:widowControl/>
        <w:numPr>
          <w:ilvl w:val="0"/>
          <w:numId w:val="50"/>
        </w:numPr>
      </w:pPr>
      <w:r>
        <w:rPr>
          <w:rFonts w:ascii="Meiryo" w:hAnsi="Meiryo" w:eastAsia="Meiryo" w:cs="Meiryo"/>
          <w:b w:val="0"/>
          <w:color w:val="000000"/>
          <w:sz w:val="23"/>
          <w:noProof/>
        </w:rPr>
        <w:t>所属長付録は同部局内、空欄記入1枚、サマリー2枚を満たす。全設問と許可属性が欠落せず、最終画像を1枚ずつ確認できる。</w:t>
      </w:r>
    </w:p>
    <w:p>
      <w:pPr>
        <w:widowControl/>
      </w:pPr>
      <w:r>
        <w:rPr>
          <w:rFonts w:ascii="Meiryo" w:hAnsi="Meiryo" w:eastAsia="Meiryo" w:cs="Meiryo"/>
          <w:b w:val="0"/>
          <w:color w:val="000000"/>
          <w:sz w:val="23"/>
          <w:noProof/>
        </w:rPr>
        <w:t>同梱の架空2案件は設定・辞書点検の試験用です。汎用の集計・モデル・PPT生成が全て合格した証拠にはしません。実装後は実データと別担当者の再実行で、工程ごとの受入を追加します。</w:t>
      </w:r>
    </w:p>
    <w:p>
      <w:pPr>
        <w:widowControl/>
      </w:pPr>
      <w:r>
        <w:rPr>
          <w:rFonts w:ascii="Meiryo" w:hAnsi="Meiryo" w:eastAsia="Meiryo" w:cs="Meiryo"/>
          <w:b w:val="0"/>
          <w:color w:val="000000"/>
          <w:sz w:val="23"/>
          <w:noProof/>
        </w:rPr>
        <w:t>PPTの本文、表、グラフ、図解、空欄の編集性と、埋込データ、欠字、切れ、重なり、凡例、番号、注記を確認します。構造検証と実際のPowerPointでの動作確認は区別し、実施した確認だけ合格と記録します。</w:t>
      </w:r>
    </w:p>
    <w:p>
      <w:r>
        <w:br w:type="page"/>
      </w:r>
    </w:p>
    <w:p>
      <w:pPr>
        <w:pStyle w:val="Heading1"/>
      </w:pPr>
      <w:r>
        <w:rPr>
          <w:rFonts w:ascii="Meiryo" w:hAnsi="Meiryo" w:eastAsia="Meiryo" w:cs="Meiryo"/>
          <w:b/>
          <w:color w:val="000000"/>
          <w:sz w:val="36"/>
          <w:noProof/>
        </w:rPr>
        <w:t>19 更新管理と引き継ぐ記録</w:t>
      </w:r>
    </w:p>
    <w:p>
      <w:pPr>
        <w:widowControl/>
      </w:pPr>
      <w:r>
        <w:rPr>
          <w:rFonts w:ascii="Meiryo" w:hAnsi="Meiryo" w:eastAsia="Meiryo" w:cs="Meiryo"/>
          <w:b w:val="0"/>
          <w:color w:val="000000"/>
          <w:sz w:val="23"/>
          <w:noProof/>
        </w:rPr>
        <w:t>次年度や別自治体は新案件として登録し、過去の確定設定を参考にして新しい版を作ります。同名の項目でも原資料へ戻り、前回の例外対応や対象外を無条件に継承しません。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056"/>
      </w:tblGrid>
      <w:tr>
        <w:trPr>
          <w:cantSplit/>
          <w:tblHeader/>
        </w:trPr>
        <w:tc>
          <w:tcPr>
            <w:tcW w:type="dxa" w:w="2304"/>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変更</w:t>
            </w:r>
          </w:p>
        </w:tc>
        <w:tc>
          <w:tcPr>
            <w:tcW w:type="dxa" w:w="7056"/>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再実行と確認の範囲</w:t>
            </w:r>
          </w:p>
        </w:tc>
      </w:tr>
      <w:tr>
        <w:trPr>
          <w:cantSplit/>
        </w:trPr>
        <w:tc>
          <w:tcPr>
            <w:tcW w:type="dxa" w:w="2304"/>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回答・設問・対象者</w:t>
            </w:r>
          </w:p>
        </w:tc>
        <w:tc>
          <w:tcPr>
            <w:tcW w:type="dxa" w:w="7056"/>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照合から全集計・分析・本文・公開・PPT・QA</w:t>
            </w:r>
          </w:p>
        </w:tc>
      </w:tr>
      <w:tr>
        <w:trPr>
          <w:cantSplit/>
        </w:trPr>
        <w:tc>
          <w:tcPr>
            <w:tcW w:type="dxa" w:w="2304"/>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組織・属性・対象外</w:t>
            </w:r>
          </w:p>
        </w:tc>
        <w:tc>
          <w:tcPr>
            <w:tcW w:type="dxa" w:w="7056"/>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母数、所属・属性、匿名性、必要モデルと付録</w:t>
            </w:r>
          </w:p>
        </w:tc>
      </w:tr>
      <w:tr>
        <w:trPr>
          <w:cantSplit/>
        </w:trPr>
        <w:tc>
          <w:tcPr>
            <w:tcW w:type="dxa" w:w="2304"/>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指標・欠損・尺度</w:t>
            </w:r>
          </w:p>
        </w:tc>
        <w:tc>
          <w:tcPr>
            <w:tcW w:type="dxa" w:w="7056"/>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該当得点、全関連モデル、比較、本文と注記</w:t>
            </w:r>
          </w:p>
        </w:tc>
      </w:tr>
      <w:tr>
        <w:trPr>
          <w:cantSplit/>
        </w:trPr>
        <w:tc>
          <w:tcPr>
            <w:tcW w:type="dxa" w:w="2304"/>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分析条件</w:t>
            </w:r>
          </w:p>
        </w:tc>
        <w:tc>
          <w:tcPr>
            <w:tcW w:type="dxa" w:w="7056"/>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関連モデル、検証、採否、図表と示唆</w:t>
            </w:r>
          </w:p>
        </w:tc>
      </w:tr>
      <w:tr>
        <w:trPr>
          <w:cantSplit/>
        </w:trPr>
        <w:tc>
          <w:tcPr>
            <w:tcW w:type="dxa" w:w="2304"/>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方針・運用・施策</w:t>
            </w:r>
          </w:p>
        </w:tc>
        <w:tc>
          <w:tcPr>
            <w:tcW w:type="dxa" w:w="7056"/>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出典、仮説、方針対応、計画と関連頁</w:t>
            </w:r>
          </w:p>
        </w:tc>
      </w:tr>
      <w:tr>
        <w:trPr>
          <w:cantSplit/>
        </w:trPr>
        <w:tc>
          <w:tcPr>
            <w:tcW w:type="dxa" w:w="2304"/>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文字・配置・色</w:t>
            </w:r>
          </w:p>
        </w:tc>
        <w:tc>
          <w:tcPr>
            <w:tcW w:type="dxa" w:w="7056"/>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該当頁と最終PPT全体の表示影響</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引き継ぐのは、入力一覧と指紋、設定と辞書の版、環境、各工程の結果、採否判断、非表示理由、文章の根拠、最終PPTのQA、納品一覧です。自由記述原文や内部の少人数集計を一般配布用ZIPへ混ぜません。</w:t>
      </w:r>
    </w:p>
    <w:p>
      <w:pPr>
        <w:widowControl/>
      </w:pPr>
      <w:r>
        <w:rPr>
          <w:rFonts w:ascii="Meiryo" w:hAnsi="Meiryo" w:eastAsia="Meiryo" w:cs="Meiryo"/>
          <w:b w:val="0"/>
          <w:color w:val="000000"/>
          <w:sz w:val="23"/>
          <w:noProof/>
        </w:rPr>
        <w:t>共通エンジンの変更は、複数自治体の回帰確認と変更履歴を残します。定期実行、外部送信、共有設定は別途依頼されたときに設定します。今回の一式は実装と制作を引き継ぐための資料で、スケジュール運用は追加していません。</w:t>
      </w:r>
    </w:p>
    <w:p>
      <w:r>
        <w:br w:type="page"/>
      </w:r>
    </w:p>
    <w:p>
      <w:pPr>
        <w:pStyle w:val="Heading1"/>
      </w:pPr>
      <w:r>
        <w:rPr>
          <w:rFonts w:ascii="Meiryo" w:hAnsi="Meiryo" w:eastAsia="Meiryo" w:cs="Meiryo"/>
          <w:b/>
          <w:color w:val="000000"/>
          <w:sz w:val="36"/>
          <w:noProof/>
        </w:rPr>
        <w:t>付録 佐賀市の検証事例</w:t>
      </w:r>
    </w:p>
    <w:p>
      <w:pPr>
        <w:widowControl/>
      </w:pPr>
      <w:r>
        <w:rPr>
          <w:rFonts w:ascii="Meiryo" w:hAnsi="Meiryo" w:eastAsia="Meiryo" w:cs="Meiryo"/>
          <w:b w:val="0"/>
          <w:color w:val="000000"/>
          <w:sz w:val="23"/>
          <w:noProof/>
        </w:rPr>
        <w:t>佐賀市は共通設計を考えるための事例です。以下を他自治体の初期値、公式の指標定義、必須人数、固定ページ数にしません。同一入力の再現コードはexamples/saga/runtimeに収録しています。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272"/>
      </w:tblGrid>
      <w:tr>
        <w:trPr>
          <w:cantSplit/>
          <w:tblHeader/>
        </w:trPr>
        <w:tc>
          <w:tcPr>
            <w:tcW w:type="dxa" w:w="2088"/>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項目</w:t>
            </w:r>
          </w:p>
        </w:tc>
        <w:tc>
          <w:tcPr>
            <w:tcW w:type="dxa" w:w="7272"/>
            <w:vAlign w:val="center"/>
            <w:shd w:fill="173650"/>
            <w:tcMar>
              <w:top w:w="105" w:type="dxa"/>
              <w:bottom w:w="105" w:type="dxa"/>
              <w:left w:w="100" w:type="dxa"/>
              <w:right w:w="100" w:type="dxa"/>
            </w:tcMar>
          </w:tcPr>
          <w:p>
            <w:pPr>
              <w:spacing w:after="0" w:before="0" w:line="320" w:lineRule="exact"/>
              <w:jc w:val="center"/>
            </w:pPr>
            <w:r>
              <w:rPr>
                <w:rFonts w:ascii="Meiryo" w:hAnsi="Meiryo" w:eastAsia="Meiryo" w:cs="Meiryo"/>
                <w:b/>
                <w:color w:val="FFFFFF"/>
                <w:sz w:val="20"/>
                <w:noProof/>
              </w:rPr>
              <w:t>事例の確認内容</w:t>
            </w:r>
          </w:p>
        </w:tc>
      </w:tr>
      <w:tr>
        <w:trPr>
          <w:cantSplit/>
        </w:trPr>
        <w:tc>
          <w:tcPr>
            <w:tcW w:type="dxa" w:w="2088"/>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指標</w:t>
            </w:r>
          </w:p>
        </w:tc>
        <w:tc>
          <w:tcPr>
            <w:tcW w:type="dxa" w:w="72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共通9問は未実施。末尾4目的指標を個別表示</w:t>
            </w:r>
          </w:p>
        </w:tc>
      </w:tr>
      <w:tr>
        <w:trPr>
          <w:cantSplit/>
        </w:trPr>
        <w:tc>
          <w:tcPr>
            <w:tcW w:type="dxa" w:w="2088"/>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設問対応</w:t>
            </w:r>
          </w:p>
        </w:tc>
        <w:tc>
          <w:tcPr>
            <w:tcW w:type="dxa" w:w="727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回答末尾4列を設問票Q59〜Q62へ順に対応</w:t>
            </w:r>
          </w:p>
        </w:tc>
      </w:tr>
      <w:tr>
        <w:trPr>
          <w:cantSplit/>
        </w:trPr>
        <w:tc>
          <w:tcPr>
            <w:tcW w:type="dxa" w:w="2088"/>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例外補正</w:t>
            </w:r>
          </w:p>
        </w:tc>
        <w:tc>
          <w:tcPr>
            <w:tcW w:type="dxa" w:w="72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Q34は評価・処遇／働きやすさ。Q55原文保持</w:t>
            </w:r>
          </w:p>
        </w:tc>
      </w:tr>
      <w:tr>
        <w:trPr>
          <w:cantSplit/>
        </w:trPr>
        <w:tc>
          <w:tcPr>
            <w:tcW w:type="dxa" w:w="2088"/>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対象とモデル</w:t>
            </w:r>
          </w:p>
        </w:tc>
        <w:tc>
          <w:tcPr>
            <w:tcW w:type="dxa" w:w="727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対象1,397、有効1,350、完全ケース1,348</w:t>
            </w:r>
          </w:p>
        </w:tc>
      </w:tr>
      <w:tr>
        <w:trPr>
          <w:cantSplit/>
        </w:trPr>
        <w:tc>
          <w:tcPr>
            <w:tcW w:type="dxa" w:w="2088"/>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属性と公開</w:t>
            </w:r>
          </w:p>
        </w:tc>
        <w:tc>
          <w:tcPr>
            <w:tcW w:type="dxa" w:w="72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8属性、基準日2026年4月1日、最低5名と追加調整</w:t>
            </w:r>
          </w:p>
        </w:tc>
      </w:tr>
      <w:tr>
        <w:trPr>
          <w:cantSplit/>
        </w:trPr>
        <w:tc>
          <w:tcPr>
            <w:tcW w:type="dxa" w:w="2088"/>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所属長</w:t>
            </w:r>
          </w:p>
        </w:tc>
        <w:tc>
          <w:tcPr>
            <w:tcW w:type="dxa" w:w="727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総務部長・人事課長。同部局内付録、記入各1枚</w:t>
            </w:r>
          </w:p>
        </w:tc>
      </w:tr>
      <w:tr>
        <w:trPr>
          <w:cantSplit/>
        </w:trPr>
        <w:tc>
          <w:tcPr>
            <w:tcW w:type="dxa" w:w="2088"/>
            <w:vAlign w:val="center"/>
            <w:shd w:fill="FFFFFF"/>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自由記述</w:t>
            </w:r>
          </w:p>
        </w:tc>
        <w:tc>
          <w:tcPr>
            <w:tcW w:type="dxa" w:w="7272"/>
            <w:vAlign w:val="center"/>
            <w:shd w:fill="FFFFFF"/>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133記述者、実質意見122、意見なし11</w:t>
            </w:r>
          </w:p>
        </w:tc>
      </w:tr>
      <w:tr>
        <w:trPr>
          <w:cantSplit/>
        </w:trPr>
        <w:tc>
          <w:tcPr>
            <w:tcW w:type="dxa" w:w="2088"/>
            <w:vAlign w:val="center"/>
            <w:shd w:fill="F4F6F8"/>
            <w:tcMar>
              <w:top w:w="105" w:type="dxa"/>
              <w:bottom w:w="105" w:type="dxa"/>
              <w:left w:w="100" w:type="dxa"/>
              <w:right w:w="100" w:type="dxa"/>
            </w:tcMar>
          </w:tcPr>
          <w:p>
            <w:pPr>
              <w:spacing w:after="0" w:before="0" w:line="320" w:lineRule="exact"/>
              <w:jc w:val="center"/>
            </w:pPr>
            <w:r>
              <w:rPr>
                <w:rFonts w:ascii="Meiryo" w:hAnsi="Meiryo" w:eastAsia="Meiryo" w:cs="Meiryo"/>
                <w:b w:val="0"/>
                <w:color w:val="000000"/>
                <w:sz w:val="20"/>
                <w:noProof/>
              </w:rPr>
              <w:t>再現検証</w:t>
            </w:r>
          </w:p>
        </w:tc>
        <w:tc>
          <w:tcPr>
            <w:tcW w:type="dxa" w:w="7272"/>
            <w:vAlign w:val="center"/>
            <w:shd w:fill="F4F6F8"/>
            <w:tcMar>
              <w:top w:w="105" w:type="dxa"/>
              <w:bottom w:w="105" w:type="dxa"/>
              <w:left w:w="100" w:type="dxa"/>
              <w:right w:w="100" w:type="dxa"/>
            </w:tcMar>
          </w:tcPr>
          <w:p>
            <w:pPr>
              <w:spacing w:after="0" w:before="0" w:line="320" w:lineRule="exact"/>
            </w:pPr>
            <w:r>
              <w:rPr>
                <w:rFonts w:ascii="Meiryo" w:hAnsi="Meiryo" w:eastAsia="Meiryo" w:cs="Meiryo"/>
                <w:b w:val="0"/>
                <w:color w:val="000000"/>
                <w:sz w:val="20"/>
                <w:noProof/>
              </w:rPr>
              <w:t>集計5点・モデル2点一致、人事担当133頁が全画素一致</w:t>
            </w:r>
          </w:p>
        </w:tc>
      </w:tr>
    </w:tbl>
    <w:p>
      <w:pPr>
        <w:spacing w:after="0" w:before="0" w:line="240" w:lineRule="auto"/>
      </w:pPr>
      <w:r>
        <w:rPr>
          <w:rFonts w:ascii="Meiryo" w:hAnsi="Meiryo" w:eastAsia="Meiryo" w:cs="Meiryo"/>
          <w:b w:val="0"/>
          <w:color w:val="000000"/>
          <w:sz w:val="6"/>
          <w:noProof/>
        </w:rPr>
      </w:r>
    </w:p>
    <w:p>
      <w:pPr>
        <w:widowControl/>
      </w:pPr>
      <w:r>
        <w:rPr>
          <w:rFonts w:ascii="Meiryo" w:hAnsi="Meiryo" w:eastAsia="Meiryo" w:cs="Meiryo"/>
          <w:b w:val="0"/>
          <w:color w:val="000000"/>
          <w:sz w:val="23"/>
          <w:noProof/>
        </w:rPr>
        <w:t>全庁68頁、全庁付録350／384頁、総務部長145頁、人事課長136頁、人事担当133頁は当該事例の枚数です。再現コードは入力4点の指紋が違えば停止し、新自治体では呼び出しません。</w:t>
      </w:r>
    </w:p>
    <w:p>
      <w:pPr>
        <w:widowControl/>
      </w:pPr>
      <w:r>
        <w:rPr>
          <w:rFonts w:ascii="Meiryo" w:hAnsi="Meiryo" w:eastAsia="Meiryo" w:cs="Meiryo"/>
          <w:b w:val="0"/>
          <w:color w:val="000000"/>
          <w:sz w:val="23"/>
          <w:noProof/>
        </w:rPr>
        <w:t>この改訂では事例コード自体を汎用化したとは扱いません。汎用の設定点検は別実装です。元の全庁v2にwarning7件、他の現行5成果はwarning0という履歴も事例として保持します。PowerPointアプリでの動作確認と他自治体の全量生成は、別途の受入対象です。</w:t>
      </w:r>
    </w:p>
    <w:sectPr w:rsidR="00FC693F" w:rsidRPr="0006063C" w:rsidSect="00034616">
      <w:headerReference w:type="default" r:id="rId9"/>
      <w:footerReference w:type="default" r:id="rId10"/>
      <w:footerReference w:type="first" r:id="rId11"/>
      <w:pgSz w:w="12240" w:h="15840"/>
      <w:pgMar w:top="1008" w:right="1440" w:bottom="950" w:left="1440"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iryo" w:hAnsi="Meiryo" w:eastAsia="Meiryo" w:cs="Meiryo"/>
        <w:b w:val="0"/>
        <w:color w:val="000000"/>
        <w:sz w:val="18"/>
        <w:noProof/>
      </w:rPr>
    </w:r>
    <w:fldSimple w:instr="PAGE"/>
    <w:r>
      <w:rPr>
        <w:rFonts w:ascii="Meiryo" w:hAnsi="Meiryo" w:eastAsia="Meiryo" w:cs="Meiryo"/>
        <w:b w:val="0"/>
        <w:color w:val="000000"/>
        <w:sz w:val="18"/>
        <w:noProof/>
      </w:rPr>
      <w:t xml:space="preserve"> / </w:t>
    </w:r>
    <w:r>
      <w:rPr>
        <w:rFonts w:ascii="Meiryo" w:hAnsi="Meiryo" w:eastAsia="Meiryo" w:cs="Meiryo"/>
        <w:b w:val="0"/>
        <w:color w:val="000000"/>
        <w:sz w:val="18"/>
        <w:noProof/>
      </w:rPr>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iryo" w:hAnsi="Meiryo" w:eastAsia="Meiryo" w:cs="Meiryo"/>
        <w:b w:val="0"/>
        <w:color w:val="000000"/>
        <w:sz w:val="18"/>
        <w:noProof/>
      </w:rPr>
    </w:r>
    <w:fldSimple w:instr="PAGE"/>
    <w:r>
      <w:rPr>
        <w:rFonts w:ascii="Meiryo" w:hAnsi="Meiryo" w:eastAsia="Meiryo" w:cs="Meiryo"/>
        <w:b w:val="0"/>
        <w:color w:val="000000"/>
        <w:sz w:val="18"/>
        <w:noProof/>
      </w:rPr>
      <w:t xml:space="preserve"> / </w:t>
    </w:r>
    <w:r>
      <w:rPr>
        <w:rFonts w:ascii="Meiryo" w:hAnsi="Meiryo" w:eastAsia="Meiryo" w:cs="Meiryo"/>
        <w:b w:val="0"/>
        <w:color w:val="000000"/>
        <w:sz w:val="18"/>
        <w:noProof/>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cs="Meiryo"/>
        <w:b w:val="0"/>
        <w:color w:val="000000"/>
        <w:sz w:val="18"/>
        <w:noProof/>
      </w:rPr>
      <w:t>CAQNAL レポート作成引継ぎ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lvlJc w:val="left"/>
      <w:rPr>
        <w:rFonts w:ascii="Meiryo" w:hAnsi="Meiryo" w:eastAsia="Meiryo"/>
      </w:rPr>
      <w:pPr>
        <w:ind w:left="360" w:hanging="360"/>
        <w:tabs>
          <w:tab w:val="num" w:pos="360"/>
        </w:tabs>
      </w:pPr>
    </w:lvl>
  </w:abstract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exact"/>
    </w:pPr>
    <w:rPr>
      <w:rFonts w:ascii="Meiryo" w:hAnsi="Meiryo" w:eastAsia="Meiryo"/>
      <w:color w:val="000000"/>
      <w:rFonts/>
      <w:sz w:val="23"/>
    </w:rPr>
  </w:style>
  <w:style w:type="paragraph" w:styleId="Header">
    <w:name w:val="header"/>
    <w:basedOn w:val="Normal"/>
    <w:link w:val="HeaderChar"/>
    <w:uiPriority w:val="99"/>
    <w:unhideWhenUsed/>
    <w:rsid w:val="00E618BF"/>
    <w:pPr>
      <w:tabs>
        <w:tab w:val="center" w:pos="4680"/>
        <w:tab w:val="right" w:pos="9360"/>
      </w:tabs>
      <w:spacing w:after="160" w:line="360" w:lineRule="exact"/>
    </w:pPr>
    <w:rPr>
      <w:rFonts w:ascii="Meiryo" w:hAnsi="Meiryo" w:eastAsia="Meiryo"/>
      <w:color w:val="000000"/>
      <w:rFont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360" w:lineRule="exact"/>
    </w:pPr>
    <w:rPr>
      <w:rFonts w:ascii="Meiryo" w:hAnsi="Meiryo" w:eastAsia="Meiryo"/>
      <w:color w:val="000000"/>
      <w:rFont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line="540" w:lineRule="exact"/>
      <w:outlineLvl w:val="0"/>
    </w:pPr>
    <w:rPr>
      <w:rFonts w:asciiTheme="majorHAnsi" w:eastAsiaTheme="majorEastAsia" w:hAnsiTheme="majorHAnsi" w:cstheme="majorBidi" w:ascii="Meiryo" w:hAnsi="Meiryo" w:eastAsia="Meiryo"/>
      <w:b/>
      <w:bCs/>
      <w:color w:val="000000"/>
      <w:sz w:val="36"/>
      <w:szCs w:val="28"/>
      <w:rFonts/>
    </w:rPr>
  </w:style>
  <w:style w:type="paragraph" w:styleId="Heading2">
    <w:name w:val="heading 2"/>
    <w:basedOn w:val="Normal"/>
    <w:next w:val="Normal"/>
    <w:link w:val="Heading2Char"/>
    <w:uiPriority w:val="9"/>
    <w:unhideWhenUsed/>
    <w:qFormat/>
    <w:rsid w:val="00FC693F"/>
    <w:pPr>
      <w:keepNext/>
      <w:keepLines/>
      <w:spacing w:before="200" w:after="100" w:line="400" w:lineRule="exact"/>
      <w:outlineLvl w:val="1"/>
    </w:pPr>
    <w:rPr>
      <w:rFonts w:asciiTheme="majorHAnsi" w:eastAsiaTheme="majorEastAsia" w:hAnsiTheme="majorHAnsi" w:cstheme="majorBidi" w:ascii="Meiryo" w:hAnsi="Meiryo" w:eastAsia="Meiryo"/>
      <w:b/>
      <w:bCs/>
      <w:color w:val="000000"/>
      <w:sz w:val="25"/>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40" w:line="640" w:lineRule="exact"/>
      <w:contextualSpacing/>
    </w:pPr>
    <w:rPr>
      <w:rFonts w:asciiTheme="majorHAnsi" w:eastAsiaTheme="majorEastAsia" w:hAnsiTheme="majorHAnsi" w:cstheme="majorBidi" w:ascii="Meiryo" w:hAnsi="Meiryo" w:eastAsia="Meiryo"/>
      <w:b/>
      <w:color w:val="000000"/>
      <w:spacing w:val="5"/>
      <w:kern w:val="28"/>
      <w:sz w:val="4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360" w:lineRule="exact"/>
    </w:pPr>
    <w:rPr>
      <w:rFonts w:asciiTheme="majorHAnsi" w:eastAsiaTheme="majorEastAsia" w:hAnsiTheme="majorHAnsi" w:cstheme="majorBidi" w:ascii="Meiryo" w:hAnsi="Meiryo" w:eastAsia="Meiryo"/>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60" w:lineRule="exact"/>
      <w:ind w:left="360" w:hanging="360"/>
      <w:contextualSpacing/>
    </w:pPr>
    <w:rPr>
      <w:rFonts w:ascii="Meiryo" w:hAnsi="Meiryo" w:eastAsia="Meiryo"/>
      <w:color w:val="000000"/>
      <w:rFont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CAQNAL 自治体エンゲージメント調査 レポート作成引継ぎ手順書</dc:title>
  <dc:subject>集計 分析 レポート制作と検証の引継ぎ</dc:subject>
  <dc:creator>CAQNAL</dc:creator>
  <cp:keywords>自治体共通 引継ぎ 手順書 プロンプト 自動化 版2.0</cp:keywords>
  <dc:description>generated by python-docx</dc:description>
  <cp:lastModifiedBy/>
  <cp:revision>1</cp:revision>
  <dcterms:created xsi:type="dcterms:W3CDTF">2013-12-23T23:15:00Z</dcterms:created>
  <dcterms:modified xsi:type="dcterms:W3CDTF">2013-12-23T23:15:00Z</dcterms:modified>
  <cp:category/>
</cp:coreProperties>
</file>