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provisa-vs.-the-market"/>
    <w:p>
      <w:pPr>
        <w:pStyle w:val="Heading1"/>
      </w:pPr>
      <w:r>
        <w:t xml:space="preserve">Provisa vs. the Market</w:t>
      </w:r>
    </w:p>
    <w:p>
      <w:pPr>
        <w:pStyle w:val="FirstParagraph"/>
      </w:pPr>
      <w:r>
        <w:rPr>
          <w:i/>
          <w:iCs/>
        </w:rPr>
        <w:t xml:space="preserve">Sales &amp; marketing reference — pricing current as of September 2026. Verify against each</w:t>
      </w:r>
      <w:r>
        <w:rPr>
          <w:i/>
          <w:iCs/>
        </w:rPr>
        <w:t xml:space="preserve"> </w:t>
      </w:r>
      <w:r>
        <w:rPr>
          <w:i/>
          <w:iCs/>
        </w:rPr>
        <w:t xml:space="preserve">vendor’s live pricing page before quoting a prospect; public rates change without notice.</w:t>
      </w:r>
    </w:p>
    <w:bookmarkStart w:id="9" w:name="the-one-liner"/>
    <w:p>
      <w:pPr>
        <w:pStyle w:val="Heading2"/>
      </w:pPr>
      <w:r>
        <w:t xml:space="preserve">The one-liner</w:t>
      </w:r>
    </w:p>
    <w:p>
      <w:pPr>
        <w:pStyle w:val="FirstParagraph"/>
      </w:pPr>
      <w:r>
        <w:t xml:space="preserve">Provisa undercuts or matches every direct competitor’s entry rate, while reaching a broader set</w:t>
      </w:r>
      <w:r>
        <w:t xml:space="preserve"> </w:t>
      </w:r>
      <w:r>
        <w:t xml:space="preserve">of source types — warehouses, graph databases, MongoDB, MSSQL, file sources, and more — under</w:t>
      </w:r>
      <w:r>
        <w:t xml:space="preserve"> </w:t>
      </w:r>
      <w:r>
        <w:t xml:space="preserve">one federated query, through persistent protocol surfaces (SQL, GraphQL, Cypher, Bolt, gRPC,</w:t>
      </w:r>
      <w:r>
        <w:t xml:space="preserve"> </w:t>
      </w:r>
      <w:r>
        <w:t xml:space="preserve">MCP) that request-driven competitors can’t offer.</w:t>
      </w:r>
    </w:p>
    <w:bookmarkEnd w:id="9"/>
    <w:bookmarkStart w:id="10" w:name="cloud-managed-pricing"/>
    <w:p>
      <w:pPr>
        <w:pStyle w:val="Heading2"/>
      </w:pPr>
      <w:r>
        <w:t xml:space="preserve">Cloud / managed pricing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Hasura Cloud v2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Hasura DDN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Starburst Galaxy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Billing unit</w:t>
            </w:r>
          </w:p>
        </w:tc>
        <w:tc>
          <w:tcPr/>
          <w:p>
            <w:pPr>
              <w:pStyle w:val="Compact"/>
            </w:pPr>
            <w:r>
              <w:t xml:space="preserve">Active-hour (compute) + metered egress</w:t>
            </w:r>
          </w:p>
        </w:tc>
        <w:tc>
          <w:tcPr/>
          <w:p>
            <w:pPr>
              <w:pStyle w:val="Compact"/>
            </w:pPr>
            <w:r>
              <w:t xml:space="preserve">Active-hour</w:t>
            </w:r>
          </w:p>
        </w:tc>
        <w:tc>
          <w:tcPr/>
          <w:p>
            <w:pPr>
              <w:pStyle w:val="Compact"/>
            </w:pPr>
            <w:r>
              <w:t xml:space="preserve">Per</w:t>
            </w:r>
            <w:r>
              <w:t xml:space="preserve"> </w:t>
            </w:r>
            <w:r>
              <w:t xml:space="preserve">“active model”</w:t>
            </w:r>
            <w:r>
              <w:t xml:space="preserve"> </w:t>
            </w:r>
            <w:r>
              <w:t xml:space="preserve">(table), usage-gated</w:t>
            </w:r>
          </w:p>
        </w:tc>
        <w:tc>
          <w:tcPr/>
          <w:p>
            <w:pPr>
              <w:pStyle w:val="Compact"/>
            </w:pPr>
            <w:r>
              <w:t xml:space="preserve">Worker-hour, billed in credits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Entry rate</w:t>
            </w:r>
          </w:p>
        </w:tc>
        <w:tc>
          <w:tcPr/>
          <w:p>
            <w:pPr>
              <w:pStyle w:val="Compact"/>
            </w:pPr>
            <w:r>
              <w:t xml:space="preserve">Starter: $25/mo +</w:t>
            </w:r>
            <w:r>
              <w:t xml:space="preserve"> </w:t>
            </w:r>
            <w:r>
              <w:rPr>
                <w:b/>
                <w:bCs/>
              </w:rPr>
              <w:t xml:space="preserve">$1.30/hr</w:t>
            </w:r>
            <w:r>
              <w:t xml:space="preserve"> </w:t>
            </w:r>
            <w:r>
              <w:t xml:space="preserve">overage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$1.50/hr</w:t>
            </w:r>
            <w:r>
              <w:t xml:space="preserve"> </w:t>
            </w:r>
            <w:r>
              <w:t xml:space="preserve">(no DB connected)</w:t>
            </w:r>
          </w:p>
        </w:tc>
        <w:tc>
          <w:tcPr/>
          <w:p>
            <w:pPr>
              <w:pStyle w:val="Compact"/>
            </w:pPr>
            <w:r>
              <w:t xml:space="preserve">$5–$30/active model/mo (Free/Base/Advanced)</w:t>
            </w:r>
          </w:p>
        </w:tc>
        <w:tc>
          <w:tcPr/>
          <w:p>
            <w:pPr>
              <w:pStyle w:val="Compact"/>
            </w:pPr>
            <w:r>
              <w:t xml:space="preserve">$0.50/credit × 6 credits/hr =</w:t>
            </w:r>
            <w:r>
              <w:t xml:space="preserve"> </w:t>
            </w:r>
            <w:r>
              <w:rPr>
                <w:b/>
                <w:bCs/>
              </w:rPr>
              <w:t xml:space="preserve">$3.00/worker-hr</w:t>
            </w:r>
            <w:r>
              <w:t xml:space="preserve"> </w:t>
            </w:r>
            <w:r>
              <w:t xml:space="preserve">(Pro)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Higher tier</w:t>
            </w:r>
          </w:p>
        </w:tc>
        <w:tc>
          <w:tcPr/>
          <w:p>
            <w:pPr>
              <w:pStyle w:val="Compact"/>
            </w:pPr>
            <w:r>
              <w:t xml:space="preserve">Pro S/M/L: $99–$399/mo + $1.50–$5.50/hr, scales with dedicated hardware</w:t>
            </w:r>
          </w:p>
        </w:tc>
        <w:tc>
          <w:tcPr/>
          <w:p>
            <w:pPr>
              <w:pStyle w:val="Compact"/>
            </w:pPr>
            <w:r>
              <w:t xml:space="preserve">Advanced-connector surcharge on top (exact current multiplier not public)</w:t>
            </w:r>
          </w:p>
        </w:tc>
        <w:tc>
          <w:tcPr/>
          <w:p>
            <w:pPr>
              <w:pStyle w:val="Compact"/>
            </w:pPr>
            <w:r>
              <w:t xml:space="preserve">Base/Advanced tiers scale per-model rate</w:t>
            </w:r>
          </w:p>
        </w:tc>
        <w:tc>
          <w:tcPr/>
          <w:p>
            <w:pPr>
              <w:pStyle w:val="Compact"/>
            </w:pPr>
            <w:r>
              <w:t xml:space="preserve">Enterprise $4.50/worker-hr, Mission Critical $6.00/worker-hr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Egress</w:t>
            </w:r>
          </w:p>
        </w:tc>
        <w:tc>
          <w:tcPr/>
          <w:p>
            <w:pPr>
              <w:pStyle w:val="Compact"/>
            </w:pPr>
            <w:r>
              <w:t xml:space="preserve">$0.48/GB, 25–200 GB included by plan</w:t>
            </w:r>
          </w:p>
        </w:tc>
        <w:tc>
          <w:tcPr/>
          <w:p>
            <w:pPr>
              <w:pStyle w:val="Compact"/>
            </w:pPr>
            <w:r>
              <w:t xml:space="preserve">$0.13/GB</w:t>
            </w:r>
          </w:p>
        </w:tc>
        <w:tc>
          <w:tcPr/>
          <w:p>
            <w:pPr>
              <w:pStyle w:val="Compact"/>
            </w:pPr>
            <w:r>
              <w:t xml:space="preserve">Not itemized the same way</w:t>
            </w:r>
          </w:p>
        </w:tc>
        <w:tc>
          <w:tcPr/>
          <w:p>
            <w:pPr>
              <w:pStyle w:val="Compact"/>
            </w:pPr>
            <w:r>
              <w:t xml:space="preserve">Bundled into credit consumption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one price buys</w:t>
            </w:r>
          </w:p>
        </w:tc>
        <w:tc>
          <w:tcPr/>
          <w:p>
            <w:pPr>
              <w:pStyle w:val="Compact"/>
            </w:pPr>
            <w:r>
              <w:t xml:space="preserve">Federated MPP across warehouses, graph, Mongo, MSSQL, files — one query, persistent protocols (SQL/GraphQL/Cypher/Bolt/gRPC/MCP)</w:t>
            </w:r>
          </w:p>
        </w:tc>
        <w:tc>
          <w:tcPr/>
          <w:p>
            <w:pPr>
              <w:pStyle w:val="Compact"/>
            </w:pPr>
            <w:r>
              <w:t xml:space="preserve">GraphQL-only, request-driven, single-serialization joins</w:t>
            </w:r>
          </w:p>
        </w:tc>
        <w:tc>
          <w:tcPr/>
          <w:p>
            <w:pPr>
              <w:pStyle w:val="Compact"/>
            </w:pPr>
            <w:r>
              <w:t xml:space="preserve">Same GraphQL-only reach as v2, priced per table instead of per hour</w:t>
            </w:r>
          </w:p>
        </w:tc>
        <w:tc>
          <w:tcPr/>
          <w:p>
            <w:pPr>
              <w:pStyle w:val="Compact"/>
            </w:pPr>
            <w:r>
              <w:t xml:space="preserve">Trino-as-a-service, MPP over Trino-reachable sources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talking point:</w:t>
      </w:r>
      <w:r>
        <w:t xml:space="preserve"> </w:t>
      </w:r>
      <w:r>
        <w:t xml:space="preserve">Provisa’s Starter overage rate ($1.30/hr) undercuts Hasura v2’s base rate</w:t>
      </w:r>
      <w:r>
        <w:t xml:space="preserve"> </w:t>
      </w:r>
      <w:r>
        <w:t xml:space="preserve">($1.50/hr) before even counting Provisa’s included-hours allowance. Provisa’s Pro tiers sit at</w:t>
      </w:r>
      <w:r>
        <w:t xml:space="preserve"> </w:t>
      </w:r>
      <w:r>
        <w:t xml:space="preserve">or below Galaxy’s Pro rate while reaching sources Galaxy’s Trino-only model can’t.</w:t>
      </w:r>
    </w:p>
    <w:p>
      <w:pPr>
        <w:pStyle w:val="BodyText"/>
      </w:pPr>
      <w:r>
        <w:rPr>
          <w:b/>
          <w:bCs/>
        </w:rPr>
        <w:t xml:space="preserve">On Hasura DDN:</w:t>
      </w:r>
      <w:r>
        <w:t xml:space="preserve"> </w:t>
      </w:r>
      <w:r>
        <w:t xml:space="preserve">Hasura’s current flagship product no longer bills by the hour at all — it</w:t>
      </w:r>
      <w:r>
        <w:t xml:space="preserve"> </w:t>
      </w:r>
      <w:r>
        <w:t xml:space="preserve">bills</w:t>
      </w:r>
      <w:r>
        <w:t xml:space="preserve"> </w:t>
      </w:r>
      <w:r>
        <w:rPr>
          <w:b/>
          <w:bCs/>
        </w:rPr>
        <w:t xml:space="preserve">$5–$30 per</w:t>
      </w:r>
      <w:r>
        <w:rPr>
          <w:b/>
          <w:bCs/>
        </w:rPr>
        <w:t xml:space="preserve"> </w:t>
      </w:r>
      <w:r>
        <w:rPr>
          <w:b/>
          <w:bCs/>
        </w:rPr>
        <w:t xml:space="preserve">“active model”</w:t>
      </w:r>
      <w:r>
        <w:rPr>
          <w:b/>
          <w:bCs/>
        </w:rPr>
        <w:t xml:space="preserve"> </w:t>
      </w:r>
      <w:r>
        <w:rPr>
          <w:b/>
          <w:bCs/>
        </w:rPr>
        <w:t xml:space="preserve">per month</w:t>
      </w:r>
      <w:r>
        <w:t xml:space="preserve">, where an active model is</w:t>
      </w:r>
      <w:r>
        <w:t xml:space="preserve"> </w:t>
      </w:r>
      <w:r>
        <w:rPr>
          <w:i/>
          <w:iCs/>
        </w:rPr>
        <w:t xml:space="preserve">“any model or command</w:t>
      </w:r>
      <w:r>
        <w:rPr>
          <w:i/>
          <w:iCs/>
        </w:rPr>
        <w:t xml:space="preserve"> </w:t>
      </w:r>
      <w:r>
        <w:rPr>
          <w:i/>
          <w:iCs/>
        </w:rPr>
        <w:t xml:space="preserve">in the metadata that is accessed more than 1000 times/month”</w:t>
      </w:r>
      <w:r>
        <w:t xml:space="preserve"> </w:t>
      </w:r>
      <w:r>
        <w:t xml:space="preserve">(Hasura’s own wording). Query a</w:t>
      </w:r>
      <w:r>
        <w:t xml:space="preserve"> </w:t>
      </w:r>
      <w:r>
        <w:t xml:space="preserve">table fewer than 1,000 times and it’s free; cross that line and the whole table bills for the</w:t>
      </w:r>
      <w:r>
        <w:t xml:space="preserve"> </w:t>
      </w:r>
      <w:r>
        <w:t xml:space="preserve">month. This is a genuinely different pricing unit, not a rate to put side-by-side with an</w:t>
      </w:r>
      <w:r>
        <w:t xml:space="preserve"> </w:t>
      </w:r>
      <w:r>
        <w:t xml:space="preserve">hourly number — lead with the structural difference (usage-gated per-table vs. Provisa’s</w:t>
      </w:r>
      <w:r>
        <w:t xml:space="preserve"> </w:t>
      </w:r>
      <w:r>
        <w:t xml:space="preserve">predictable hourly occupancy) rather than trying to force a single</w:t>
      </w:r>
      <w:r>
        <w:t xml:space="preserve"> </w:t>
      </w:r>
      <w:r>
        <w:t xml:space="preserve">“cheaper/more expensive”</w:t>
      </w:r>
      <w:r>
        <w:t xml:space="preserve"> </w:t>
      </w:r>
      <w:r>
        <w:t xml:space="preserve">comparison.</w:t>
      </w:r>
    </w:p>
    <w:bookmarkEnd w:id="10"/>
    <w:bookmarkStart w:id="11" w:name="on-premises-licensing"/>
    <w:p>
      <w:pPr>
        <w:pStyle w:val="Heading2"/>
      </w:pPr>
      <w:r>
        <w:t xml:space="preserve">On-premises licensing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Denodo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Starburst Enterprise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Flat per-core rate</w:t>
            </w:r>
          </w:p>
        </w:tc>
        <w:tc>
          <w:tcPr/>
          <w:p>
            <w:pPr>
              <w:pStyle w:val="Compact"/>
            </w:pPr>
            <w:r>
              <w:t xml:space="preserve">Per-CPU subscription</w:t>
            </w:r>
          </w:p>
        </w:tc>
        <w:tc>
          <w:tcPr/>
          <w:p>
            <w:pPr>
              <w:pStyle w:val="Compact"/>
            </w:pPr>
            <w:r>
              <w:t xml:space="preserve">Quote-only, per-node/core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Published rate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$3,000/core/yr</w:t>
            </w:r>
          </w:p>
        </w:tc>
        <w:tc>
          <w:tcPr/>
          <w:p>
            <w:pPr>
              <w:pStyle w:val="Compact"/>
            </w:pPr>
            <w:r>
              <w:t xml:space="preserve">Not public; UK G-Cloud rate card shows £124,222 (~$155K) for a 4-CPU subscription (~$39K/CPU/yr)</w:t>
            </w:r>
          </w:p>
        </w:tc>
        <w:tc>
          <w:tcPr/>
          <w:p>
            <w:pPr>
              <w:pStyle w:val="Compact"/>
            </w:pPr>
            <w:r>
              <w:t xml:space="preserve">Not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Coordinator/worker split</w:t>
            </w:r>
          </w:p>
        </w:tc>
        <w:tc>
          <w:tcPr/>
          <w:p>
            <w:pPr>
              <w:pStyle w:val="Compact"/>
            </w:pPr>
            <w:r>
              <w:t xml:space="preserve">None — a core is a core</w:t>
            </w:r>
          </w:p>
        </w:tc>
        <w:tc>
          <w:tcPr/>
          <w:p>
            <w:pPr>
              <w:pStyle w:val="Compact"/>
            </w:pPr>
            <w:r>
              <w:t xml:space="preserve">N/A (per-CPU)</w:t>
            </w:r>
          </w:p>
        </w:tc>
        <w:tc>
          <w:tcPr/>
          <w:p>
            <w:pPr>
              <w:pStyle w:val="Compact"/>
            </w:pPr>
            <w:r>
              <w:t xml:space="preserve">Typically differentiated by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Typical entry deal</w:t>
            </w:r>
          </w:p>
        </w:tc>
        <w:tc>
          <w:tcPr/>
          <w:p>
            <w:pPr>
              <w:pStyle w:val="Compact"/>
            </w:pPr>
            <w:r>
              <w:t xml:space="preserve">~$144,000/yr (48-core deployment)</w:t>
            </w:r>
          </w:p>
        </w:tc>
        <w:tc>
          <w:tcPr/>
          <w:p>
            <w:pPr>
              <w:pStyle w:val="Compact"/>
            </w:pPr>
            <w:r>
              <w:t xml:space="preserve">Six-figure and up</w:t>
            </w:r>
          </w:p>
        </w:tc>
        <w:tc>
          <w:tcPr/>
          <w:p>
            <w:pPr>
              <w:pStyle w:val="Compact"/>
            </w:pPr>
            <w:r>
              <w:t xml:space="preserve">Six-figure and 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tier</w:t>
            </w:r>
          </w:p>
        </w:tc>
        <w:tc>
          <w:tcPr/>
          <w:p>
            <w:pPr>
              <w:pStyle w:val="Compact"/>
            </w:pPr>
            <w:r>
              <w:t xml:space="preserve">Yes — under $1M company revenue and ≤8 cores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talking point:</w:t>
      </w:r>
      <w:r>
        <w:t xml:space="preserve"> </w:t>
      </w:r>
      <w:r>
        <w:t xml:space="preserve">Provisa’s on-prem rate is transparent and public — no</w:t>
      </w:r>
      <w:r>
        <w:t xml:space="preserve"> </w:t>
      </w:r>
      <w:r>
        <w:t xml:space="preserve">“contact sales for</w:t>
      </w:r>
      <w:r>
        <w:t xml:space="preserve"> </w:t>
      </w:r>
      <w:r>
        <w:t xml:space="preserve">a quote”</w:t>
      </w:r>
      <w:r>
        <w:t xml:space="preserve"> </w:t>
      </w:r>
      <w:r>
        <w:t xml:space="preserve">friction. At a comparable footprint, Provisa’s per-core rate runs well under Denodo’s</w:t>
      </w:r>
      <w:r>
        <w:t xml:space="preserve"> </w:t>
      </w:r>
      <w:r>
        <w:t xml:space="preserve">implied per-CPU rate, with no separate coordinator/worker pricing to negotiate.</w:t>
      </w:r>
    </w:p>
    <w:bookmarkEnd w:id="11"/>
    <w:bookmarkStart w:id="12" w:name="quick-reference-cheat-sheet"/>
    <w:p>
      <w:pPr>
        <w:pStyle w:val="Heading2"/>
      </w:pPr>
      <w:r>
        <w:t xml:space="preserve">Quick-reference cheat sheet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Cheaper entry, cloud:</w:t>
      </w:r>
      <w:r>
        <w:t xml:space="preserve"> </w:t>
      </w:r>
      <w:r>
        <w:t xml:space="preserve">Provisa beats Hasura v2 on rate; matches or beats Galaxy on rate,</w:t>
      </w:r>
      <w:r>
        <w:t xml:space="preserve"> </w:t>
      </w:r>
      <w:r>
        <w:t xml:space="preserve">wins decisively on source breadth against both.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Simpler than DDN:</w:t>
      </w:r>
      <w:r>
        <w:t xml:space="preserve"> </w:t>
      </w:r>
      <w:r>
        <w:t xml:space="preserve">Provisa’s active-hour billing is predictable up front; DDN’s per-model,</w:t>
      </w:r>
      <w:r>
        <w:t xml:space="preserve"> </w:t>
      </w:r>
      <w:r>
        <w:t xml:space="preserve">usage-gated billing is hard for a prospect to estimate before they’ve run real traffic.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Cheaper and simpler on-prem:</w:t>
      </w:r>
      <w:r>
        <w:t xml:space="preserve"> </w:t>
      </w:r>
      <w:r>
        <w:t xml:space="preserve">Provisa publishes its rate; Denodo and Starburst Enterprise</w:t>
      </w:r>
      <w:r>
        <w:t xml:space="preserve"> </w:t>
      </w:r>
      <w:r>
        <w:t xml:space="preserve">both require a sales conversation to get a number.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Broader reach, every comparison:</w:t>
      </w:r>
      <w:r>
        <w:t xml:space="preserve"> </w:t>
      </w:r>
      <w:r>
        <w:t xml:space="preserve">Provisa is the only one of the four that reaches</w:t>
      </w:r>
      <w:r>
        <w:t xml:space="preserve"> </w:t>
      </w:r>
      <w:r>
        <w:t xml:space="preserve">warehouses, graph, MongoDB, and MSSQL under a single federated query with persistent</w:t>
      </w:r>
      <w:r>
        <w:t xml:space="preserve"> </w:t>
      </w:r>
      <w:r>
        <w:t xml:space="preserve">protocol surfaces — not just GraphQL (Hasura) or Trino-reachable sources (Starburst).</w:t>
      </w:r>
    </w:p>
    <w:bookmarkEnd w:id="12"/>
    <w:bookmarkStart w:id="13" w:name="sourcing"/>
    <w:p>
      <w:pPr>
        <w:pStyle w:val="Heading2"/>
      </w:pPr>
      <w:r>
        <w:t xml:space="preserve">Sourcing</w:t>
      </w:r>
    </w:p>
    <w:p>
      <w:pPr>
        <w:pStyle w:val="FirstParagraph"/>
      </w:pPr>
      <w:r>
        <w:t xml:space="preserve">Hasura v2/DDN rates: Hasura’s public pricing page, confirmed live. Starburst Galaxy rates:</w:t>
      </w:r>
      <w:r>
        <w:t xml:space="preserve"> </w:t>
      </w:r>
      <w:r>
        <w:t xml:space="preserve">Starburst’s public pricing page. Denodo rate: UK Government G-Cloud 14 published rate card (the</w:t>
      </w:r>
      <w:r>
        <w:t xml:space="preserve"> </w:t>
      </w:r>
      <w:r>
        <w:t xml:space="preserve">only public Denodo number found; direct-quote pricing may differ). Starburst Enterprise: no</w:t>
      </w:r>
      <w:r>
        <w:t xml:space="preserve"> </w:t>
      </w:r>
      <w:r>
        <w:t xml:space="preserve">public rate exists; six-figure-and-up is the consistent characterization across buyer reviews</w:t>
      </w:r>
      <w:r>
        <w:t xml:space="preserve"> </w:t>
      </w:r>
      <w:r>
        <w:t xml:space="preserve">and analyst commentary, not a quoted price. Re-verify all of the above before using in a</w:t>
      </w:r>
      <w:r>
        <w:t xml:space="preserve"> </w:t>
      </w:r>
      <w:r>
        <w:t xml:space="preserve">customer-facing quote or contract.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2026-09-16T16:57:49Z</dcterms:created>
  <dcterms:modified xsi:type="dcterms:W3CDTF">2026-09-16T16:57:49Z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