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ovisa-pricing-plan"/>
    <w:p>
      <w:pPr>
        <w:pStyle w:val="Heading1"/>
      </w:pPr>
      <w:r>
        <w:t xml:space="preserve">Provisa Pricing Plan</w:t>
      </w:r>
    </w:p>
    <w:p>
      <w:pPr>
        <w:pStyle w:val="FirstParagraph"/>
      </w:pPr>
      <w:r>
        <w:t xml:space="preserve">This restates the pricing model to match what is actually implemented and live, not an</w:t>
      </w:r>
      <w:r>
        <w:t xml:space="preserve"> </w:t>
      </w:r>
      <w:r>
        <w:t xml:space="preserve">earlier design proposal. Two sources of truth, cross-checked against each other: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.claude/commercial/provisa_commercial/</w:t>
      </w:r>
      <w:r>
        <w:t xml:space="preserve"> </w:t>
      </w:r>
      <w:r>
        <w:t xml:space="preserve">(the commercial plugin; proprietary,</w:t>
      </w:r>
      <w:r>
        <w:t xml:space="preserve"> </w:t>
      </w:r>
      <w:r>
        <w:t xml:space="preserve">not part of the open-source distribution — see its own README).</w:t>
      </w:r>
      <w:r>
        <w:t xml:space="preserve"> </w:t>
      </w:r>
      <w:r>
        <w:rPr>
          <w:rStyle w:val="VerbatimChar"/>
        </w:rPr>
        <w:t xml:space="preserve">entitlements.py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Lemon Squeezy</w:t>
      </w:r>
      <w:r>
        <w:t xml:space="preserve"> </w:t>
      </w:r>
      <w:r>
        <w:t xml:space="preserve">(the merchant of record) — store</w:t>
      </w:r>
      <w:r>
        <w:t xml:space="preserve"> </w:t>
      </w:r>
      <w:r>
        <w:rPr>
          <w:rStyle w:val="VerbatimChar"/>
        </w:rPr>
        <w:t xml:space="preserve">SimpleIsHard</w:t>
      </w:r>
      <w:r>
        <w:t xml:space="preserve"> </w:t>
      </w:r>
      <w:r>
        <w:t xml:space="preserve">(store id</w:t>
      </w:r>
      <w:r>
        <w:t xml:space="preserve"> </w:t>
      </w:r>
      <w:r>
        <w:rPr>
          <w:rStyle w:val="VerbatimChar"/>
        </w:rPr>
        <w:t xml:space="preserve">285474</w:t>
      </w:r>
      <w:r>
        <w:t xml:space="preserve">),</w:t>
      </w:r>
      <w:r>
        <w:t xml:space="preserve"> </w:t>
      </w:r>
      <w:r>
        <w:t xml:space="preserve">products</w:t>
      </w:r>
      <w:r>
        <w:t xml:space="preserve"> </w:t>
      </w:r>
      <w:r>
        <w:rPr>
          <w:rStyle w:val="VerbatimChar"/>
        </w:rPr>
        <w:t xml:space="preserve">Provisa Compute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Provisa Egress</w:t>
      </w:r>
      <w:r>
        <w:t xml:space="preserve">, queried live via the API on 2026-09-16.</w:t>
      </w:r>
      <w:r>
        <w:t xml:space="preserve"> </w:t>
      </w:r>
      <w:r>
        <w:t xml:space="preserve">Every rate below is the live configured price, not a modeled/target number.</w:t>
      </w:r>
    </w:p>
    <w:p>
      <w:pPr>
        <w:pStyle w:val="FirstParagraph"/>
      </w:pPr>
      <w:r>
        <w:rPr>
          <w:b/>
          <w:bCs/>
        </w:rPr>
        <w:t xml:space="preserve">Known drift</w:t>
      </w:r>
      <w:r>
        <w:t xml:space="preserve">: the variant IDs configured in this deployment’s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LEMONSQUEEZY_VARIANT_STARTER</w:t>
      </w:r>
      <w:r>
        <w:t xml:space="preserve"> </w:t>
      </w:r>
      <w:r>
        <w:t xml:space="preserve">etc.) 404 against the Lemon Squeezy API — they don’t match</w:t>
      </w:r>
      <w:r>
        <w:t xml:space="preserve"> </w:t>
      </w:r>
      <w:r>
        <w:t xml:space="preserve">the live variant IDs the store actually has today. The rates below are still accurate (read</w:t>
      </w:r>
      <w:r>
        <w:t xml:space="preserve"> </w:t>
      </w:r>
      <w:r>
        <w:t xml:space="preserve">directly from the live variants), but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wiring that would let this deployment</w:t>
      </w:r>
      <w:r>
        <w:t xml:space="preserve"> </w:t>
      </w:r>
      <w:r>
        <w:t xml:space="preserve">actually check out against them needs to be reconciled separately from this document.</w:t>
      </w:r>
    </w:p>
    <w:bookmarkStart w:id="9" w:name="the-plan-ladder"/>
    <w:p>
      <w:pPr>
        <w:pStyle w:val="Heading2"/>
      </w:pPr>
      <w:r>
        <w:t xml:space="preserve">The plan ladder</w:t>
      </w:r>
    </w:p>
    <w:p>
      <w:pPr>
        <w:pStyle w:val="FirstParagraph"/>
      </w:pPr>
      <w:r>
        <w:t xml:space="preserve">Five plans, one product family, not the</w:t>
      </w:r>
      <w:r>
        <w:t xml:space="preserve"> </w:t>
      </w:r>
      <w:r>
        <w:t xml:space="preserve">“Free/Starter/Team/Scale + two lanes”</w:t>
      </w:r>
      <w:r>
        <w:t xml:space="preserve"> </w:t>
      </w:r>
      <w:r>
        <w:t xml:space="preserve">shape an</w:t>
      </w:r>
      <w:r>
        <w:t xml:space="preserve"> </w:t>
      </w:r>
      <w:r>
        <w:t xml:space="preserve">earlier design pass modeled.</w:t>
      </w:r>
      <w:r>
        <w:t xml:space="preserve"> </w:t>
      </w:r>
      <w:r>
        <w:rPr>
          <w:rStyle w:val="VerbatimChar"/>
        </w:rPr>
        <w:t xml:space="preserve">provisa_commercial.models.Plan</w:t>
      </w:r>
      <w:r>
        <w:t xml:space="preserve">: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pro_s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pro_m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pro_l</w:t>
      </w:r>
      <w:r>
        <w:t xml:space="preserve">. Pro is sold as three fixed sizes — the size IS the plan, not a setting on</w:t>
      </w:r>
      <w:r>
        <w:t xml:space="preserve"> </w:t>
      </w:r>
      <w:r>
        <w:t xml:space="preserve">a single</w:t>
      </w:r>
      <w:r>
        <w:t xml:space="preserve"> </w:t>
      </w:r>
      <w:r>
        <w:t xml:space="preserve">“Pro”</w:t>
      </w:r>
      <w:r>
        <w:t xml:space="preserve"> </w:t>
      </w:r>
      <w:r>
        <w:t xml:space="preserve">tier, because each size is different hardware, a different price, and a</w:t>
      </w:r>
      <w:r>
        <w:t xml:space="preserve"> </w:t>
      </w:r>
      <w:r>
        <w:t xml:space="preserve">different Lemon Squeezy variant.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Query ceilings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Compute base fee</w:t>
            </w:r>
          </w:p>
        </w:tc>
        <w:tc>
          <w:tcPr/>
          <w:p>
            <w:pPr>
              <w:pStyle w:val="Compact"/>
            </w:pPr>
            <w:r>
              <w:t xml:space="preserve">Included active-hrs</w:t>
            </w:r>
          </w:p>
        </w:tc>
        <w:tc>
          <w:tcPr/>
          <w:p>
            <w:pPr>
              <w:pStyle w:val="Compact"/>
            </w:pPr>
            <w:r>
              <w:t xml:space="preserve">Overage/active-hr</w:t>
            </w:r>
          </w:p>
        </w:tc>
        <w:tc>
          <w:tcPr/>
          <w:p>
            <w:pPr>
              <w:pStyle w:val="Compact"/>
            </w:pPr>
            <w:r>
              <w:t xml:space="preserve">Included egress</w:t>
            </w:r>
          </w:p>
        </w:tc>
        <w:tc>
          <w:tcPr/>
          <w:p>
            <w:pPr>
              <w:pStyle w:val="Compact"/>
            </w:pPr>
            <w:r>
              <w:t xml:space="preserve">Egress 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shared/pooled</w:t>
            </w:r>
          </w:p>
        </w:tc>
        <w:tc>
          <w:tcPr/>
          <w:p>
            <w:pPr>
              <w:pStyle w:val="Compact"/>
            </w:pPr>
            <w:r>
              <w:t xml:space="preserve">100K rows / 10GB scan / 8GB mem / 120s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 (rides Starter’s LS trial)</w:t>
            </w:r>
          </w:p>
        </w:tc>
        <w:tc>
          <w:tcPr/>
          <w:p>
            <w:pPr>
              <w:pStyle w:val="Compact"/>
            </w:pPr>
            <w:r>
              <w:t xml:space="preserve">40 hrs or 14 days or 25GB, whichever first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shared/pooled</w:t>
            </w:r>
          </w:p>
        </w:tc>
        <w:tc>
          <w:tcPr/>
          <w:p>
            <w:pPr>
              <w:pStyle w:val="Compact"/>
            </w:pPr>
            <w:r>
              <w:t xml:space="preserve">1M rows / 100GB scan / 32GB mem / 300s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$25/mo</w:t>
            </w:r>
          </w:p>
        </w:tc>
        <w:tc>
          <w:tcPr/>
          <w:p>
            <w:pPr>
              <w:pStyle w:val="Compact"/>
            </w:pPr>
            <w:r>
              <w:t xml:space="preserve">19 hrs</w:t>
            </w:r>
          </w:p>
        </w:tc>
        <w:tc>
          <w:tcPr/>
          <w:p>
            <w:pPr>
              <w:pStyle w:val="Compact"/>
            </w:pPr>
            <w:r>
              <w:t xml:space="preserve">$1.30/hr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$0.48/GB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S</w:t>
            </w:r>
          </w:p>
        </w:tc>
        <w:tc>
          <w:tcPr/>
          <w:p>
            <w:pPr>
              <w:pStyle w:val="Compact"/>
            </w:pPr>
            <w:r>
              <w:t xml:space="preserve">n2-highmem-4 (4 vCPU / 32 GB), dedicated</w:t>
            </w:r>
          </w:p>
        </w:tc>
        <w:tc>
          <w:tcPr/>
          <w:p>
            <w:pPr>
              <w:pStyle w:val="Compact"/>
            </w:pPr>
            <w:r>
              <w:t xml:space="preserve">uncapped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$99/mo</w:t>
            </w:r>
          </w:p>
        </w:tc>
        <w:tc>
          <w:tcPr/>
          <w:p>
            <w:pPr>
              <w:pStyle w:val="Compact"/>
            </w:pPr>
            <w:r>
              <w:t xml:space="preserve">66 hrs</w:t>
            </w:r>
          </w:p>
        </w:tc>
        <w:tc>
          <w:tcPr/>
          <w:p>
            <w:pPr>
              <w:pStyle w:val="Compact"/>
            </w:pPr>
            <w:r>
              <w:t xml:space="preserve">$1.50/hr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  <w:tc>
          <w:tcPr/>
          <w:p>
            <w:pPr>
              <w:pStyle w:val="Compact"/>
            </w:pPr>
            <w:r>
              <w:t xml:space="preserve">$0.48/GB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M</w:t>
            </w:r>
          </w:p>
        </w:tc>
        <w:tc>
          <w:tcPr/>
          <w:p>
            <w:pPr>
              <w:pStyle w:val="Compact"/>
            </w:pPr>
            <w:r>
              <w:t xml:space="preserve">n2-highmem-8 (8 vCPU / 64 GB), dedicated</w:t>
            </w:r>
          </w:p>
        </w:tc>
        <w:tc>
          <w:tcPr/>
          <w:p>
            <w:pPr>
              <w:pStyle w:val="Compact"/>
            </w:pPr>
            <w:r>
              <w:t xml:space="preserve">uncapped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$199/mo</w:t>
            </w:r>
          </w:p>
        </w:tc>
        <w:tc>
          <w:tcPr/>
          <w:p>
            <w:pPr>
              <w:pStyle w:val="Compact"/>
            </w:pPr>
            <w:r>
              <w:t xml:space="preserve">72 hrs</w:t>
            </w:r>
          </w:p>
        </w:tc>
        <w:tc>
          <w:tcPr/>
          <w:p>
            <w:pPr>
              <w:pStyle w:val="Compact"/>
            </w:pPr>
            <w:r>
              <w:t xml:space="preserve">$2.75/hr</w:t>
            </w:r>
          </w:p>
        </w:tc>
        <w:tc>
          <w:tcPr/>
          <w:p>
            <w:pPr>
              <w:pStyle w:val="Compact"/>
            </w:pPr>
            <w:r>
              <w:t xml:space="preserve">100 GB</w:t>
            </w:r>
          </w:p>
        </w:tc>
        <w:tc>
          <w:tcPr/>
          <w:p>
            <w:pPr>
              <w:pStyle w:val="Compact"/>
            </w:pPr>
            <w:r>
              <w:t xml:space="preserve">$0.48/GB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L</w:t>
            </w:r>
          </w:p>
        </w:tc>
        <w:tc>
          <w:tcPr/>
          <w:p>
            <w:pPr>
              <w:pStyle w:val="Compact"/>
            </w:pPr>
            <w:r>
              <w:t xml:space="preserve">n2-highmem-16 (16 vCPU / 128 GB), dedicated</w:t>
            </w:r>
          </w:p>
        </w:tc>
        <w:tc>
          <w:tcPr/>
          <w:p>
            <w:pPr>
              <w:pStyle w:val="Compact"/>
            </w:pPr>
            <w:r>
              <w:t xml:space="preserve">uncapped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$399/mo</w:t>
            </w:r>
          </w:p>
        </w:tc>
        <w:tc>
          <w:tcPr/>
          <w:p>
            <w:pPr>
              <w:pStyle w:val="Compact"/>
            </w:pPr>
            <w:r>
              <w:t xml:space="preserve">72 hrs</w:t>
            </w:r>
          </w:p>
        </w:tc>
        <w:tc>
          <w:tcPr/>
          <w:p>
            <w:pPr>
              <w:pStyle w:val="Compact"/>
            </w:pPr>
            <w:r>
              <w:t xml:space="preserve">$5.50/hr</w:t>
            </w:r>
          </w:p>
        </w:tc>
        <w:tc>
          <w:tcPr/>
          <w:p>
            <w:pPr>
              <w:pStyle w:val="Compact"/>
            </w:pPr>
            <w:r>
              <w:t xml:space="preserve">200 GB</w:t>
            </w:r>
          </w:p>
        </w:tc>
        <w:tc>
          <w:tcPr/>
          <w:p>
            <w:pPr>
              <w:pStyle w:val="Compact"/>
            </w:pPr>
            <w:r>
              <w:t xml:space="preserve">$0.48/GB</w:t>
            </w:r>
          </w:p>
        </w:tc>
      </w:tr>
    </w:tbl>
    <w:p>
      <w:pPr>
        <w:pStyle w:val="BodyText"/>
      </w:pPr>
      <w:r>
        <w:t xml:space="preserve">Query ceilings and hardware are engineering facts (</w:t>
      </w:r>
      <w:r>
        <w:rPr>
          <w:rStyle w:val="VerbatimChar"/>
        </w:rPr>
        <w:t xml:space="preserve">entitlements.py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ProSize</w:t>
      </w:r>
      <w:r>
        <w:t xml:space="preserve">); base fee,</w:t>
      </w:r>
      <w:r>
        <w:t xml:space="preserve"> </w:t>
      </w:r>
      <w:r>
        <w:t xml:space="preserve">included hours/GB, and overage rates are the live Lemon Squeezy price for each variant’s</w:t>
      </w:r>
      <w:r>
        <w:t xml:space="preserve"> </w:t>
      </w:r>
      <w:r>
        <w:t xml:space="preserve">graduated tier.</w:t>
      </w:r>
    </w:p>
    <w:p>
      <w:pPr>
        <w:pStyle w:val="BodyText"/>
      </w:pPr>
      <w:r>
        <w:rPr>
          <w:b/>
          <w:bCs/>
        </w:rPr>
        <w:t xml:space="preserve">Pro is not unmetered compute.</w:t>
      </w:r>
      <w:r>
        <w:t xml:space="preserve"> </w:t>
      </w:r>
      <w:r>
        <w:t xml:space="preserve">Query</w:t>
      </w:r>
      <w:r>
        <w:t xml:space="preserve"> </w:t>
      </w:r>
      <w:r>
        <w:rPr>
          <w:i/>
          <w:iCs/>
        </w:rPr>
        <w:t xml:space="preserve">ceilings</w:t>
      </w:r>
      <w:r>
        <w:t xml:space="preserve"> </w:t>
      </w:r>
      <w:r>
        <w:t xml:space="preserve">(rows/bytes/memory/time) are uncapped on</w:t>
      </w:r>
      <w:r>
        <w:t xml:space="preserve"> </w:t>
      </w:r>
      <w:r>
        <w:t xml:space="preserve">Pro — a dedicated engine has no shared-tenant reason to throttle a single query — but active-</w:t>
      </w:r>
      <w:r>
        <w:t xml:space="preserve"> </w:t>
      </w:r>
      <w:r>
        <w:t xml:space="preserve">hour</w:t>
      </w:r>
      <w:r>
        <w:t xml:space="preserve"> </w:t>
      </w:r>
      <w:r>
        <w:rPr>
          <w:i/>
          <w:iCs/>
        </w:rPr>
        <w:t xml:space="preserve">billing</w:t>
      </w:r>
      <w:r>
        <w:t xml:space="preserve"> </w:t>
      </w:r>
      <w:r>
        <w:t xml:space="preserve">still applies to every plan, Pro included: each size’s monthly base fee bundles</w:t>
      </w:r>
      <w:r>
        <w:t xml:space="preserve"> </w:t>
      </w:r>
      <w:r>
        <w:t xml:space="preserve">an included-hours allowance, then overage bills per hour beyond it, at a rate that scales with</w:t>
      </w:r>
      <w:r>
        <w:t xml:space="preserve"> </w:t>
      </w:r>
      <w:r>
        <w:t xml:space="preserve">the hardware. Uncapped query limits and metered billing are two different axes; Pro relaxes</w:t>
      </w:r>
      <w:r>
        <w:t xml:space="preserve"> </w:t>
      </w:r>
      <w:r>
        <w:t xml:space="preserve">only the first.</w:t>
      </w:r>
    </w:p>
    <w:bookmarkEnd w:id="9"/>
    <w:bookmarkStart w:id="10" w:name="Xc4a4982e638e6ddfe57afc51289544f5bb4beec"/>
    <w:p>
      <w:pPr>
        <w:pStyle w:val="Heading2"/>
      </w:pPr>
      <w:r>
        <w:t xml:space="preserve">Why active-hour, not vCPU-hour or per-query</w:t>
      </w:r>
    </w:p>
    <w:p>
      <w:pPr>
        <w:pStyle w:val="FirstParagraph"/>
      </w:pPr>
      <w:r>
        <w:t xml:space="preserve">The unit is occupancy (any clock hour the org submitted at least one query bills once,</w:t>
      </w:r>
      <w:r>
        <w:t xml:space="preserve"> </w:t>
      </w:r>
      <w:r>
        <w:t xml:space="preserve">regardless of query count or duration), not a per-query or per-vCPU meter — Starter’s shard</w:t>
      </w:r>
      <w:r>
        <w:t xml:space="preserve"> </w:t>
      </w:r>
      <w:r>
        <w:t xml:space="preserve">hosts many orgs on the same nodes, so no per-org vCPU-hour is a real, readable number; billing</w:t>
      </w:r>
      <w:r>
        <w:t xml:space="preserve"> </w:t>
      </w:r>
      <w:r>
        <w:t xml:space="preserve">one would be inventing a figure the infrastructure cannot actually attribute</w:t>
      </w:r>
      <w:r>
        <w:t xml:space="preserve"> </w:t>
      </w:r>
      <w:r>
        <w:t xml:space="preserve">(</w:t>
      </w:r>
      <w:r>
        <w:rPr>
          <w:rStyle w:val="VerbatimChar"/>
        </w:rPr>
        <w:t xml:space="preserve">usage.py</w:t>
      </w:r>
      <w:r>
        <w:t xml:space="preserve">). An hour containing only rejected/killed queries still bills — the shard did the</w:t>
      </w:r>
      <w:r>
        <w:t xml:space="preserve"> </w:t>
      </w:r>
      <w:r>
        <w:t xml:space="preserve">work of planning and admitting them before rejecting, so the occupancy cost was real.</w:t>
      </w:r>
    </w:p>
    <w:p>
      <w:pPr>
        <w:pStyle w:val="BodyText"/>
      </w:pPr>
      <w:r>
        <w:t xml:space="preserve">The signal is a durable counter (</w:t>
      </w:r>
      <w:r>
        <w:rPr>
          <w:rStyle w:val="VerbatimChar"/>
        </w:rPr>
        <w:t xml:space="preserve">org_usage_hour</w:t>
      </w:r>
      <w:r>
        <w:t xml:space="preserve">, upserted per</w:t>
      </w:r>
      <w:r>
        <w:t xml:space="preserve"> </w:t>
      </w:r>
      <w:r>
        <w:rPr>
          <w:rStyle w:val="VerbatimChar"/>
        </w:rPr>
        <w:t xml:space="preserve">(org, hour)</w:t>
      </w:r>
      <w:r>
        <w:t xml:space="preserve">), not the audit</w:t>
      </w:r>
      <w:r>
        <w:t xml:space="preserve"> </w:t>
      </w:r>
      <w:r>
        <w:t xml:space="preserve">log or the OTel trace stream — neither of those is a billing record; a billing fact needs an</w:t>
      </w:r>
      <w:r>
        <w:t xml:space="preserve"> </w:t>
      </w:r>
      <w:r>
        <w:t xml:space="preserve">idempotent row a monthly sweep can total without risk of double-counting a replay.</w:t>
      </w:r>
    </w:p>
    <w:bookmarkEnd w:id="10"/>
    <w:bookmarkStart w:id="11" w:name="the-trial"/>
    <w:p>
      <w:pPr>
        <w:pStyle w:val="Heading2"/>
      </w:pPr>
      <w:r>
        <w:t xml:space="preserve">The trial</w:t>
      </w:r>
    </w:p>
    <w:p>
      <w:pPr>
        <w:pStyle w:val="FirstParagraph"/>
      </w:pPr>
      <w:r>
        <w:t xml:space="preserve">14 days, capped by three independent bounds, whichever comes first (</w:t>
      </w:r>
      <w:r>
        <w:rPr>
          <w:rStyle w:val="VerbatimChar"/>
        </w:rPr>
        <w:t xml:space="preserve">trial.py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TRIAL_DAYS</w:t>
      </w:r>
      <w:r>
        <w:t xml:space="preserve">/</w:t>
      </w:r>
      <w:r>
        <w:rPr>
          <w:rStyle w:val="VerbatimChar"/>
        </w:rPr>
        <w:t xml:space="preserve">TRIAL_ACTIVE_HOURS</w:t>
      </w:r>
      <w:r>
        <w:t xml:space="preserve">/</w:t>
      </w:r>
      <w:r>
        <w:rPr>
          <w:rStyle w:val="VerbatimChar"/>
        </w:rPr>
        <w:t xml:space="preserve">TRIAL_EGRESS_BYTES</w:t>
      </w:r>
      <w:r>
        <w:t xml:space="preserve">):</w:t>
      </w:r>
      <w:r>
        <w:t xml:space="preserve"> </w:t>
      </w:r>
      <w:r>
        <w:rPr>
          <w:b/>
          <w:bCs/>
        </w:rPr>
        <w:t xml:space="preserve">14 calendar days</w:t>
      </w:r>
      <w:r>
        <w:t xml:space="preserve">,</w:t>
      </w:r>
      <w:r>
        <w:t xml:space="preserve"> </w:t>
      </w:r>
      <w:r>
        <w:rPr>
          <w:b/>
          <w:bCs/>
        </w:rPr>
        <w:t xml:space="preserve">40 active</w:t>
      </w:r>
      <w:r>
        <w:rPr>
          <w:b/>
          <w:bCs/>
        </w:rPr>
        <w:t xml:space="preserve"> </w:t>
      </w:r>
      <w:r>
        <w:rPr>
          <w:b/>
          <w:bCs/>
        </w:rPr>
        <w:t xml:space="preserve">hours</w:t>
      </w:r>
      <w:r>
        <w:t xml:space="preserve">, or</w:t>
      </w:r>
      <w:r>
        <w:t xml:space="preserve"> </w:t>
      </w:r>
      <w:r>
        <w:rPr>
          <w:b/>
          <w:bCs/>
        </w:rPr>
        <w:t xml:space="preserve">25 GB egress</w:t>
      </w:r>
      <w:r>
        <w:t xml:space="preserve"> </w:t>
      </w:r>
      <w:r>
        <w:t xml:space="preserve">(sized to match Starter’s own included egress allowance, so the</w:t>
      </w:r>
      <w:r>
        <w:t xml:space="preserve"> </w:t>
      </w:r>
      <w:r>
        <w:t xml:space="preserve">trial evaluates the plan the org would actually buy). There is no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product in</w:t>
      </w:r>
      <w:r>
        <w:t xml:space="preserve"> </w:t>
      </w:r>
      <w:r>
        <w:t xml:space="preserve">Lemon Squeezy — a trial is a Starter subscription with Lemon Squeezy’s own free-trial flag</w:t>
      </w:r>
      <w:r>
        <w:t xml:space="preserve"> </w:t>
      </w:r>
      <w:r>
        <w:t xml:space="preserve">enabled on that variant (confirmed live: the Starter variant carries</w:t>
      </w:r>
      <w:r>
        <w:t xml:space="preserve"> </w:t>
      </w:r>
      <w:r>
        <w:rPr>
          <w:rStyle w:val="VerbatimChar"/>
        </w:rPr>
        <w:t xml:space="preserve">has_free_trial: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trial_interval_count: 14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trial_interval: day</w:t>
      </w:r>
      <w:r>
        <w:t xml:space="preserve">). Lemon Squeezy can only express the</w:t>
      </w:r>
      <w:r>
        <w:t xml:space="preserve"> </w:t>
      </w:r>
      <w:r>
        <w:t xml:space="preserve">day-count bound; the active-hour and egress bounds are enforced by Provisa’s own clock, which</w:t>
      </w:r>
      <w:r>
        <w:t xml:space="preserve"> </w:t>
      </w:r>
      <w:r>
        <w:t xml:space="preserve">force-converts the trial (moves</w:t>
      </w:r>
      <w:r>
        <w:t xml:space="preserve"> </w:t>
      </w:r>
      <w:r>
        <w:rPr>
          <w:rStyle w:val="VerbatimChar"/>
        </w:rPr>
        <w:t xml:space="preserve">trial_ends_at</w:t>
      </w:r>
      <w:r>
        <w:t xml:space="preserve"> </w:t>
      </w:r>
      <w:r>
        <w:t xml:space="preserve">to now) when either is hit early — that’s what</w:t>
      </w:r>
      <w:r>
        <w:t xml:space="preserve"> </w:t>
      </w:r>
      <w:r>
        <w:t xml:space="preserve">makes the merchant of record charge the first period on schedule rather than Provisa’s code.</w:t>
      </w:r>
    </w:p>
    <w:p>
      <w:pPr>
        <w:pStyle w:val="BodyText"/>
      </w:pPr>
      <w:r>
        <w:t xml:space="preserve">Entitlement is keyed on the Lemon Squeezy</w:t>
      </w:r>
      <w:r>
        <w:t xml:space="preserve"> </w:t>
      </w:r>
      <w:r>
        <w:rPr>
          <w:b/>
          <w:bCs/>
        </w:rPr>
        <w:t xml:space="preserve">subscription status</w:t>
      </w:r>
      <w:r>
        <w:t xml:space="preserve">, never on a landed payment:</w:t>
      </w:r>
      <w:r>
        <w:t xml:space="preserve"> </w:t>
      </w:r>
      <w:r>
        <w:rPr>
          <w:rStyle w:val="VerbatimChar"/>
        </w:rPr>
        <w:t xml:space="preserve">on_trial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(cancel-at-period-end — the org paid for the period it’s</w:t>
      </w:r>
      <w:r>
        <w:t xml:space="preserve"> </w:t>
      </w:r>
      <w:r>
        <w:t xml:space="preserve">still in) are entitled;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unpaid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are not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ENTITLED_STATUSES</w:t>
      </w:r>
      <w:r>
        <w:t xml:space="preserve">).</w:t>
      </w:r>
    </w:p>
    <w:bookmarkEnd w:id="11"/>
    <w:bookmarkStart w:id="12" w:name="egress"/>
    <w:p>
      <w:pPr>
        <w:pStyle w:val="Heading2"/>
      </w:pPr>
      <w:r>
        <w:t xml:space="preserve">Egress</w:t>
      </w:r>
    </w:p>
    <w:p>
      <w:pPr>
        <w:pStyle w:val="FirstParagraph"/>
      </w:pPr>
      <w:r>
        <w:t xml:space="preserve">One overage rate,</w:t>
      </w:r>
      <w:r>
        <w:t xml:space="preserve"> </w:t>
      </w:r>
      <w:r>
        <w:rPr>
          <w:b/>
          <w:bCs/>
        </w:rPr>
        <w:t xml:space="preserve">$0.48/GB</w:t>
      </w:r>
      <w:r>
        <w:t xml:space="preserve">, identical across every plan — only the included allowance</w:t>
      </w:r>
      <w:r>
        <w:t xml:space="preserve"> </w:t>
      </w:r>
      <w:r>
        <w:t xml:space="preserve">scales with plan size (25/50/100/200 GB). Metered separately from compute because it fails</w:t>
      </w:r>
      <w:r>
        <w:t xml:space="preserve"> </w:t>
      </w:r>
      <w:r>
        <w:t xml:space="preserve">differently: a compute ceiling is enforced by Trino itself (session properties,</w:t>
      </w:r>
      <w:r>
        <w:t xml:space="preserve"> </w:t>
      </w:r>
      <w:r>
        <w:rPr>
          <w:rStyle w:val="VerbatimChar"/>
        </w:rPr>
        <w:t xml:space="preserve">EXCEEDED_*</w:t>
      </w:r>
      <w:r>
        <w:t xml:space="preserve"> </w:t>
      </w:r>
      <w:r>
        <w:t xml:space="preserve">errors); an unbounded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over a modest table passes every scan guard while still</w:t>
      </w:r>
      <w:r>
        <w:t xml:space="preserve"> </w:t>
      </w:r>
      <w:r>
        <w:t xml:space="preserve">shipping gigabytes, so egress is enforced on the result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enforce_output_cap</w:t>
      </w:r>
      <w:r>
        <w:t xml:space="preserve">/</w:t>
      </w:r>
      <w:r>
        <w:rPr>
          <w:rStyle w:val="VerbatimChar"/>
        </w:rPr>
        <w:t xml:space="preserve">translate_engine_error</w:t>
      </w:r>
      <w:r>
        <w:t xml:space="preserve">), not the query-planning path.</w:t>
      </w:r>
    </w:p>
    <w:bookmarkEnd w:id="12"/>
    <w:bookmarkStart w:id="13" w:name="X11cb42536799a28afc0719a628931a1ef52b074"/>
    <w:p>
      <w:pPr>
        <w:pStyle w:val="Heading2"/>
      </w:pPr>
      <w:r>
        <w:t xml:space="preserve">What’s deliberately not billed by usage on Pro</w:t>
      </w:r>
    </w:p>
    <w:p>
      <w:pPr>
        <w:pStyle w:val="FirstParagraph"/>
      </w:pPr>
      <w:r>
        <w:t xml:space="preserve">Pro’s query ceilings are uncapped by design (</w:t>
      </w:r>
      <w:r>
        <w:rPr>
          <w:rStyle w:val="VerbatimChar"/>
        </w:rPr>
        <w:t xml:space="preserve">entitlements.py</w:t>
      </w:r>
      <w:r>
        <w:t xml:space="preserve">, REQ-1449):</w:t>
      </w:r>
      <w:r>
        <w:t xml:space="preserve"> </w:t>
      </w:r>
      <w:r>
        <w:t xml:space="preserve">“the isolated lane</w:t>
      </w:r>
      <w:r>
        <w:t xml:space="preserve"> </w:t>
      </w:r>
      <w:r>
        <w:t xml:space="preserve">cannot degrade another tenant once placement is dedicated, so the size is the only limit — a</w:t>
      </w:r>
      <w:r>
        <w:t xml:space="preserve"> </w:t>
      </w:r>
      <w:r>
        <w:t xml:space="preserve">concurrency or duration ceiling on top of it would bill for hardware and then refuse to let the</w:t>
      </w:r>
      <w:r>
        <w:t xml:space="preserve"> </w:t>
      </w:r>
      <w:r>
        <w:t xml:space="preserve">org use it.”</w:t>
      </w:r>
      <w:r>
        <w:t xml:space="preserve"> </w:t>
      </w:r>
      <w:r>
        <w:t xml:space="preserve">The org already pays for the box; Provisa does not also meter what it does on the</w:t>
      </w:r>
      <w:r>
        <w:t xml:space="preserve"> </w:t>
      </w:r>
      <w:r>
        <w:t xml:space="preserve">box beyond the active-hour/egress lines above.</w:t>
      </w:r>
    </w:p>
    <w:bookmarkEnd w:id="13"/>
    <w:bookmarkStart w:id="14" w:name="the-zero-customer-cost-floor"/>
    <w:p>
      <w:pPr>
        <w:pStyle w:val="Heading2"/>
      </w:pPr>
      <w:r>
        <w:t xml:space="preserve">The zero-customer cost floor</w:t>
      </w:r>
    </w:p>
    <w:p>
      <w:pPr>
        <w:pStyle w:val="FirstParagraph"/>
      </w:pPr>
      <w:r>
        <w:t xml:space="preserve">What this deployment costs with zero paying customers signed up — the number that makes the</w:t>
      </w:r>
      <w:r>
        <w:t xml:space="preserve"> </w:t>
      </w:r>
      <w:r>
        <w:t xml:space="preserve">free tier and trial genuinely low-risk to offer, verified against what’s actually deployed</w:t>
      </w:r>
      <w:r>
        <w:t xml:space="preserve"> </w:t>
      </w:r>
      <w:r>
        <w:t xml:space="preserve">(</w:t>
      </w:r>
      <w:r>
        <w:rPr>
          <w:rStyle w:val="VerbatimChar"/>
        </w:rPr>
        <w:t xml:space="preserve">terraform/gcp-saas/</w:t>
      </w:r>
      <w:r>
        <w:t xml:space="preserve">), not a modeled estimate: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Cost at zero customers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Front-door proxy (e2-micro)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GCP’s Always Free tier covers 1 e2-micro/month in us-central1/us-west1/us-east1; this VM never stops (it’s the thing that wakes everything else), so it rides the free allowance continuously.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(control-plane VM)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Idle-stopped by the front door after 20 minutes of zero traffic on every protocol port (REQ-1779; doubled from 10 min this session). Stopped = not billed for compute.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shard (GKE, Trino/federation compute)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Scaled to zero pods by the in-app reaper after 10 minutes of query inactivity (half the coordinator’s window, so it always finishes ahead of a coordinator stop). GKE Autopilot bills per-pod resource-second; zero pods is zero compute charge.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GKE Autopilot cluster management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$0.10/cluster-hour, but Google’s Always Free tier includes $74.40/month in GKE credit — enough to cover one Autopilot or zonal-Standard cluster running continuously all month. This is the only GKE cluster in the 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SQL (</w:t>
            </w:r>
            <w:r>
              <w:rPr>
                <w:rStyle w:val="VerbatimChar"/>
              </w:rPr>
              <w:t xml:space="preserve">db-f1-micro</w:t>
            </w:r>
            <w:r>
              <w:t xml:space="preserve">, control-plane Postgres)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~$9/mo</w:t>
            </w:r>
          </w:p>
        </w:tc>
        <w:tc>
          <w:tcPr/>
          <w:p>
            <w:pPr>
              <w:pStyle w:val="Compact"/>
            </w:pPr>
            <w:r>
              <w:t xml:space="preserve">The one component that’s always on regardless of traffic — org/tenant registry, auth, billing state. Documented in</w:t>
            </w:r>
            <w:r>
              <w:t xml:space="preserve"> </w:t>
            </w:r>
            <w:r>
              <w:rPr>
                <w:rStyle w:val="VerbatimChar"/>
              </w:rPr>
              <w:t xml:space="preserve">variables.tf</w:t>
            </w:r>
            <w:r>
              <w:t xml:space="preserve">’s own comment as</w:t>
            </w:r>
            <w:r>
              <w:t xml:space="preserve"> </w:t>
            </w:r>
            <w:r>
              <w:t xml:space="preserve">“the always-warm baseline.”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IP (shared front-door address)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GCP only charges for a</w:t>
            </w:r>
            <w:r>
              <w:t xml:space="preserve"> </w:t>
            </w:r>
            <w:r>
              <w:rPr>
                <w:i/>
                <w:iCs/>
              </w:rPr>
              <w:t xml:space="preserve">reserved-but-unattached</w:t>
            </w:r>
            <w:r>
              <w:t xml:space="preserve"> </w:t>
            </w:r>
            <w:r>
              <w:t xml:space="preserve">external IP; this one stays attached to the always-on front-door VM.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(Cloudflare)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Free-tier DNS-only records (</w:t>
            </w:r>
            <w:r>
              <w:rPr>
                <w:rStyle w:val="VerbatimChar"/>
              </w:rPr>
              <w:t xml:space="preserve">proxied = false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fixed floor: ~$9/mo</w:t>
      </w:r>
      <w:r>
        <w:t xml:space="preserve">, not the ~$19/mo an earlier design pass modeled — Cloud SQL is</w:t>
      </w:r>
      <w:r>
        <w:t xml:space="preserve"> </w:t>
      </w:r>
      <w:r>
        <w:t xml:space="preserve">the only real fixed line; everything else is either genuinely free-tier or scales to zero with</w:t>
      </w:r>
      <w:r>
        <w:t xml:space="preserve"> </w:t>
      </w:r>
      <w:r>
        <w:t xml:space="preserve">no traffic. This is what makes offering a free tier and a 14-day trial cheap to run: acquiring</w:t>
      </w:r>
      <w:r>
        <w:t xml:space="preserve"> </w:t>
      </w:r>
      <w:r>
        <w:t xml:space="preserve">a customer who never converts costs Cloud SQL’s per-tenant registry row, nothing else.</w:t>
      </w:r>
    </w:p>
    <w:bookmarkEnd w:id="14"/>
    <w:bookmarkStart w:id="15" w:name="Xa615225537b1d0922975270f37a8f4a1e5f2dad"/>
    <w:p>
      <w:pPr>
        <w:pStyle w:val="Heading2"/>
      </w:pPr>
      <w:r>
        <w:t xml:space="preserve">Comparison to competitors’ actual current pricing</w:t>
      </w:r>
    </w:p>
    <w:p>
      <w:pPr>
        <w:pStyle w:val="FirstParagraph"/>
      </w:pPr>
      <w:r>
        <w:t xml:space="preserve">Verified against each vendor’s own live pricing/API as of 2026-09-16, not older or modeled</w:t>
      </w:r>
      <w:r>
        <w:t xml:space="preserve"> </w:t>
      </w:r>
      <w:r>
        <w:t xml:space="preserve">figures — two material corrections to what an earlier pass assumed:</w:t>
      </w:r>
    </w:p>
    <w:p>
      <w:pPr>
        <w:pStyle w:val="BodyText"/>
      </w:pPr>
      <w:r>
        <w:rPr>
          <w:b/>
          <w:bCs/>
        </w:rPr>
        <w:t xml:space="preserve">Hasura has moved off active-hour billing entirely for new customers.</w:t>
      </w:r>
      <w:r>
        <w:t xml:space="preserve"> </w:t>
      </w:r>
      <w:r>
        <w:t xml:space="preserve">Their current</w:t>
      </w:r>
      <w:r>
        <w:t xml:space="preserve"> </w:t>
      </w:r>
      <w:r>
        <w:t xml:space="preserve">flagship product, Hasura DDN, bills</w:t>
      </w:r>
      <w:r>
        <w:t xml:space="preserve"> </w:t>
      </w:r>
      <w:r>
        <w:rPr>
          <w:b/>
          <w:bCs/>
        </w:rPr>
        <w:t xml:space="preserve">$5–$30 per</w:t>
      </w:r>
      <w:r>
        <w:rPr>
          <w:b/>
          <w:bCs/>
        </w:rPr>
        <w:t xml:space="preserve"> </w:t>
      </w:r>
      <w:r>
        <w:rPr>
          <w:b/>
          <w:bCs/>
        </w:rPr>
        <w:t xml:space="preserve">“active model”</w:t>
      </w:r>
      <w:r>
        <w:rPr>
          <w:b/>
          <w:bCs/>
        </w:rPr>
        <w:t xml:space="preserve">/month</w:t>
      </w:r>
      <w:r>
        <w:t xml:space="preserve"> </w:t>
      </w:r>
      <w:r>
        <w:t xml:space="preserve">(Free / Base / Advanced</w:t>
      </w:r>
      <w:r>
        <w:t xml:space="preserve"> </w:t>
      </w:r>
      <w:r>
        <w:t xml:space="preserve">tiers) — a per-table unit, not project-hours, and specifically gated on a usage threshold, per</w:t>
      </w:r>
      <w:r>
        <w:t xml:space="preserve"> </w:t>
      </w:r>
      <w:r>
        <w:t xml:space="preserve">Hasura’s own pricing page:</w:t>
      </w:r>
      <w:r>
        <w:t xml:space="preserve"> </w:t>
      </w:r>
      <w:r>
        <w:rPr>
          <w:i/>
          <w:iCs/>
        </w:rPr>
        <w:t xml:space="preserve">“Active Model is any model or command in the metadata that is</w:t>
      </w:r>
      <w:r>
        <w:rPr>
          <w:i/>
          <w:iCs/>
        </w:rPr>
        <w:t xml:space="preserve"> </w:t>
      </w:r>
      <w:r>
        <w:rPr>
          <w:i/>
          <w:iCs/>
        </w:rPr>
        <w:t xml:space="preserve">accessed more than 1000 times/month.”</w:t>
      </w:r>
      <w:r>
        <w:t xml:space="preserve"> </w:t>
      </w:r>
      <w:r>
        <w:t xml:space="preserve">A table queried fewer than 1000 times in the month costs</w:t>
      </w:r>
      <w:r>
        <w:t xml:space="preserve"> </w:t>
      </w:r>
      <w:r>
        <w:t xml:space="preserve">nothing; cross that line and the whole table is billed for the month, regardless of how far</w:t>
      </w:r>
      <w:r>
        <w:t xml:space="preserve"> </w:t>
      </w:r>
      <w:r>
        <w:t xml:space="preserve">over 1000 it went. This is a fundamentally different unit from what Provisa’s</w:t>
      </w:r>
      <w:r>
        <w:t xml:space="preserve"> </w:t>
      </w:r>
      <w:r>
        <w:rPr>
          <w:rStyle w:val="VerbatimChar"/>
        </w:rPr>
        <w:t xml:space="preserve">hasura_v2</w:t>
      </w:r>
      <w:r>
        <w:t xml:space="preserve"> </w:t>
      </w:r>
      <w:r>
        <w:t xml:space="preserve">compatibility layer targets. The active-hour model below is</w:t>
      </w:r>
      <w:r>
        <w:t xml:space="preserve"> </w:t>
      </w:r>
      <w:r>
        <w:rPr>
          <w:b/>
          <w:bCs/>
        </w:rPr>
        <w:t xml:space="preserve">Hasura Cloud v2, legacy and</w:t>
      </w:r>
      <w:r>
        <w:rPr>
          <w:b/>
          <w:bCs/>
        </w:rPr>
        <w:t xml:space="preserve"> </w:t>
      </w:r>
      <w:r>
        <w:rPr>
          <w:b/>
          <w:bCs/>
        </w:rPr>
        <w:t xml:space="preserve">grandfathered</w:t>
      </w:r>
      <w:r>
        <w:t xml:space="preserve"> </w:t>
      </w:r>
      <w:r>
        <w:t xml:space="preserve">— still running for existing customers, not what a new Hasura signup lands on</w:t>
      </w:r>
      <w:r>
        <w:t xml:space="preserve"> </w:t>
      </w:r>
      <w:r>
        <w:t xml:space="preserve">today.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Hasura Cloud v2 (legacy)</w:t>
            </w:r>
          </w:p>
        </w:tc>
        <w:tc>
          <w:tcPr/>
          <w:p>
            <w:pPr>
              <w:pStyle w:val="Compact"/>
            </w:pPr>
            <w:r>
              <w:t xml:space="preserve">Starburst Galaxy</w:t>
            </w:r>
          </w:p>
        </w:tc>
        <w:tc>
          <w:tcPr/>
          <w:p>
            <w:pPr>
              <w:pStyle w:val="Compact"/>
            </w:pPr>
            <w:r>
              <w:t xml:space="preserve">Provisa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active-hour</w:t>
            </w:r>
          </w:p>
        </w:tc>
        <w:tc>
          <w:tcPr/>
          <w:p>
            <w:pPr>
              <w:pStyle w:val="Compact"/>
            </w:pPr>
            <w:r>
              <w:t xml:space="preserve">worker-hour (credits)</w:t>
            </w:r>
          </w:p>
        </w:tc>
        <w:tc>
          <w:tcPr/>
          <w:p>
            <w:pPr>
              <w:pStyle w:val="Compact"/>
            </w:pPr>
            <w:r>
              <w:t xml:space="preserve">active-hour (compute), separately metered egress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Base/entry rate</w:t>
            </w:r>
          </w:p>
        </w:tc>
        <w:tc>
          <w:tcPr/>
          <w:p>
            <w:pPr>
              <w:pStyle w:val="Compact"/>
            </w:pPr>
            <w:r>
              <w:t xml:space="preserve">$1.50/active-hr (no DB connected) — confirmed live</w:t>
            </w:r>
          </w:p>
        </w:tc>
        <w:tc>
          <w:tcPr/>
          <w:p>
            <w:pPr>
              <w:pStyle w:val="Compact"/>
            </w:pPr>
            <w:r>
              <w:t xml:space="preserve">$0.50/credit × 6 credits/worker-hr = $3.00/worker-hr (Pro)</w:t>
            </w:r>
          </w:p>
        </w:tc>
        <w:tc>
          <w:tcPr/>
          <w:p>
            <w:pPr>
              <w:pStyle w:val="Compact"/>
            </w:pPr>
            <w:r>
              <w:t xml:space="preserve">Starter: $25/mo base (19 hrs incl.) + $1.30/hr 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tier</w:t>
            </w:r>
          </w:p>
        </w:tc>
        <w:tc>
          <w:tcPr/>
          <w:p>
            <w:pPr>
              <w:pStyle w:val="Compact"/>
            </w:pPr>
            <w:r>
              <w:t xml:space="preserve">Advanced-connector surcharge exists (Snowflake/BigQuery/Mongo/MSSQL); exact current multiplier not independently confirmable via public docs — do not restate a specific number without re-verifying against a live account</w:t>
            </w:r>
          </w:p>
        </w:tc>
        <w:tc>
          <w:tcPr/>
          <w:p>
            <w:pPr>
              <w:pStyle w:val="Compact"/>
            </w:pPr>
            <w:r>
              <w:t xml:space="preserve">Enterprise $0.75/credit ($4.50/worker-hr), Mission Critical $1.00/credit ($6.00/worker-hr)</w:t>
            </w:r>
          </w:p>
        </w:tc>
        <w:tc>
          <w:tcPr/>
          <w:p>
            <w:pPr>
              <w:pStyle w:val="Compact"/>
            </w:pPr>
            <w:r>
              <w:t xml:space="preserve">Pro S/M/L: $99–$399/mo base + $1.50–$5.50/hr overage, scaling with dedicated hardware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Egress</w:t>
            </w:r>
          </w:p>
        </w:tc>
        <w:tc>
          <w:tcPr/>
          <w:p>
            <w:pPr>
              <w:pStyle w:val="Compact"/>
            </w:pPr>
            <w:r>
              <w:t xml:space="preserve">$0.13/GB</w:t>
            </w:r>
          </w:p>
        </w:tc>
        <w:tc>
          <w:tcPr/>
          <w:p>
            <w:pPr>
              <w:pStyle w:val="Compact"/>
            </w:pPr>
            <w:r>
              <w:t xml:space="preserve">Not publicly itemized the same way (bundled into credit consumption)</w:t>
            </w:r>
          </w:p>
        </w:tc>
        <w:tc>
          <w:tcPr/>
          <w:p>
            <w:pPr>
              <w:pStyle w:val="Compact"/>
            </w:pPr>
            <w:r>
              <w:t xml:space="preserve">$0.48/GB overage, 25–200 GB included by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one price buys</w:t>
            </w:r>
          </w:p>
        </w:tc>
        <w:tc>
          <w:tcPr/>
          <w:p>
            <w:pPr>
              <w:pStyle w:val="Compact"/>
            </w:pPr>
            <w:r>
              <w:t xml:space="preserve">GraphQL-only, request-driven warmth, single-serialization joins</w:t>
            </w:r>
          </w:p>
        </w:tc>
        <w:tc>
          <w:tcPr/>
          <w:p>
            <w:pPr>
              <w:pStyle w:val="Compact"/>
            </w:pPr>
            <w:r>
              <w:t xml:space="preserve">Trino-as-a-service, MPP over Trino-reachable sources only</w:t>
            </w:r>
          </w:p>
        </w:tc>
        <w:tc>
          <w:tcPr/>
          <w:p>
            <w:pPr>
              <w:pStyle w:val="Compact"/>
            </w:pPr>
            <w:r>
              <w:t xml:space="preserve">Federated MPP across a broader source class (warehouses, graph, Mongo, MSSQL) under one query, plus persistent-protocol surfaces (pgwire/Bolt/Flight/gRPC/MCP) Hasura’s request-driven model can’t offer</w:t>
            </w:r>
          </w:p>
        </w:tc>
      </w:tr>
    </w:tbl>
    <w:p>
      <w:pPr>
        <w:pStyle w:val="BodyText"/>
      </w:pPr>
      <w:r>
        <w:t xml:space="preserve">Provisa’s Starter rate ($1.30/active-hr overage) undercuts Hasura v2’s base rate ($1.50/active-hr)</w:t>
      </w:r>
      <w:r>
        <w:t xml:space="preserve"> </w:t>
      </w:r>
      <w:r>
        <w:t xml:space="preserve">even before accounting for the included-hours allowance a Lemon Squeezy subscription bundles in;</w:t>
      </w:r>
      <w:r>
        <w:t xml:space="preserve"> </w:t>
      </w:r>
      <w:r>
        <w:t xml:space="preserve">Provisa’s Pro tiers sit at or below Galaxy’s Pro worker-hour rate while reaching a broader source</w:t>
      </w:r>
      <w:r>
        <w:t xml:space="preserve"> </w:t>
      </w:r>
      <w:r>
        <w:t xml:space="preserve">class than Galaxy’s Trino-only reach. Both comparisons hold at the</w:t>
      </w:r>
      <w:r>
        <w:t xml:space="preserve"> </w:t>
      </w:r>
      <w:r>
        <w:rPr>
          <w:i/>
          <w:iCs/>
        </w:rPr>
        <w:t xml:space="preserve">entry</w:t>
      </w:r>
      <w:r>
        <w:t xml:space="preserve"> </w:t>
      </w:r>
      <w:r>
        <w:t xml:space="preserve">tier — a rigorous</w:t>
      </w:r>
      <w:r>
        <w:t xml:space="preserve"> </w:t>
      </w:r>
      <w:r>
        <w:t xml:space="preserve">apples-to-apples comparison at higher tiers would need Hasura’s actual current advanced-connector</w:t>
      </w:r>
      <w:r>
        <w:t xml:space="preserve"> </w:t>
      </w:r>
      <w:r>
        <w:t xml:space="preserve">multiplier, which isn’t publicly documented precisely enough to cite as fact here.</w:t>
      </w:r>
    </w:p>
    <w:bookmarkEnd w:id="15"/>
    <w:bookmarkStart w:id="16" w:name="net-revenue-projection"/>
    <w:p>
      <w:pPr>
        <w:pStyle w:val="Heading2"/>
      </w:pPr>
      <w:r>
        <w:t xml:space="preserve">Net-revenue projection</w:t>
      </w:r>
    </w:p>
    <w:p>
      <w:pPr>
        <w:pStyle w:val="FirstParagraph"/>
      </w:pPr>
      <w:r>
        <w:rPr>
          <w:b/>
          <w:bCs/>
        </w:rPr>
        <w:t xml:space="preserve">Illustrative, not a forecast.</w:t>
      </w:r>
      <w:r>
        <w:t xml:space="preserve"> </w:t>
      </w:r>
      <w:r>
        <w:t xml:space="preserve">Revenue rates are the live Lemon Squeezy prices above; direct</w:t>
      </w:r>
      <w:r>
        <w:t xml:space="preserve"> </w:t>
      </w:r>
      <w:r>
        <w:t xml:space="preserve">compute costs are current GCP on-demand list prices for the actual machine types/pod sizes this</w:t>
      </w:r>
      <w:r>
        <w:t xml:space="preserve"> </w:t>
      </w:r>
      <w:r>
        <w:t xml:space="preserve">deployment runs (</w:t>
      </w:r>
      <w:r>
        <w:rPr>
          <w:rStyle w:val="VerbatimChar"/>
        </w:rPr>
        <w:t xml:space="preserve">ProSize</w:t>
      </w:r>
      <w:r>
        <w:t xml:space="preserve"> </w:t>
      </w:r>
      <w:r>
        <w:t xml:space="preserve">for Pro, the shared shard’s Autopilot pod request for Starter);</w:t>
      </w:r>
      <w:r>
        <w:t xml:space="preserve"> </w:t>
      </w:r>
      <w:r>
        <w:t xml:space="preserve">per-org usage and the customer count per tier are assumed, not measured. The single biggest</w:t>
      </w:r>
      <w:r>
        <w:t xml:space="preserve"> </w:t>
      </w:r>
      <w:r>
        <w:t xml:space="preserve">unverified lever is the Starter/shared-lane concurrency assumption below — change it and</w:t>
      </w:r>
      <w:r>
        <w:t xml:space="preserve"> </w:t>
      </w:r>
      <w:r>
        <w:t xml:space="preserve">Starter’s margin moves a lot; Pro’s doesn’t, because Pro’s engine is never shared.</w:t>
      </w:r>
    </w:p>
    <w:p>
      <w:pPr>
        <w:pStyle w:val="BodyText"/>
      </w:pPr>
      <w:r>
        <w:rPr>
          <w:b/>
          <w:bCs/>
        </w:rPr>
        <w:t xml:space="preserve">Direct compute cost basis: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$/hr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(shared shard)</w:t>
            </w:r>
          </w:p>
        </w:tc>
        <w:tc>
          <w:tcPr/>
          <w:p>
            <w:pPr>
              <w:pStyle w:val="Compact"/>
            </w:pPr>
            <w:r>
              <w:t xml:space="preserve">GKE Autopilot pod, 6 vCPU/24 GiB (</w:t>
            </w:r>
            <w:r>
              <w:rPr>
                <w:rStyle w:val="VerbatimChar"/>
              </w:rPr>
              <w:t xml:space="preserve">shared_shards</w:t>
            </w:r>
            <w:r>
              <w:t xml:space="preserve">), at $0.0445/vCPU-hr + $0.0049/GiB-hr,</w:t>
            </w:r>
            <w:r>
              <w:t xml:space="preserve"> </w:t>
            </w:r>
            <w:r>
              <w:rPr>
                <w:b/>
                <w:bCs/>
              </w:rPr>
              <w:t xml:space="preserve">divided across an assumed 4 concurrently-active Starter orgs per shard-hour</w:t>
            </w:r>
          </w:p>
        </w:tc>
        <w:tc>
          <w:tcPr/>
          <w:p>
            <w:pPr>
              <w:pStyle w:val="Compact"/>
            </w:pPr>
            <w:r>
              <w:t xml:space="preserve">$0.385/hr shard ÷ 4 ≈</w:t>
            </w:r>
            <w:r>
              <w:t xml:space="preserve"> </w:t>
            </w:r>
            <w:r>
              <w:rPr>
                <w:b/>
                <w:bCs/>
              </w:rPr>
              <w:t xml:space="preserve">$0.096/hr per 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S</w:t>
            </w:r>
          </w:p>
        </w:tc>
        <w:tc>
          <w:tcPr/>
          <w:p>
            <w:pPr>
              <w:pStyle w:val="Compact"/>
            </w:pPr>
            <w:r>
              <w:t xml:space="preserve">n2-highmem-4 on-demand, us-central1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$0.26/hr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M</w:t>
            </w:r>
          </w:p>
        </w:tc>
        <w:tc>
          <w:tcPr/>
          <w:p>
            <w:pPr>
              <w:pStyle w:val="Compact"/>
            </w:pPr>
            <w:r>
              <w:t xml:space="preserve">n2-highmem-8 on-demand, us-central1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$0.52/hr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L</w:t>
            </w:r>
          </w:p>
        </w:tc>
        <w:tc>
          <w:tcPr/>
          <w:p>
            <w:pPr>
              <w:pStyle w:val="Compact"/>
            </w:pPr>
            <w:r>
              <w:t xml:space="preserve">n2-highmem-16 on-demand, us-central1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$1.05/hr</w:t>
            </w:r>
          </w:p>
        </w:tc>
      </w:tr>
    </w:tbl>
    <w:p>
      <w:pPr>
        <w:pStyle w:val="BodyText"/>
      </w:pPr>
      <w:r>
        <w:t xml:space="preserve">Egress costs Provisa</w:t>
      </w:r>
      <w:r>
        <w:t xml:space="preserve"> </w:t>
      </w:r>
      <w:r>
        <w:rPr>
          <w:b/>
          <w:bCs/>
        </w:rPr>
        <w:t xml:space="preserve">$0.12/GB</w:t>
      </w:r>
      <w:r>
        <w:t xml:space="preserve"> </w:t>
      </w:r>
      <w:r>
        <w:t xml:space="preserve">regardless of whether it falls inside a customer’s included</w:t>
      </w:r>
      <w:r>
        <w:t xml:space="preserve"> </w:t>
      </w:r>
      <w:r>
        <w:t xml:space="preserve">allowance (that section, above) — included GB is revenue Provisa doesn’t collect on cost it</w:t>
      </w:r>
      <w:r>
        <w:t xml:space="preserve"> </w:t>
      </w:r>
      <w:r>
        <w:t xml:space="preserve">still pays, not cost Provisa avoids.</w:t>
      </w:r>
    </w:p>
    <w:p>
      <w:pPr>
        <w:pStyle w:val="BodyText"/>
      </w:pPr>
      <w:r>
        <w:rPr>
          <w:b/>
          <w:bCs/>
        </w:rPr>
        <w:t xml:space="preserve">Per-org economics, assumed usage: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Count (assumed)</w:t>
            </w:r>
          </w:p>
        </w:tc>
        <w:tc>
          <w:tcPr/>
          <w:p>
            <w:pPr>
              <w:pStyle w:val="Compact"/>
            </w:pPr>
            <w:r>
              <w:t xml:space="preserve">Active-hrs used/mo</w:t>
            </w:r>
          </w:p>
        </w:tc>
        <w:tc>
          <w:tcPr/>
          <w:p>
            <w:pPr>
              <w:pStyle w:val="Compact"/>
            </w:pPr>
            <w:r>
              <w:t xml:space="preserve">Egress used/mo</w:t>
            </w:r>
          </w:p>
        </w:tc>
        <w:tc>
          <w:tcPr/>
          <w:p>
            <w:pPr>
              <w:pStyle w:val="Compact"/>
            </w:pPr>
            <w:r>
              <w:t xml:space="preserve">Revenue/org</w:t>
            </w:r>
          </w:p>
        </w:tc>
        <w:tc>
          <w:tcPr/>
          <w:p>
            <w:pPr>
              <w:pStyle w:val="Compact"/>
            </w:pPr>
            <w:r>
              <w:t xml:space="preserve">Direct cost/org</w:t>
            </w:r>
          </w:p>
        </w:tc>
        <w:tc>
          <w:tcPr/>
          <w:p>
            <w:pPr>
              <w:pStyle w:val="Compact"/>
            </w:pPr>
            <w:r>
              <w:t xml:space="preserve">Margin/org</w:t>
            </w:r>
          </w:p>
        </w:tc>
        <w:tc>
          <w:tcPr/>
          <w:p>
            <w:pPr>
              <w:pStyle w:val="Compact"/>
            </w:pPr>
            <w:r>
              <w:t xml:space="preserve">Margin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15 GB</w:t>
            </w:r>
          </w:p>
        </w:tc>
        <w:tc>
          <w:tcPr/>
          <w:p>
            <w:pPr>
              <w:pStyle w:val="Compact"/>
            </w:pPr>
            <w:r>
              <w:t xml:space="preserve">$52.30</w:t>
            </w:r>
          </w:p>
        </w:tc>
        <w:tc>
          <w:tcPr/>
          <w:p>
            <w:pPr>
              <w:pStyle w:val="Compact"/>
            </w:pPr>
            <w:r>
              <w:t xml:space="preserve">$5.65</w:t>
            </w:r>
          </w:p>
        </w:tc>
        <w:tc>
          <w:tcPr/>
          <w:p>
            <w:pPr>
              <w:pStyle w:val="Compact"/>
            </w:pPr>
            <w:r>
              <w:t xml:space="preserve">$46.65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 GB</w:t>
            </w:r>
          </w:p>
        </w:tc>
        <w:tc>
          <w:tcPr/>
          <w:p>
            <w:pPr>
              <w:pStyle w:val="Compact"/>
            </w:pPr>
            <w:r>
              <w:t xml:space="preserve">$139.80</w:t>
            </w:r>
          </w:p>
        </w:tc>
        <w:tc>
          <w:tcPr/>
          <w:p>
            <w:pPr>
              <w:pStyle w:val="Compact"/>
            </w:pPr>
            <w:r>
              <w:t xml:space="preserve">$30.60</w:t>
            </w:r>
          </w:p>
        </w:tc>
        <w:tc>
          <w:tcPr/>
          <w:p>
            <w:pPr>
              <w:pStyle w:val="Compact"/>
            </w:pPr>
            <w:r>
              <w:t xml:space="preserve">$109.20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130 GB</w:t>
            </w:r>
          </w:p>
        </w:tc>
        <w:tc>
          <w:tcPr/>
          <w:p>
            <w:pPr>
              <w:pStyle w:val="Compact"/>
            </w:pPr>
            <w:r>
              <w:t xml:space="preserve">$290.40</w:t>
            </w:r>
          </w:p>
        </w:tc>
        <w:tc>
          <w:tcPr/>
          <w:p>
            <w:pPr>
              <w:pStyle w:val="Compact"/>
            </w:pPr>
            <w:r>
              <w:t xml:space="preserve">$67.60</w:t>
            </w:r>
          </w:p>
        </w:tc>
        <w:tc>
          <w:tcPr/>
          <w:p>
            <w:pPr>
              <w:pStyle w:val="Compact"/>
            </w:pPr>
            <w:r>
              <w:t xml:space="preserve">$222.80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$632.00</w:t>
            </w:r>
          </w:p>
        </w:tc>
        <w:tc>
          <w:tcPr/>
          <w:p>
            <w:pPr>
              <w:pStyle w:val="Compact"/>
            </w:pPr>
            <w:r>
              <w:t xml:space="preserve">$145.50</w:t>
            </w:r>
          </w:p>
        </w:tc>
        <w:tc>
          <w:tcPr/>
          <w:p>
            <w:pPr>
              <w:pStyle w:val="Compact"/>
            </w:pPr>
            <w:r>
              <w:t xml:space="preserve">$486.50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</w:tbl>
    <w:p>
      <w:pPr>
        <w:pStyle w:val="BodyText"/>
      </w:pPr>
      <w:r>
        <w:rPr>
          <w:b/>
          <w:bCs/>
        </w:rPr>
        <w:t xml:space="preserve">Fleet total, this mix (50 paying orgs):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$6,594.60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cost (compute + egress)</w:t>
            </w:r>
          </w:p>
        </w:tc>
        <w:tc>
          <w:tcPr/>
          <w:p>
            <w:pPr>
              <w:pStyle w:val="Compact"/>
            </w:pPr>
            <w:r>
              <w:t xml:space="preserve">$1,311.08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floor (zero-customer cost, above)</w:t>
            </w:r>
          </w:p>
        </w:tc>
        <w:tc>
          <w:tcPr/>
          <w:p>
            <w:pPr>
              <w:pStyle w:val="Compact"/>
            </w:pPr>
            <w:r>
              <w:t xml:space="preserve">$9.00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$5,274.52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</w:tr>
    </w:tbl>
    <w:p>
      <w:pPr>
        <w:pStyle w:val="BodyText"/>
      </w:pPr>
      <w:r>
        <w:t xml:space="preserve">Two things this makes visible that the per-unit margin percentages alone don’t: Starter’s 89%</w:t>
      </w:r>
      <w:r>
        <w:t xml:space="preserve"> </w:t>
      </w:r>
      <w:r>
        <w:t xml:space="preserve">margin is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sensitive number in this whole model — it’s a direct function of the</w:t>
      </w:r>
      <w:r>
        <w:t xml:space="preserve"> </w:t>
      </w:r>
      <w:r>
        <w:t xml:space="preserve">concurrency assumption (4 orgs/shard-hour), which isn’t measured, only asserted; a real</w:t>
      </w:r>
      <w:r>
        <w:t xml:space="preserve"> </w:t>
      </w:r>
      <w:r>
        <w:t xml:space="preserve">concurrency count from</w:t>
      </w:r>
      <w:r>
        <w:t xml:space="preserve"> </w:t>
      </w:r>
      <w:r>
        <w:rPr>
          <w:rStyle w:val="VerbatimChar"/>
        </w:rPr>
        <w:t xml:space="preserve">org_usage_hour</w:t>
      </w:r>
      <w:r>
        <w:t xml:space="preserve"> </w:t>
      </w:r>
      <w:r>
        <w:t xml:space="preserve">once there’s live traffic should replace it. Pro’s ~77%</w:t>
      </w:r>
      <w:r>
        <w:t xml:space="preserve"> </w:t>
      </w:r>
      <w:r>
        <w:t xml:space="preserve">margin depends on no modeling assumption at all: dedicated hardware means no concurrency</w:t>
      </w:r>
      <w:r>
        <w:t xml:space="preserve"> </w:t>
      </w:r>
      <w:r>
        <w:t xml:space="preserve">number to guess at, just the org’s own usage against a fixed, verifiable on-demand rate — the</w:t>
      </w:r>
      <w:r>
        <w:t xml:space="preserve"> </w:t>
      </w:r>
      <w:r>
        <w:t xml:space="preserve">only thing that would move it is which Pro sizes customers actually pick.</w:t>
      </w:r>
    </w:p>
    <w:p>
      <w:pPr>
        <w:pStyle w:val="BodyText"/>
      </w:pPr>
      <w:r>
        <w:rPr>
          <w:b/>
          <w:bCs/>
        </w:rPr>
        <w:t xml:space="preserve">Live model:</w:t>
      </w:r>
      <w:r>
        <w:t xml:space="preserve"> </w:t>
      </w:r>
      <w:r>
        <w:t xml:space="preserve">the SaaS figures above, plus on-prem/add-on SKUs and two named scenarios, are</w:t>
      </w:r>
      <w:r>
        <w:t xml:space="preserve"> </w:t>
      </w:r>
      <w:r>
        <w:t xml:space="preserve">built as an interactive workbook —</w:t>
      </w:r>
      <w:r>
        <w:t xml:space="preserve"> </w:t>
      </w:r>
      <w:r>
        <w:rPr>
          <w:rStyle w:val="VerbatimChar"/>
        </w:rPr>
        <w:t xml:space="preserve">docs/pricing/provisa-revenue-model.xlsx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build_revenue_model.py</w:t>
      </w:r>
      <w:r>
        <w:t xml:space="preserve"> </w:t>
      </w:r>
      <w:r>
        <w:t xml:space="preserve">regenerates it; edit the script’s inputs, not the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directly).</w:t>
      </w:r>
      <w:r>
        <w:t xml:space="preserve"> </w:t>
      </w:r>
      <w:r>
        <w:t xml:space="preserve">Every yellow cell on its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 </w:t>
      </w:r>
      <w:r>
        <w:t xml:space="preserve">sheet is a knob; every other cell is a live formula. The</w:t>
      </w:r>
      <w:r>
        <w:t xml:space="preserve"> </w:t>
      </w:r>
      <w:r>
        <w:t xml:space="preserve">figures quoted below are that workbook’s</w:t>
      </w:r>
      <w:r>
        <w:t xml:space="preserve"> </w:t>
      </w:r>
      <w:r>
        <w:rPr>
          <w:i/>
          <w:iCs/>
        </w:rPr>
        <w:t xml:space="preserve">current default</w:t>
      </w:r>
      <w:r>
        <w:t xml:space="preserve"> </w:t>
      </w:r>
      <w:r>
        <w:t xml:space="preserve">knob settings, not fixed numbers —</w:t>
      </w:r>
      <w:r>
        <w:t xml:space="preserve"> </w:t>
      </w:r>
      <w:r>
        <w:t xml:space="preserve">re-run the script after changing an assumption and everything downstream recomputes.</w:t>
      </w:r>
    </w:p>
    <w:bookmarkEnd w:id="16"/>
    <w:bookmarkStart w:id="17" w:name="on-prem-licensing"/>
    <w:p>
      <w:pPr>
        <w:pStyle w:val="Heading2"/>
      </w:pPr>
      <w:r>
        <w:t xml:space="preserve">On-prem licensing</w:t>
      </w:r>
    </w:p>
    <w:p>
      <w:pPr>
        <w:pStyle w:val="FirstParagraph"/>
      </w:pPr>
      <w:r>
        <w:t xml:space="preserve">Negotiated, not published — these are starting-assumption placeholder rates for the SKU</w:t>
      </w:r>
      <w:r>
        <w:t xml:space="preserve"> </w:t>
      </w:r>
      <w:r>
        <w:t xml:space="preserve">structure, not a price list (</w:t>
      </w:r>
      <w:r>
        <w:rPr>
          <w:rStyle w:val="VerbatimChar"/>
        </w:rPr>
        <w:t xml:space="preserve">Inputs</w:t>
      </w:r>
      <w:r>
        <w:t xml:space="preserve"> </w:t>
      </w:r>
      <w:r>
        <w:t xml:space="preserve">sheet,</w:t>
      </w:r>
      <w:r>
        <w:t xml:space="preserve"> </w:t>
      </w:r>
      <w:r>
        <w:t xml:space="preserve">“On-prem licensing”</w:t>
      </w:r>
      <w:r>
        <w:t xml:space="preserve"> </w:t>
      </w:r>
      <w:r>
        <w:t xml:space="preserve">section). One model only: a</w:t>
      </w:r>
      <w:r>
        <w:t xml:space="preserve"> </w:t>
      </w:r>
      <w:r>
        <w:t xml:space="preserve">flat per-core rate, with no hardware-class factor and no coordinator/worker distinction — a</w:t>
      </w:r>
      <w:r>
        <w:t xml:space="preserve"> </w:t>
      </w:r>
      <w:r>
        <w:t xml:space="preserve">core costs the same regardless of the chip it runs on or the role the node plays.</w:t>
      </w:r>
    </w:p>
    <w:p>
      <w:pPr>
        <w:pStyle w:val="BodyText"/>
      </w:pPr>
      <w:r>
        <w:t xml:space="preserve">An earlier draft split cores into a device-class factor (Oracle’s core-factor-table pattern:</w:t>
      </w:r>
      <w:r>
        <w:t xml:space="preserve"> </w:t>
      </w:r>
      <w:r>
        <w:t xml:space="preserve">0.5× commodity x86/ARM, 1.0× everything else) — dropped, because Oracle’s rationale for that</w:t>
      </w:r>
      <w:r>
        <w:t xml:space="preserve"> </w:t>
      </w:r>
      <w:r>
        <w:t xml:space="preserve">split (non-x86 chips do more work per core on Oracle’s own workloads) doesn’t hold for Provisa:</w:t>
      </w:r>
      <w:r>
        <w:t xml:space="preserve"> </w:t>
      </w:r>
      <w:r>
        <w:t xml:space="preserve">it’s software, a core is a core regardless of instruction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$3,000/core/yr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Bundled at 4 GiB/licensed core — informational, never billed as a separate 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Delivery/support cost</w:t>
            </w:r>
          </w:p>
        </w:tc>
        <w:tc>
          <w:tcPr/>
          <w:p>
            <w:pPr>
              <w:pStyle w:val="Compact"/>
            </w:pPr>
            <w:r>
              <w:t xml:space="preserve">25% of license revenue (placeholder; real fully-loaded cost, not a floor)</w:t>
            </w:r>
          </w:p>
        </w:tc>
      </w:tr>
    </w:tbl>
    <w:p>
      <w:pPr>
        <w:pStyle w:val="BodyText"/>
      </w:pPr>
      <w:r>
        <w:t xml:space="preserve">A representative deal (48 licensed cores, the workbook’s current default): 48 × $3,000 =</w:t>
      </w:r>
      <w:r>
        <w:t xml:space="preserve"> </w:t>
      </w:r>
      <w:r>
        <w:rPr>
          <w:b/>
          <w:bCs/>
        </w:rPr>
        <w:t xml:space="preserve">$144,000/deal license revenue</w:t>
      </w:r>
      <w:r>
        <w:t xml:space="preserve">,</w:t>
      </w:r>
      <w:r>
        <w:t xml:space="preserve"> </w:t>
      </w:r>
      <w:r>
        <w:rPr>
          <w:b/>
          <w:bCs/>
        </w:rPr>
        <w:t xml:space="preserve">$108,000/deal margin</w:t>
      </w:r>
      <w:r>
        <w:t xml:space="preserve"> </w:t>
      </w:r>
      <w:r>
        <w:t xml:space="preserve">after the 25% delivery cost.</w:t>
      </w:r>
    </w:p>
    <w:p>
      <w:pPr>
        <w:pStyle w:val="BodyText"/>
      </w:pPr>
      <w:r>
        <w:rPr>
          <w:b/>
          <w:bCs/>
        </w:rPr>
        <w:t xml:space="preserve">Enforcement is contractual, not technical.</w:t>
      </w:r>
      <w:r>
        <w:t xml:space="preserve"> </w:t>
      </w:r>
      <w:r>
        <w:t xml:space="preserve">Provisa on-prem ships as a library — there is no</w:t>
      </w:r>
      <w:r>
        <w:t xml:space="preserve"> </w:t>
      </w:r>
      <w:r>
        <w:t xml:space="preserve">runtime gate that can check node count, core count, or memory against what was purchased, and no</w:t>
      </w:r>
      <w:r>
        <w:t xml:space="preserve"> </w:t>
      </w:r>
      <w:r>
        <w:t xml:space="preserve">phone-home or central key registry. The license key is scoped to a</w:t>
      </w:r>
      <w:r>
        <w:t xml:space="preserve"> </w:t>
      </w:r>
      <w:r>
        <w:rPr>
          <w:i/>
          <w:iCs/>
        </w:rPr>
        <w:t xml:space="preserve">cluster</w:t>
      </w:r>
      <w:r>
        <w:t xml:space="preserve"> </w:t>
      </w:r>
      <w:r>
        <w:t xml:space="preserve">(a group of nodes):</w:t>
      </w:r>
      <w:r>
        <w:t xml:space="preserve"> </w:t>
      </w:r>
      <w:r>
        <w:t xml:space="preserve">nodes sharing a key can sum their own reported vCPU/mem and warn once the cluster’s licensed core</w:t>
      </w:r>
      <w:r>
        <w:t xml:space="preserve"> </w:t>
      </w:r>
      <w:r>
        <w:t xml:space="preserve">entitlement is exceeded, but that check only holds within one cluster’s own key exchange —</w:t>
      </w:r>
      <w:r>
        <w:t xml:space="preserve"> </w:t>
      </w:r>
      <w:r>
        <w:t xml:space="preserve">nothing stops a customer copying the same key into a second, isolated cluster. The only thing</w:t>
      </w:r>
      <w:r>
        <w:t xml:space="preserve"> </w:t>
      </w:r>
      <w:r>
        <w:t xml:space="preserve">Provisa can actually withhold from an out-of-scope or unpaid deployment is service: support,</w:t>
      </w:r>
      <w:r>
        <w:t xml:space="preserve"> </w:t>
      </w:r>
      <w:r>
        <w:t xml:space="preserve">SLAs, and updates. Every license fee above is really a support/update contract with a</w:t>
      </w:r>
      <w:r>
        <w:t xml:space="preserve"> </w:t>
      </w:r>
      <w:r>
        <w:t xml:space="preserve">usage-scope clause and audit rights attached — not a technical control on total consumption.</w:t>
      </w:r>
      <w:r>
        <w:t xml:space="preserve"> </w:t>
      </w:r>
      <w:r>
        <w:t xml:space="preserve">This is the same posture Oracle and IBM’s own core-factor licensing runs on in practice (audit</w:t>
      </w:r>
      <w:r>
        <w:t xml:space="preserve"> </w:t>
      </w:r>
      <w:r>
        <w:t xml:space="preserve">rights, not a runtime block), and the same free-to-run-anywhere shape as Grafana OSS or Neo4j</w:t>
      </w:r>
      <w:r>
        <w:t xml:space="preserve"> </w:t>
      </w:r>
      <w:r>
        <w:t xml:space="preserve">Desktop.</w:t>
      </w:r>
    </w:p>
    <w:p>
      <w:pPr>
        <w:pStyle w:val="BodyText"/>
      </w:pPr>
      <w:r>
        <w:rPr>
          <w:b/>
          <w:bCs/>
        </w:rPr>
        <w:t xml:space="preserve">Free tier:</w:t>
      </w:r>
      <w:r>
        <w:t xml:space="preserve"> </w:t>
      </w:r>
      <w:r>
        <w:t xml:space="preserve">orgs may run on-prem at $0/no-support if both hold: a self-attested contractual</w:t>
      </w:r>
      <w:r>
        <w:t xml:space="preserve"> </w:t>
      </w:r>
      <w:r>
        <w:t xml:space="preserve">8-core cluster cap, and under $1M in company annual revenue — license-terms limits, not</w:t>
      </w:r>
      <w:r>
        <w:t xml:space="preserve"> </w:t>
      </w:r>
      <w:r>
        <w:t xml:space="preserve">technical ones, for the same reason above.</w:t>
      </w:r>
    </w:p>
    <w:p>
      <w:pPr>
        <w:pStyle w:val="BodyText"/>
      </w:pPr>
      <w:r>
        <w:rPr>
          <w:b/>
          <w:bCs/>
        </w:rPr>
        <w:t xml:space="preserve">Support-only SKU:</w:t>
      </w:r>
      <w:r>
        <w:t xml:space="preserve"> </w:t>
      </w:r>
      <w:r>
        <w:t xml:space="preserve">for free-tier orgs who want someone to call without buying a license —</w:t>
      </w:r>
      <w:r>
        <w:t xml:space="preserve"> </w:t>
      </w:r>
      <w:r>
        <w:rPr>
          <w:b/>
          <w:bCs/>
        </w:rPr>
        <w:t xml:space="preserve">$10,000/yr</w:t>
      </w:r>
      <w:r>
        <w:t xml:space="preserve">, no license included, scoped to a 24-hour response commitment (confirm the defect</w:t>
      </w:r>
      <w:r>
        <w:t xml:space="preserve"> </w:t>
      </w:r>
      <w:r>
        <w:t xml:space="preserve">or clarify the feature, plus a resolution ETA — never a resolution-time guarantee, which the</w:t>
      </w:r>
      <w:r>
        <w:t xml:space="preserve"> </w:t>
      </w:r>
      <w:r>
        <w:t xml:space="preserve">price point can’t cover). At a 40% assumed delivery cost, that nets</w:t>
      </w:r>
      <w:r>
        <w:t xml:space="preserve"> </w:t>
      </w:r>
      <w:r>
        <w:rPr>
          <w:b/>
          <w:bCs/>
        </w:rPr>
        <w:t xml:space="preserve">$6,000/yr per</w:t>
      </w:r>
      <w:r>
        <w:rPr>
          <w:b/>
          <w:bCs/>
        </w:rPr>
        <w:t xml:space="preserve"> </w:t>
      </w:r>
      <w:r>
        <w:rPr>
          <w:b/>
          <w:bCs/>
        </w:rPr>
        <w:t xml:space="preserve">subscriber</w:t>
      </w:r>
      <w:r>
        <w:t xml:space="preserve">.</w:t>
      </w:r>
    </w:p>
    <w:bookmarkEnd w:id="17"/>
    <w:bookmarkStart w:id="18" w:name="add-on-skus"/>
    <w:p>
      <w:pPr>
        <w:pStyle w:val="Heading2"/>
      </w:pPr>
      <w:r>
        <w:t xml:space="preserve">Add-on SKUs</w:t>
      </w:r>
    </w:p>
    <w:p>
      <w:pPr>
        <w:pStyle w:val="FirstParagraph"/>
      </w:pPr>
      <w:r>
        <w:t xml:space="preserve">Sold on top of either SaaS or on-prem; placeholder rates, no comparable-vendor research done</w:t>
      </w:r>
      <w:r>
        <w:t xml:space="preserve"> </w:t>
      </w:r>
      <w:r>
        <w:t xml:space="preserve">on these yet (unlike the on-prem rates above, which were checked against Denodo/Starburst/</w:t>
      </w:r>
      <w:r>
        <w:t xml:space="preserve"> </w:t>
      </w:r>
      <w:r>
        <w:t xml:space="preserve">Oracle/IBM/Red Hat).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Net/yr per attach (30% assumed delivery cost)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connector (Splunk / SharePoint / Files)</w:t>
            </w:r>
          </w:p>
        </w:tc>
        <w:tc>
          <w:tcPr/>
          <w:p>
            <w:pPr>
              <w:pStyle w:val="Compact"/>
            </w:pPr>
            <w:r>
              <w:t xml:space="preserve">$6,000/yr</w:t>
            </w:r>
          </w:p>
        </w:tc>
        <w:tc>
          <w:tcPr/>
          <w:p>
            <w:pPr>
              <w:pStyle w:val="Compact"/>
            </w:pPr>
            <w:r>
              <w:t xml:space="preserve">$4,200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validated-reasoning add-on</w:t>
            </w:r>
          </w:p>
        </w:tc>
        <w:tc>
          <w:tcPr/>
          <w:p>
            <w:pPr>
              <w:pStyle w:val="Compact"/>
            </w:pPr>
            <w:r>
              <w:t xml:space="preserve">$400/org/mo ($4,800/yr)</w:t>
            </w:r>
          </w:p>
        </w:tc>
        <w:tc>
          <w:tcPr/>
          <w:p>
            <w:pPr>
              <w:pStyle w:val="Compact"/>
            </w:pPr>
            <w:r>
              <w:t xml:space="preserve">$3,360</w:t>
            </w:r>
          </w:p>
        </w:tc>
      </w:tr>
    </w:tbl>
    <w:p>
      <w:pPr>
        <w:pStyle w:val="BodyText"/>
      </w:pPr>
      <w:r>
        <w:t xml:space="preserve">The LLM add-on’s 30% cost assumption is the least trustworthy number in the whole workbook —</w:t>
      </w:r>
      <w:r>
        <w:t xml:space="preserve"> </w:t>
      </w:r>
      <w:r>
        <w:t xml:space="preserve">inference cost is the real cost driver there and isn’t modeled at all yet.</w:t>
      </w:r>
    </w:p>
    <w:bookmarkEnd w:id="18"/>
    <w:bookmarkStart w:id="19" w:name="scenarios"/>
    <w:p>
      <w:pPr>
        <w:pStyle w:val="Heading2"/>
      </w:pPr>
      <w:r>
        <w:t xml:space="preserve">Scenarios</w:t>
      </w:r>
    </w:p>
    <w:p>
      <w:pPr>
        <w:pStyle w:val="FirstParagraph"/>
      </w:pPr>
      <w:r>
        <w:t xml:space="preserve">Two named scenarios in the workbook, each with its own independent customer-count/deal-count</w:t>
      </w:r>
      <w:r>
        <w:t xml:space="preserve"> </w:t>
      </w:r>
      <w:r>
        <w:t xml:space="preserve">knobs (they don’t share counts with the base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sheet):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Scenario - $1M Net</w:t>
      </w:r>
      <w:r>
        <w:t xml:space="preserve"> </w:t>
      </w:r>
      <w:r>
        <w:t xml:space="preserve">— SaaS only, 473 Starter / 189 Pro S / 79 Pro M / 47 Pro L (the base</w:t>
      </w:r>
      <w:r>
        <w:t xml:space="preserve"> </w:t>
      </w:r>
      <w:r>
        <w:t xml:space="preserve">50-org mix scaled ~15.8×) →</w:t>
      </w:r>
      <w:r>
        <w:t xml:space="preserve"> </w:t>
      </w:r>
      <w:r>
        <w:rPr>
          <w:b/>
          <w:bCs/>
        </w:rPr>
        <w:t xml:space="preserve">~$998K/yr net</w:t>
      </w:r>
      <w:r>
        <w:t xml:space="preserve">, at current default assumptions.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Scenario - Mixed</w:t>
      </w:r>
      <w:r>
        <w:t xml:space="preserve"> </w:t>
      </w:r>
      <w:r>
        <w:t xml:space="preserve">— half that SaaS mix (220/90/38/22) plus 3 on-prem deals at the</w:t>
      </w:r>
      <w:r>
        <w:t xml:space="preserve"> </w:t>
      </w:r>
      <w:r>
        <w:t xml:space="preserve">representative-deal economics above →</w:t>
      </w:r>
      <w:r>
        <w:t xml:space="preserve"> </w:t>
      </w:r>
      <w:r>
        <w:rPr>
          <w:b/>
          <w:bCs/>
        </w:rPr>
        <w:t xml:space="preserve">~$471K/yr SaaS net + $324K/yr on-prem net ≈</w:t>
      </w:r>
      <w:r>
        <w:rPr>
          <w:b/>
          <w:bCs/>
        </w:rPr>
        <w:t xml:space="preserve"> </w:t>
      </w:r>
      <w:r>
        <w:rPr>
          <w:b/>
          <w:bCs/>
        </w:rPr>
        <w:t xml:space="preserve">$795K/yr combined</w:t>
      </w:r>
      <w:r>
        <w:t xml:space="preserve">, illustrating that on-prem deals reach the same order of magnitude with</w:t>
      </w:r>
      <w:r>
        <w:t xml:space="preserve"> </w:t>
      </w:r>
      <w:r>
        <w:t xml:space="preserve">far fewer logos than SaaS alone (3 deals vs. hundreds of orgs).</w:t>
      </w:r>
    </w:p>
    <w:p>
      <w:pPr>
        <w:pStyle w:val="FirstParagraph"/>
      </w:pPr>
      <w:r>
        <w:t xml:space="preserve">Neither is a forecast — both are starting points for a</w:t>
      </w:r>
      <w:r>
        <w:t xml:space="preserve"> </w:t>
      </w:r>
      <w:r>
        <w:t xml:space="preserve">“what customer mix gets us to $X”</w:t>
      </w:r>
      <w:r>
        <w:t xml:space="preserve"> </w:t>
      </w:r>
      <w:r>
        <w:t xml:space="preserve">conversation, meant to be replaced by real attach/conversion rates once they exist.</w:t>
      </w:r>
    </w:p>
    <w:bookmarkEnd w:id="19"/>
    <w:bookmarkStart w:id="20" w:name="how-this-deployment-reaches-billing"/>
    <w:p>
      <w:pPr>
        <w:pStyle w:val="Heading2"/>
      </w:pPr>
      <w:r>
        <w:t xml:space="preserve">How this deployment reaches billing</w:t>
      </w:r>
    </w:p>
    <w:p>
      <w:pPr>
        <w:pStyle w:val="FirstParagraph"/>
      </w:pPr>
      <w:r>
        <w:rPr>
          <w:rStyle w:val="VerbatimChar"/>
        </w:rPr>
        <w:t xml:space="preserve">.claude/commercial/</w:t>
      </w:r>
      <w:r>
        <w:t xml:space="preserve"> </w:t>
      </w:r>
      <w:r>
        <w:t xml:space="preserve">is the only module that knows about any of this —</w:t>
      </w:r>
      <w:r>
        <w:t xml:space="preserve"> </w:t>
      </w:r>
      <w:r>
        <w:rPr>
          <w:rStyle w:val="VerbatimChar"/>
        </w:rPr>
        <w:t xml:space="preserve">provisa.core.commerce</w:t>
      </w:r>
      <w:r>
        <w:t xml:space="preserve"> </w:t>
      </w:r>
      <w:r>
        <w:t xml:space="preserve">is the sole seam, imported inside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from core, memoized, degrading to a no-op everywhere</w:t>
      </w:r>
      <w:r>
        <w:t xml:space="preserve"> </w:t>
      </w:r>
      <w:r>
        <w:t xml:space="preserve">it’s not installed. A self-hosted install with no commercial plugin present runs</w:t>
      </w:r>
      <w:r>
        <w:t xml:space="preserve"> </w:t>
      </w:r>
      <w:r>
        <w:rPr>
          <w:b/>
          <w:bCs/>
        </w:rPr>
        <w:t xml:space="preserve">unmetered,</w:t>
      </w:r>
      <w:r>
        <w:rPr>
          <w:b/>
          <w:bCs/>
        </w:rPr>
        <w:t xml:space="preserve"> </w:t>
      </w:r>
      <w:r>
        <w:rPr>
          <w:b/>
          <w:bCs/>
        </w:rPr>
        <w:t xml:space="preserve">uncapped, and unbilled</w:t>
      </w:r>
      <w:r>
        <w:t xml:space="preserve"> </w:t>
      </w:r>
      <w:r>
        <w:t xml:space="preserve">— the correct behavior for a deployment with no subscription to</w:t>
      </w:r>
      <w:r>
        <w:t xml:space="preserve"> </w:t>
      </w:r>
      <w:r>
        <w:t xml:space="preserve">enforce, not a bug. The plugin is installed only on the hosted node.</w:t>
      </w:r>
    </w:p>
    <w:bookmarkEnd w:id="20"/>
    <w:bookmarkStart w:id="21" w:name="open-questions-this-restatement-surfaces"/>
    <w:p>
      <w:pPr>
        <w:pStyle w:val="Heading2"/>
      </w:pPr>
      <w:r>
        <w:t xml:space="preserve">Open questions this restatement surfaces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variant-ID drift</w:t>
      </w:r>
      <w:r>
        <w:t xml:space="preserve"> </w:t>
      </w:r>
      <w:r>
        <w:t xml:space="preserve">(above) — needs reconciling against the live store before the</w:t>
      </w:r>
      <w:r>
        <w:t xml:space="preserve"> </w:t>
      </w:r>
      <w:r>
        <w:t xml:space="preserve">hosted checkout flow can be trusted to charge the right variant.</w:t>
      </w:r>
    </w:p>
    <w:p>
      <w:pPr>
        <w:pStyle w:val="Compact"/>
        <w:numPr>
          <w:ilvl w:val="0"/>
          <w:numId w:val="1003"/>
        </w:numPr>
      </w:pPr>
      <w:r>
        <w:t xml:space="preserve">The commercial plugin’s own numbers (base fees, included hours, overage rates) live in Lemon</w:t>
      </w:r>
      <w:r>
        <w:t xml:space="preserve"> </w:t>
      </w:r>
      <w:r>
        <w:t xml:space="preserve">Squeezy’s dashboard, not in this repository, by design (</w:t>
      </w:r>
      <w:r>
        <w:rPr>
          <w:rStyle w:val="VerbatimChar"/>
        </w:rPr>
        <w:t xml:space="preserve">README.md</w:t>
      </w:r>
      <w:r>
        <w:t xml:space="preserve">:</w:t>
      </w:r>
      <w:r>
        <w:t xml:space="preserve"> </w:t>
      </w:r>
      <w:r>
        <w:t xml:space="preserve">“so the open-source</w:t>
      </w:r>
      <w:r>
        <w:t xml:space="preserve"> </w:t>
      </w:r>
      <w:r>
        <w:t xml:space="preserve">wheel and the demo build ship neither the pricing model nor the code that charges for it”</w:t>
      </w:r>
      <w:r>
        <w:t xml:space="preserve">).</w:t>
      </w:r>
      <w:r>
        <w:t xml:space="preserve"> </w:t>
      </w:r>
      <w:r>
        <w:t xml:space="preserve">This document is a snapshot as of 2026-09-16 — re-pull from the API before quoting these</w:t>
      </w:r>
      <w:r>
        <w:t xml:space="preserve"> </w:t>
      </w:r>
      <w:r>
        <w:t xml:space="preserve">numbers externally if meaningful time has passed, since nothing enforces this file staying in</w:t>
      </w:r>
      <w:r>
        <w:t xml:space="preserve"> </w:t>
      </w:r>
      <w:r>
        <w:t xml:space="preserve">sync with a dashboard it doesn’t read.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2026-09-16T16:56:41Z</dcterms:created>
  <dcterms:modified xsi:type="dcterms:W3CDTF">2026-09-16T16:56:41Z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