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A44"/>
          <w:sz w:val="28"/>
        </w:rPr>
        <w:t>LeadHER CRE</w:t>
      </w:r>
    </w:p>
    <w:p/>
    <w:p>
      <w:pPr>
        <w:jc w:val="center"/>
      </w:pPr>
      <w:r>
        <w:rPr>
          <w:b/>
          <w:color w:val="102A43"/>
          <w:sz w:val="56"/>
        </w:rPr>
        <w:t>Claude Design Frontend Brief</w:t>
      </w:r>
    </w:p>
    <w:p>
      <w:pPr>
        <w:jc w:val="center"/>
      </w:pPr>
      <w:r>
        <w:rPr>
          <w:color w:val="2B2F33"/>
          <w:sz w:val="26"/>
        </w:rPr>
        <w:t>Visual design prompt and creative direction for the Yvonne Spencer + LeadHER CRE website</w:t>
      </w:r>
    </w:p>
    <w:p/>
    <w:tbl>
      <w:tblPr>
        <w:tblW w:type="auto" w:w="0"/>
        <w:jc w:val="center"/>
        <w:tblLook w:firstColumn="1" w:firstRow="1" w:lastColumn="0" w:lastRow="0" w:noHBand="0" w:noVBand="1" w:val="04A0"/>
      </w:tblPr>
      <w:tblGrid>
        <w:gridCol w:w="10166"/>
      </w:tblGrid>
      <w:tr>
        <w:tc>
          <w:tcPr>
            <w:tcW w:type="dxa" w:w="10166"/>
            <w:shd w:fill="F7F2EA"/>
            <w:tcBorders>
              <w:top w:sz="8" w:val="single" w:color="B88A44"/>
              <w:left w:sz="8" w:val="single" w:color="B88A44"/>
              <w:bottom w:sz="8" w:val="single" w:color="B88A44"/>
              <w:right w:sz="8" w:val="single" w:color="B88A44"/>
            </w:tcBorders>
          </w:tcPr>
          <w:p>
            <w:pPr>
              <w:jc w:val="center"/>
            </w:pPr>
            <w:r>
              <w:rPr>
                <w:b/>
                <w:color w:val="4B244A"/>
                <w:sz w:val="22"/>
              </w:rPr>
              <w:t>Frontend Design Direction Document</w:t>
              <w:br/>
            </w:r>
            <w:r>
              <w:rPr>
                <w:color w:val="2B2F33"/>
                <w:sz w:val="18"/>
              </w:rPr>
              <w:t>Prepared for: Yvonne Spencer / LeadHER CRE</w:t>
              <w:br/>
              <w:t>Memphis, Tennessee | Commercial Real Estate | Executive Brand Platform</w:t>
            </w:r>
          </w:p>
        </w:tc>
      </w:tr>
    </w:tbl>
    <w:p/>
    <w:p/>
    <w:p/>
    <w:p/>
    <w:p/>
    <w:p/>
    <w:p/>
    <w:p>
      <w:pPr>
        <w:jc w:val="center"/>
      </w:pPr>
      <w:r>
        <w:rPr>
          <w:i/>
          <w:color w:val="12664F"/>
          <w:sz w:val="22"/>
        </w:rPr>
        <w:t>Strategic. Institutional. Community-centered. Built for bigger rooms and bigger deals.</w:t>
      </w:r>
    </w:p>
    <w:p>
      <w:r>
        <w:br w:type="page"/>
      </w:r>
    </w:p>
    <w:p>
      <w:pPr>
        <w:pStyle w:val="Heading1"/>
      </w:pPr>
      <w:r>
        <w:t>1. Purpose</w:t>
      </w:r>
    </w:p>
    <w:p>
      <w:pPr>
        <w:spacing w:after="100"/>
      </w:pPr>
      <w:r>
        <w:t>Use this document as the creative brief for Claude Design or any frontend/UI design agent. The goal is to generate a premium, executive-grade website concept for Yvonne Spencer and LeadHER CRE. The design must balance commercial real estate authority, veteran-led discipline, feminine leadership, mentorship, Memphis market relevance, and development-level credibility.</w:t>
      </w:r>
    </w:p>
    <w:tbl>
      <w:tblPr>
        <w:tblW w:type="auto" w:w="0"/>
        <w:jc w:val="center"/>
        <w:tblLook w:firstColumn="1" w:firstRow="1" w:lastColumn="0" w:lastRow="0" w:noHBand="0" w:noVBand="1" w:val="04A0"/>
      </w:tblPr>
      <w:tblGrid>
        <w:gridCol w:w="10166"/>
      </w:tblGrid>
      <w:tr>
        <w:tc>
          <w:tcPr>
            <w:tcW w:type="dxa" w:w="10166"/>
            <w:shd w:fill="F7F2EA"/>
            <w:tcBorders>
              <w:top w:sz="6" w:val="single" w:color="B88A44"/>
              <w:left w:sz="6" w:val="single" w:color="B88A44"/>
              <w:bottom w:sz="6" w:val="single" w:color="B88A44"/>
              <w:right w:sz="6" w:val="single" w:color="B88A44"/>
            </w:tcBorders>
          </w:tcPr>
          <w:p>
            <w:r>
              <w:rPr>
                <w:b/>
                <w:color w:val="102A43"/>
                <w:sz w:val="20"/>
              </w:rPr>
              <w:t>Primary Design Challenge</w:t>
              <w:br/>
            </w:r>
            <w:r>
              <w:rPr>
                <w:color w:val="2B2F33"/>
                <w:sz w:val="18"/>
              </w:rPr>
              <w:t>Make the website feel like a powerful CRE executive platform, not a residential real estate agent website. The visitor should immediately feel Yvonne can advise property owners, investors, tenants, cities, sponsors, and agents who want to enter commercial real estate.</w:t>
            </w:r>
          </w:p>
        </w:tc>
      </w:tr>
    </w:tbl>
    <w:p/>
    <w:p>
      <w:pPr>
        <w:pStyle w:val="Heading1"/>
      </w:pPr>
      <w:r>
        <w:t>2. Claude Design Prompt</w:t>
      </w:r>
    </w:p>
    <w:p>
      <w:pPr>
        <w:spacing w:after="100"/>
      </w:pPr>
      <w:r>
        <w:t>Paste the following into Claude Design or a frontend design agent. Ask it to produce a high-fidelity website concept, component system, and responsive page designs.</w:t>
      </w:r>
    </w:p>
    <w:tbl>
      <w:tblPr>
        <w:tblW w:type="auto" w:w="0"/>
        <w:tblLook w:firstColumn="1" w:firstRow="1" w:lastColumn="0" w:lastRow="0" w:noHBand="0" w:noVBand="1" w:val="04A0"/>
      </w:tblPr>
      <w:tblGrid>
        <w:gridCol w:w="10166"/>
      </w:tblGrid>
      <w:tr>
        <w:tc>
          <w:tcPr>
            <w:tcW w:type="dxa" w:w="10166"/>
            <w:shd w:fill="F3F6F8"/>
            <w:tcBorders>
              <w:top w:sz="6" w:val="single" w:color="B88A44"/>
              <w:left w:sz="6" w:val="single" w:color="B88A44"/>
              <w:bottom w:sz="6" w:val="single" w:color="B88A44"/>
              <w:right w:sz="6" w:val="single" w:color="B88A44"/>
            </w:tcBorders>
          </w:tcPr>
          <w:p>
            <w:r>
              <w:rPr>
                <w:rFonts w:ascii="Aptos" w:hAnsi="Aptos"/>
                <w:sz w:val="16"/>
              </w:rPr>
              <w:t>Design a premium executive website for Yvonne Spencer and LeadHER CRE.</w:t>
            </w:r>
          </w:p>
          <w:p>
            <w:r>
              <w:rPr>
                <w:rFonts w:ascii="Aptos" w:hAnsi="Aptos"/>
                <w:sz w:val="16"/>
              </w:rPr>
            </w:r>
          </w:p>
          <w:p>
            <w:r>
              <w:rPr>
                <w:rFonts w:ascii="Aptos" w:hAnsi="Aptos"/>
                <w:sz w:val="16"/>
              </w:rPr>
              <w:t>Yvonne Spencer is a Memphis-based commercial real estate broker, development executive, U.S. Army veteran, and Founder of LeadHER CRE. Her expertise includes heavy industrial land, landlord/tenant representation, commercial investments, infill redevelopment, strategic asset disposition, residential sales, business consulting, and credit specialization. Her background includes more than 20 years of executive leadership experience, including leadership involvement in the 455-acre Fort McPherson redevelopment in Atlanta, a major public-private redevelopment strategy.</w:t>
            </w:r>
          </w:p>
          <w:p>
            <w:r>
              <w:rPr>
                <w:rFonts w:ascii="Aptos" w:hAnsi="Aptos"/>
                <w:sz w:val="16"/>
              </w:rPr>
            </w:r>
          </w:p>
          <w:p>
            <w:r>
              <w:rPr>
                <w:rFonts w:ascii="Aptos" w:hAnsi="Aptos"/>
                <w:sz w:val="16"/>
              </w:rPr>
              <w:t>LeadHER CRE is an education, mentorship, and professional development platform helping women, residential real estate agents, and emerging professionals transition into commercial real estate and development-minded leadership. Its flagship program is The Commercial Pivot, a masterclass teaching the mindsets, financial models, and strategic frameworks required to move from residential transactions into commercial real estate.</w:t>
            </w:r>
          </w:p>
          <w:p>
            <w:r>
              <w:rPr>
                <w:rFonts w:ascii="Aptos" w:hAnsi="Aptos"/>
                <w:sz w:val="16"/>
              </w:rPr>
            </w:r>
          </w:p>
          <w:p>
            <w:r>
              <w:rPr>
                <w:rFonts w:ascii="Aptos" w:hAnsi="Aptos"/>
                <w:sz w:val="16"/>
              </w:rPr>
              <w:t>The design should feel:</w:t>
            </w:r>
          </w:p>
          <w:p>
            <w:r>
              <w:rPr>
                <w:rFonts w:ascii="Aptos" w:hAnsi="Aptos"/>
                <w:sz w:val="16"/>
              </w:rPr>
              <w:t>- Executive, premium, disciplined, and strategic</w:t>
            </w:r>
          </w:p>
          <w:p>
            <w:r>
              <w:rPr>
                <w:rFonts w:ascii="Aptos" w:hAnsi="Aptos"/>
                <w:sz w:val="16"/>
              </w:rPr>
              <w:t>- Feminine in leadership energy but not overly pink or soft</w:t>
            </w:r>
          </w:p>
          <w:p>
            <w:r>
              <w:rPr>
                <w:rFonts w:ascii="Aptos" w:hAnsi="Aptos"/>
                <w:sz w:val="16"/>
              </w:rPr>
              <w:t>- Institutional enough for property owners, investors, lenders, tenants, economic development stakeholders, and sponsors</w:t>
            </w:r>
          </w:p>
          <w:p>
            <w:r>
              <w:rPr>
                <w:rFonts w:ascii="Aptos" w:hAnsi="Aptos"/>
                <w:sz w:val="16"/>
              </w:rPr>
              <w:t>- Warm enough to attract women, emerging agents, and community-minded professionals</w:t>
            </w:r>
          </w:p>
          <w:p>
            <w:r>
              <w:rPr>
                <w:rFonts w:ascii="Aptos" w:hAnsi="Aptos"/>
                <w:sz w:val="16"/>
              </w:rPr>
              <w:t>- Rooted in Memphis but scalable nationally</w:t>
            </w:r>
          </w:p>
          <w:p>
            <w:r>
              <w:rPr>
                <w:rFonts w:ascii="Aptos" w:hAnsi="Aptos"/>
                <w:sz w:val="16"/>
              </w:rPr>
            </w:r>
          </w:p>
          <w:p>
            <w:r>
              <w:rPr>
                <w:rFonts w:ascii="Aptos" w:hAnsi="Aptos"/>
                <w:sz w:val="16"/>
              </w:rPr>
              <w:t>Avoid generic residential real estate visuals such as house keys, sold signs, smiling stock agents, suburban home photos, and cliché luxury realtor layouts. Use commercial real estate textures: industrial land, aerial maps, site plans, redevelopment corridors, city skyline, boardrooms, training rooms, architectural grids, and tasteful portrait photography.</w:t>
            </w:r>
          </w:p>
          <w:p>
            <w:r>
              <w:rPr>
                <w:rFonts w:ascii="Aptos" w:hAnsi="Aptos"/>
                <w:sz w:val="16"/>
              </w:rPr>
            </w:r>
          </w:p>
          <w:p>
            <w:r>
              <w:rPr>
                <w:rFonts w:ascii="Aptos" w:hAnsi="Aptos"/>
                <w:sz w:val="16"/>
              </w:rPr>
              <w:t>Create designs for these pages:</w:t>
            </w:r>
          </w:p>
          <w:p>
            <w:r>
              <w:rPr>
                <w:rFonts w:ascii="Aptos" w:hAnsi="Aptos"/>
                <w:sz w:val="16"/>
              </w:rPr>
              <w:t>1. Homepage</w:t>
            </w:r>
          </w:p>
          <w:p>
            <w:r>
              <w:rPr>
                <w:rFonts w:ascii="Aptos" w:hAnsi="Aptos"/>
                <w:sz w:val="16"/>
              </w:rPr>
              <w:t>2. About Yvonne</w:t>
            </w:r>
          </w:p>
          <w:p>
            <w:r>
              <w:rPr>
                <w:rFonts w:ascii="Aptos" w:hAnsi="Aptos"/>
                <w:sz w:val="16"/>
              </w:rPr>
              <w:t>3. Services</w:t>
            </w:r>
          </w:p>
          <w:p>
            <w:r>
              <w:rPr>
                <w:rFonts w:ascii="Aptos" w:hAnsi="Aptos"/>
                <w:sz w:val="16"/>
              </w:rPr>
              <w:t>4. LeadHER CRE</w:t>
            </w:r>
          </w:p>
          <w:p>
            <w:r>
              <w:rPr>
                <w:rFonts w:ascii="Aptos" w:hAnsi="Aptos"/>
                <w:sz w:val="16"/>
              </w:rPr>
              <w:t>5. The Commercial Pivot landing page</w:t>
            </w:r>
          </w:p>
          <w:p>
            <w:r>
              <w:rPr>
                <w:rFonts w:ascii="Aptos" w:hAnsi="Aptos"/>
                <w:sz w:val="16"/>
              </w:rPr>
              <w:t>6. Projects / Case Studies</w:t>
            </w:r>
          </w:p>
          <w:p>
            <w:r>
              <w:rPr>
                <w:rFonts w:ascii="Aptos" w:hAnsi="Aptos"/>
                <w:sz w:val="16"/>
              </w:rPr>
              <w:t>7. Insights</w:t>
            </w:r>
          </w:p>
          <w:p>
            <w:r>
              <w:rPr>
                <w:rFonts w:ascii="Aptos" w:hAnsi="Aptos"/>
                <w:sz w:val="16"/>
              </w:rPr>
              <w:t>8. Speaking / Media</w:t>
            </w:r>
          </w:p>
          <w:p>
            <w:r>
              <w:rPr>
                <w:rFonts w:ascii="Aptos" w:hAnsi="Aptos"/>
                <w:sz w:val="16"/>
              </w:rPr>
              <w:t>9. Contact</w:t>
            </w:r>
          </w:p>
          <w:p>
            <w:r>
              <w:rPr>
                <w:rFonts w:ascii="Aptos" w:hAnsi="Aptos"/>
                <w:sz w:val="16"/>
              </w:rPr>
            </w:r>
          </w:p>
          <w:p>
            <w:r>
              <w:rPr>
                <w:rFonts w:ascii="Aptos" w:hAnsi="Aptos"/>
                <w:sz w:val="16"/>
              </w:rPr>
              <w:t>Homepage requirements:</w:t>
            </w:r>
          </w:p>
          <w:p>
            <w:r>
              <w:rPr>
                <w:rFonts w:ascii="Aptos" w:hAnsi="Aptos"/>
                <w:sz w:val="16"/>
              </w:rPr>
              <w:t>- Powerful hero section with Yvonne positioned as a CRE strategist and LeadHER CRE as the platform</w:t>
            </w:r>
          </w:p>
          <w:p>
            <w:r>
              <w:rPr>
                <w:rFonts w:ascii="Aptos" w:hAnsi="Aptos"/>
                <w:sz w:val="16"/>
              </w:rPr>
              <w:t>- Dual pathways: Work With Yvonne and Explore LeadHER CRE</w:t>
            </w:r>
          </w:p>
          <w:p>
            <w:r>
              <w:rPr>
                <w:rFonts w:ascii="Aptos" w:hAnsi="Aptos"/>
                <w:sz w:val="16"/>
              </w:rPr>
              <w:t>- Authority strip showing veteran-led, KW Commercial, LeadHER CRE founder, development experience, Memphis market</w:t>
            </w:r>
          </w:p>
          <w:p>
            <w:r>
              <w:rPr>
                <w:rFonts w:ascii="Aptos" w:hAnsi="Aptos"/>
                <w:sz w:val="16"/>
              </w:rPr>
              <w:t>- Service cards for Industrial Land, Tenant/Landlord Representation, Infill Redevelopment, Strategic Asset Disposition, Commercial Investments</w:t>
            </w:r>
          </w:p>
          <w:p>
            <w:r>
              <w:rPr>
                <w:rFonts w:ascii="Aptos" w:hAnsi="Aptos"/>
                <w:sz w:val="16"/>
              </w:rPr>
              <w:t>- LeadHER CRE feature section</w:t>
            </w:r>
          </w:p>
          <w:p>
            <w:r>
              <w:rPr>
                <w:rFonts w:ascii="Aptos" w:hAnsi="Aptos"/>
                <w:sz w:val="16"/>
              </w:rPr>
              <w:t>- Featured event section for The Commercial Pivot</w:t>
            </w:r>
          </w:p>
          <w:p>
            <w:r>
              <w:rPr>
                <w:rFonts w:ascii="Aptos" w:hAnsi="Aptos"/>
                <w:sz w:val="16"/>
              </w:rPr>
              <w:t>- Case study / development experience section</w:t>
            </w:r>
          </w:p>
          <w:p>
            <w:r>
              <w:rPr>
                <w:rFonts w:ascii="Aptos" w:hAnsi="Aptos"/>
                <w:sz w:val="16"/>
              </w:rPr>
              <w:t>- Insights preview</w:t>
            </w:r>
          </w:p>
          <w:p>
            <w:r>
              <w:rPr>
                <w:rFonts w:ascii="Aptos" w:hAnsi="Aptos"/>
                <w:sz w:val="16"/>
              </w:rPr>
              <w:t>- Strong closing CTA</w:t>
            </w:r>
          </w:p>
          <w:p>
            <w:r>
              <w:rPr>
                <w:rFonts w:ascii="Aptos" w:hAnsi="Aptos"/>
                <w:sz w:val="16"/>
              </w:rPr>
            </w:r>
          </w:p>
          <w:p>
            <w:r>
              <w:rPr>
                <w:rFonts w:ascii="Aptos" w:hAnsi="Aptos"/>
                <w:sz w:val="16"/>
              </w:rPr>
              <w:t>Suggested homepage headline:</w:t>
            </w:r>
          </w:p>
          <w:p>
            <w:r>
              <w:rPr>
                <w:rFonts w:ascii="Aptos" w:hAnsi="Aptos"/>
                <w:sz w:val="16"/>
              </w:rPr>
              <w:t>Commercial Real Estate Strategy. Veteran-Led Discipline. Development-Level Vision.</w:t>
            </w:r>
          </w:p>
          <w:p>
            <w:r>
              <w:rPr>
                <w:rFonts w:ascii="Aptos" w:hAnsi="Aptos"/>
                <w:sz w:val="16"/>
              </w:rPr>
            </w:r>
          </w:p>
          <w:p>
            <w:r>
              <w:rPr>
                <w:rFonts w:ascii="Aptos" w:hAnsi="Aptos"/>
                <w:sz w:val="16"/>
              </w:rPr>
              <w:t>Suggested subheadline:</w:t>
            </w:r>
          </w:p>
          <w:p>
            <w:r>
              <w:rPr>
                <w:rFonts w:ascii="Aptos" w:hAnsi="Aptos"/>
                <w:sz w:val="16"/>
              </w:rPr>
              <w:t>Yvonne Spencer helps owners, investors, tenants, and emerging real estate professionals navigate commercial real estate with institutional discipline, market intelligence, and community-centered strategy.</w:t>
            </w:r>
          </w:p>
          <w:p>
            <w:r>
              <w:rPr>
                <w:rFonts w:ascii="Aptos" w:hAnsi="Aptos"/>
                <w:sz w:val="16"/>
              </w:rPr>
            </w:r>
          </w:p>
          <w:p>
            <w:r>
              <w:rPr>
                <w:rFonts w:ascii="Aptos" w:hAnsi="Aptos"/>
                <w:sz w:val="16"/>
              </w:rPr>
              <w:t>Design system:</w:t>
            </w:r>
          </w:p>
          <w:p>
            <w:r>
              <w:rPr>
                <w:rFonts w:ascii="Aptos" w:hAnsi="Aptos"/>
                <w:sz w:val="16"/>
              </w:rPr>
              <w:t>- Use a refined palette: deep navy, warm bronze/gold, cream/off-white, charcoal, with optional plum or emerald accent.</w:t>
            </w:r>
          </w:p>
          <w:p>
            <w:r>
              <w:rPr>
                <w:rFonts w:ascii="Aptos" w:hAnsi="Aptos"/>
                <w:sz w:val="16"/>
              </w:rPr>
              <w:t>- Use an editorial serif for major headlines and a clean sans-serif for UI/body copy.</w:t>
            </w:r>
          </w:p>
          <w:p>
            <w:r>
              <w:rPr>
                <w:rFonts w:ascii="Aptos" w:hAnsi="Aptos"/>
                <w:sz w:val="16"/>
              </w:rPr>
              <w:t>- Use large confident typography, generous whitespace, strong grids, premium cards, and subtle motion.</w:t>
            </w:r>
          </w:p>
          <w:p>
            <w:r>
              <w:rPr>
                <w:rFonts w:ascii="Aptos" w:hAnsi="Aptos"/>
                <w:sz w:val="16"/>
              </w:rPr>
              <w:t>- Incorporate map-line patterns, blueprint/grid overlays, or development-site textures as subtle background elements.</w:t>
            </w:r>
          </w:p>
          <w:p>
            <w:r>
              <w:rPr>
                <w:rFonts w:ascii="Aptos" w:hAnsi="Aptos"/>
                <w:sz w:val="16"/>
              </w:rPr>
              <w:t>- Make CTAs clear, elegant, and conversion-focused.</w:t>
            </w:r>
          </w:p>
          <w:p>
            <w:r>
              <w:rPr>
                <w:rFonts w:ascii="Aptos" w:hAnsi="Aptos"/>
                <w:sz w:val="16"/>
              </w:rPr>
            </w:r>
          </w:p>
          <w:p>
            <w:r>
              <w:rPr>
                <w:rFonts w:ascii="Aptos" w:hAnsi="Aptos"/>
                <w:sz w:val="16"/>
              </w:rPr>
              <w:t>Deliver:</w:t>
            </w:r>
          </w:p>
          <w:p>
            <w:r>
              <w:rPr>
                <w:rFonts w:ascii="Aptos" w:hAnsi="Aptos"/>
                <w:sz w:val="16"/>
              </w:rPr>
              <w:t>- Visual concept direction</w:t>
            </w:r>
          </w:p>
          <w:p>
            <w:r>
              <w:rPr>
                <w:rFonts w:ascii="Aptos" w:hAnsi="Aptos"/>
                <w:sz w:val="16"/>
              </w:rPr>
              <w:t>- Full homepage mockup</w:t>
            </w:r>
          </w:p>
          <w:p>
            <w:r>
              <w:rPr>
                <w:rFonts w:ascii="Aptos" w:hAnsi="Aptos"/>
                <w:sz w:val="16"/>
              </w:rPr>
              <w:t>- Interior page system</w:t>
            </w:r>
          </w:p>
          <w:p>
            <w:r>
              <w:rPr>
                <w:rFonts w:ascii="Aptos" w:hAnsi="Aptos"/>
                <w:sz w:val="16"/>
              </w:rPr>
              <w:t>- Component library: nav, hero, service card, proof strip, event card, case study card, testimonial, form, footer</w:t>
            </w:r>
          </w:p>
          <w:p>
            <w:r>
              <w:rPr>
                <w:rFonts w:ascii="Aptos" w:hAnsi="Aptos"/>
                <w:sz w:val="16"/>
              </w:rPr>
              <w:t>- Responsive mobile version</w:t>
            </w:r>
          </w:p>
          <w:p>
            <w:r>
              <w:rPr>
                <w:rFonts w:ascii="Aptos" w:hAnsi="Aptos"/>
                <w:sz w:val="16"/>
              </w:rPr>
              <w:t>- Interaction notes and animation direction</w:t>
            </w:r>
          </w:p>
          <w:p>
            <w:r>
              <w:rPr>
                <w:rFonts w:ascii="Aptos" w:hAnsi="Aptos"/>
                <w:sz w:val="16"/>
              </w:rPr>
              <w:t>- Accessibility considerations</w:t>
            </w:r>
          </w:p>
        </w:tc>
      </w:tr>
    </w:tbl>
    <w:p/>
    <w:p>
      <w:pPr>
        <w:pStyle w:val="Heading1"/>
      </w:pPr>
      <w:r>
        <w:t>3. Design Moodboard Direction</w:t>
      </w:r>
    </w:p>
    <w:tbl>
      <w:tblPr>
        <w:tblStyle w:val="TableGrid"/>
        <w:tblW w:type="auto" w:w="0"/>
        <w:jc w:val="center"/>
        <w:tblLook w:firstColumn="1" w:firstRow="1" w:lastColumn="0" w:lastRow="0" w:noHBand="0" w:noVBand="1" w:val="04A0"/>
      </w:tblPr>
      <w:tblGrid>
        <w:gridCol w:w="5083"/>
        <w:gridCol w:w="5083"/>
      </w:tblGrid>
      <w:tr>
        <w:tc>
          <w:tcPr>
            <w:tcW w:type="dxa" w:w="2448"/>
            <w:shd w:fill="102A43"/>
          </w:tcPr>
          <w:p>
            <w:r>
              <w:rPr>
                <w:b/>
                <w:color w:val="FFFFFF"/>
                <w:sz w:val="17"/>
              </w:rPr>
              <w:t>Design Element</w:t>
            </w:r>
          </w:p>
        </w:tc>
        <w:tc>
          <w:tcPr>
            <w:tcW w:type="dxa" w:w="6912"/>
            <w:shd w:fill="102A43"/>
          </w:tcPr>
          <w:p>
            <w:r>
              <w:rPr>
                <w:b/>
                <w:color w:val="FFFFFF"/>
                <w:sz w:val="17"/>
              </w:rPr>
              <w:t>Direction</w:t>
            </w:r>
          </w:p>
        </w:tc>
      </w:tr>
      <w:tr>
        <w:tc>
          <w:tcPr>
            <w:tcW w:type="dxa" w:w="2448"/>
            <w:vAlign w:val="top"/>
          </w:tcPr>
          <w:p>
            <w:r>
              <w:rPr>
                <w:sz w:val="16"/>
              </w:rPr>
              <w:t>Overall feel</w:t>
            </w:r>
          </w:p>
        </w:tc>
        <w:tc>
          <w:tcPr>
            <w:tcW w:type="dxa" w:w="6912"/>
            <w:vAlign w:val="top"/>
          </w:tcPr>
          <w:p>
            <w:r>
              <w:rPr>
                <w:sz w:val="16"/>
              </w:rPr>
              <w:t>Executive authority, commercial sophistication, mentorship warmth, development strategy.</w:t>
            </w:r>
          </w:p>
        </w:tc>
      </w:tr>
      <w:tr>
        <w:tc>
          <w:tcPr>
            <w:tcW w:type="dxa" w:w="2448"/>
            <w:vAlign w:val="top"/>
          </w:tcPr>
          <w:p>
            <w:r>
              <w:rPr>
                <w:sz w:val="16"/>
              </w:rPr>
              <w:t>Color palette</w:t>
            </w:r>
          </w:p>
        </w:tc>
        <w:tc>
          <w:tcPr>
            <w:tcW w:type="dxa" w:w="6912"/>
            <w:vAlign w:val="top"/>
          </w:tcPr>
          <w:p>
            <w:r>
              <w:rPr>
                <w:sz w:val="16"/>
              </w:rPr>
              <w:t>Deep navy, charcoal, cream, bronze/gold, optional plum or emerald accent.</w:t>
            </w:r>
          </w:p>
        </w:tc>
      </w:tr>
      <w:tr>
        <w:tc>
          <w:tcPr>
            <w:tcW w:type="dxa" w:w="2448"/>
            <w:vAlign w:val="top"/>
          </w:tcPr>
          <w:p>
            <w:r>
              <w:rPr>
                <w:sz w:val="16"/>
              </w:rPr>
              <w:t>Typography</w:t>
            </w:r>
          </w:p>
        </w:tc>
        <w:tc>
          <w:tcPr>
            <w:tcW w:type="dxa" w:w="6912"/>
            <w:vAlign w:val="top"/>
          </w:tcPr>
          <w:p>
            <w:r>
              <w:rPr>
                <w:sz w:val="16"/>
              </w:rPr>
              <w:t>Editorial serif headlines; clean sans-serif body; high contrast between hero headline and supporting copy.</w:t>
            </w:r>
          </w:p>
        </w:tc>
      </w:tr>
      <w:tr>
        <w:tc>
          <w:tcPr>
            <w:tcW w:type="dxa" w:w="2448"/>
            <w:vAlign w:val="top"/>
          </w:tcPr>
          <w:p>
            <w:r>
              <w:rPr>
                <w:sz w:val="16"/>
              </w:rPr>
              <w:t>Imagery</w:t>
            </w:r>
          </w:p>
        </w:tc>
        <w:tc>
          <w:tcPr>
            <w:tcW w:type="dxa" w:w="6912"/>
            <w:vAlign w:val="top"/>
          </w:tcPr>
          <w:p>
            <w:r>
              <w:rPr>
                <w:sz w:val="16"/>
              </w:rPr>
              <w:t>Boardroom, industrial corridors, development maps, Memphis skyline, training/masterclass scenes, professional portraits.</w:t>
            </w:r>
          </w:p>
        </w:tc>
      </w:tr>
      <w:tr>
        <w:tc>
          <w:tcPr>
            <w:tcW w:type="dxa" w:w="2448"/>
            <w:vAlign w:val="top"/>
          </w:tcPr>
          <w:p>
            <w:r>
              <w:rPr>
                <w:sz w:val="16"/>
              </w:rPr>
              <w:t>Textures</w:t>
            </w:r>
          </w:p>
        </w:tc>
        <w:tc>
          <w:tcPr>
            <w:tcW w:type="dxa" w:w="6912"/>
            <w:vAlign w:val="top"/>
          </w:tcPr>
          <w:p>
            <w:r>
              <w:rPr>
                <w:sz w:val="16"/>
              </w:rPr>
              <w:t>Subtle blueprint grids, map lines, site-plan overlays, parcel outlines, architectural linework.</w:t>
            </w:r>
          </w:p>
        </w:tc>
      </w:tr>
      <w:tr>
        <w:tc>
          <w:tcPr>
            <w:tcW w:type="dxa" w:w="2448"/>
            <w:vAlign w:val="top"/>
          </w:tcPr>
          <w:p>
            <w:r>
              <w:rPr>
                <w:sz w:val="16"/>
              </w:rPr>
              <w:t>Motion</w:t>
            </w:r>
          </w:p>
        </w:tc>
        <w:tc>
          <w:tcPr>
            <w:tcW w:type="dxa" w:w="6912"/>
            <w:vAlign w:val="top"/>
          </w:tcPr>
          <w:p>
            <w:r>
              <w:rPr>
                <w:sz w:val="16"/>
              </w:rPr>
              <w:t>Soft reveal animations, map-line movement, card hover elevation, smooth CTA transitions.</w:t>
            </w:r>
          </w:p>
        </w:tc>
      </w:tr>
      <w:tr>
        <w:tc>
          <w:tcPr>
            <w:tcW w:type="dxa" w:w="2448"/>
            <w:vAlign w:val="top"/>
          </w:tcPr>
          <w:p>
            <w:r>
              <w:rPr>
                <w:sz w:val="16"/>
              </w:rPr>
              <w:t>Layout</w:t>
            </w:r>
          </w:p>
        </w:tc>
        <w:tc>
          <w:tcPr>
            <w:tcW w:type="dxa" w:w="6912"/>
            <w:vAlign w:val="top"/>
          </w:tcPr>
          <w:p>
            <w:r>
              <w:rPr>
                <w:sz w:val="16"/>
              </w:rPr>
              <w:t>Strong editorial grid; large hero; alternating image/text sections; premium cards; minimal clutter.</w:t>
            </w:r>
          </w:p>
        </w:tc>
      </w:tr>
      <w:tr>
        <w:tc>
          <w:tcPr>
            <w:tcW w:type="dxa" w:w="2448"/>
            <w:vAlign w:val="top"/>
          </w:tcPr>
          <w:p>
            <w:r>
              <w:rPr>
                <w:sz w:val="16"/>
              </w:rPr>
              <w:t>Tone to avoid</w:t>
            </w:r>
          </w:p>
        </w:tc>
        <w:tc>
          <w:tcPr>
            <w:tcW w:type="dxa" w:w="6912"/>
            <w:vAlign w:val="top"/>
          </w:tcPr>
          <w:p>
            <w:r>
              <w:rPr>
                <w:sz w:val="16"/>
              </w:rPr>
              <w:t>Residential agent template, overly pink, stock-photo-heavy, crowded sections, generic luxury realty clichés.</w:t>
            </w:r>
          </w:p>
        </w:tc>
      </w:tr>
    </w:tbl>
    <w:p/>
    <w:p>
      <w:pPr>
        <w:pStyle w:val="Heading1"/>
      </w:pPr>
      <w:r>
        <w:t>4. Suggested Component System</w:t>
      </w:r>
    </w:p>
    <w:p>
      <w:pPr>
        <w:pStyle w:val="ListBullet"/>
        <w:spacing w:after="40"/>
      </w:pPr>
      <w:r>
        <w:t>Executive hero with portrait, headline, dual CTA, and subtle Memphis/development map background.</w:t>
      </w:r>
    </w:p>
    <w:p>
      <w:pPr>
        <w:pStyle w:val="ListBullet"/>
        <w:spacing w:after="40"/>
      </w:pPr>
      <w:r>
        <w:t>Authority proof strip with credentials and roles.</w:t>
      </w:r>
    </w:p>
    <w:p>
      <w:pPr>
        <w:pStyle w:val="ListBullet"/>
        <w:spacing w:after="40"/>
      </w:pPr>
      <w:r>
        <w:t>Service cards with icon/line-art treatment and concise copy.</w:t>
      </w:r>
    </w:p>
    <w:p>
      <w:pPr>
        <w:pStyle w:val="ListBullet"/>
        <w:spacing w:after="40"/>
      </w:pPr>
      <w:r>
        <w:t>LeadHER CRE platform block with mission, audience, and program CTAs.</w:t>
      </w:r>
    </w:p>
    <w:p>
      <w:pPr>
        <w:pStyle w:val="ListBullet"/>
        <w:spacing w:after="40"/>
      </w:pPr>
      <w:r>
        <w:t>Featured event card for The Commercial Pivot.</w:t>
      </w:r>
    </w:p>
    <w:p>
      <w:pPr>
        <w:pStyle w:val="ListBullet"/>
        <w:spacing w:after="40"/>
      </w:pPr>
      <w:r>
        <w:t>Case study preview cards with asset type, challenge, strategy, and outcome.</w:t>
      </w:r>
    </w:p>
    <w:p>
      <w:pPr>
        <w:pStyle w:val="ListBullet"/>
        <w:spacing w:after="40"/>
      </w:pPr>
      <w:r>
        <w:t>Insight/article cards with category labels.</w:t>
      </w:r>
    </w:p>
    <w:p>
      <w:pPr>
        <w:pStyle w:val="ListBullet"/>
        <w:spacing w:after="40"/>
      </w:pPr>
      <w:r>
        <w:t>Speaking topic cards and media-kit download block.</w:t>
      </w:r>
    </w:p>
    <w:p>
      <w:pPr>
        <w:pStyle w:val="ListBullet"/>
        <w:spacing w:after="40"/>
      </w:pPr>
      <w:r>
        <w:t>Segmented inquiry form with clear lead-type selector.</w:t>
      </w:r>
    </w:p>
    <w:p>
      <w:pPr>
        <w:pStyle w:val="ListBullet"/>
        <w:spacing w:after="40"/>
      </w:pPr>
      <w:r>
        <w:t>Premium footer with dual-brand navigation, newsletter signup, and compliance-friendly contact details.</w:t>
      </w:r>
    </w:p>
    <w:p>
      <w:pPr>
        <w:pStyle w:val="Heading1"/>
      </w:pPr>
      <w:r>
        <w:t>5. Homepage Wireframe Guidance</w:t>
      </w:r>
    </w:p>
    <w:p>
      <w:pPr>
        <w:pStyle w:val="ListNumber"/>
        <w:spacing w:after="40"/>
      </w:pPr>
      <w:r>
        <w:t>Top navigation: logo/wordmark, About, Services, LeadHER CRE, Events, Insights, Speaking, Contact, primary CTA.</w:t>
      </w:r>
    </w:p>
    <w:p>
      <w:pPr>
        <w:pStyle w:val="ListNumber"/>
        <w:spacing w:after="40"/>
      </w:pPr>
      <w:r>
        <w:t>Hero: headline, subheadline, two CTAs, Yvonne portrait or commercial environment, authority micro-proof.</w:t>
      </w:r>
    </w:p>
    <w:p>
      <w:pPr>
        <w:pStyle w:val="ListNumber"/>
        <w:spacing w:after="40"/>
      </w:pPr>
      <w:r>
        <w:t>Proof strip: Veteran-led, KW Commercial, LeadHER CRE Founder, Development Experience, Memphis CRE Market.</w:t>
      </w:r>
    </w:p>
    <w:p>
      <w:pPr>
        <w:pStyle w:val="ListNumber"/>
        <w:spacing w:after="40"/>
      </w:pPr>
      <w:r>
        <w:t>Positioning section: From transactions to transformation.</w:t>
      </w:r>
    </w:p>
    <w:p>
      <w:pPr>
        <w:pStyle w:val="ListNumber"/>
        <w:spacing w:after="40"/>
      </w:pPr>
      <w:r>
        <w:t>Services grid: five core CRE specialties.</w:t>
      </w:r>
    </w:p>
    <w:p>
      <w:pPr>
        <w:pStyle w:val="ListNumber"/>
        <w:spacing w:after="40"/>
      </w:pPr>
      <w:r>
        <w:t>LeadHER CRE feature: platform mission, audience, Development Group, masterclass CTA.</w:t>
      </w:r>
    </w:p>
    <w:p>
      <w:pPr>
        <w:pStyle w:val="ListNumber"/>
        <w:spacing w:after="40"/>
      </w:pPr>
      <w:r>
        <w:t>The Commercial Pivot: featured event/landing card.</w:t>
      </w:r>
    </w:p>
    <w:p>
      <w:pPr>
        <w:pStyle w:val="ListNumber"/>
        <w:spacing w:after="40"/>
      </w:pPr>
      <w:r>
        <w:t>Case studies/development experience: visual proof and strategic narrative.</w:t>
      </w:r>
    </w:p>
    <w:p>
      <w:pPr>
        <w:pStyle w:val="ListNumber"/>
        <w:spacing w:after="40"/>
      </w:pPr>
      <w:r>
        <w:t>Insights: 3 educational articles.</w:t>
      </w:r>
    </w:p>
    <w:p>
      <w:pPr>
        <w:pStyle w:val="ListNumber"/>
        <w:spacing w:after="40"/>
      </w:pPr>
      <w:r>
        <w:t>Closing CTA: choose pathway - Work With Yvonne, Join LeadHER CRE, Book Yvonne to Speak.</w:t>
      </w:r>
    </w:p>
    <w:p>
      <w:pPr>
        <w:pStyle w:val="Heading1"/>
      </w:pPr>
      <w:r>
        <w:t>6. Page Design Notes</w:t>
      </w:r>
    </w:p>
    <w:tbl>
      <w:tblPr>
        <w:tblStyle w:val="TableGrid"/>
        <w:tblW w:type="auto" w:w="0"/>
        <w:jc w:val="center"/>
        <w:tblLook w:firstColumn="1" w:firstRow="1" w:lastColumn="0" w:lastRow="0" w:noHBand="0" w:noVBand="1" w:val="04A0"/>
      </w:tblPr>
      <w:tblGrid>
        <w:gridCol w:w="5083"/>
        <w:gridCol w:w="5083"/>
      </w:tblGrid>
      <w:tr>
        <w:tc>
          <w:tcPr>
            <w:tcW w:type="dxa" w:w="2016"/>
            <w:shd w:fill="102A43"/>
          </w:tcPr>
          <w:p>
            <w:r>
              <w:rPr>
                <w:b/>
                <w:color w:val="FFFFFF"/>
                <w:sz w:val="17"/>
              </w:rPr>
              <w:t>Page</w:t>
            </w:r>
          </w:p>
        </w:tc>
        <w:tc>
          <w:tcPr>
            <w:tcW w:type="dxa" w:w="7200"/>
            <w:shd w:fill="102A43"/>
          </w:tcPr>
          <w:p>
            <w:r>
              <w:rPr>
                <w:b/>
                <w:color w:val="FFFFFF"/>
                <w:sz w:val="17"/>
              </w:rPr>
              <w:t>Visual Direction</w:t>
            </w:r>
          </w:p>
        </w:tc>
      </w:tr>
      <w:tr>
        <w:tc>
          <w:tcPr>
            <w:tcW w:type="dxa" w:w="2016"/>
            <w:vAlign w:val="top"/>
          </w:tcPr>
          <w:p>
            <w:r>
              <w:rPr>
                <w:sz w:val="16"/>
              </w:rPr>
              <w:t>About Yvonne</w:t>
            </w:r>
          </w:p>
        </w:tc>
        <w:tc>
          <w:tcPr>
            <w:tcW w:type="dxa" w:w="7200"/>
            <w:vAlign w:val="top"/>
          </w:tcPr>
          <w:p>
            <w:r>
              <w:rPr>
                <w:sz w:val="16"/>
              </w:rPr>
              <w:t>Editorial biography layout with portrait, timeline, leadership credentials, military-to-CRE narrative, and development proof.</w:t>
            </w:r>
          </w:p>
        </w:tc>
      </w:tr>
      <w:tr>
        <w:tc>
          <w:tcPr>
            <w:tcW w:type="dxa" w:w="2016"/>
            <w:vAlign w:val="top"/>
          </w:tcPr>
          <w:p>
            <w:r>
              <w:rPr>
                <w:sz w:val="16"/>
              </w:rPr>
              <w:t>Services</w:t>
            </w:r>
          </w:p>
        </w:tc>
        <w:tc>
          <w:tcPr>
            <w:tcW w:type="dxa" w:w="7200"/>
            <w:vAlign w:val="top"/>
          </w:tcPr>
          <w:p>
            <w:r>
              <w:rPr>
                <w:sz w:val="16"/>
              </w:rPr>
              <w:t>Serious advisory page with segmented cards, process section, credibility markers, and inquiry CTA.</w:t>
            </w:r>
          </w:p>
        </w:tc>
      </w:tr>
      <w:tr>
        <w:tc>
          <w:tcPr>
            <w:tcW w:type="dxa" w:w="2016"/>
            <w:vAlign w:val="top"/>
          </w:tcPr>
          <w:p>
            <w:r>
              <w:rPr>
                <w:sz w:val="16"/>
              </w:rPr>
              <w:t>LeadHER CRE</w:t>
            </w:r>
          </w:p>
        </w:tc>
        <w:tc>
          <w:tcPr>
            <w:tcW w:type="dxa" w:w="7200"/>
            <w:vAlign w:val="top"/>
          </w:tcPr>
          <w:p>
            <w:r>
              <w:rPr>
                <w:sz w:val="16"/>
              </w:rPr>
              <w:t>More community energy but still premium; include mentorship, education, development group, and sponsor pathway.</w:t>
            </w:r>
          </w:p>
        </w:tc>
      </w:tr>
      <w:tr>
        <w:tc>
          <w:tcPr>
            <w:tcW w:type="dxa" w:w="2016"/>
            <w:vAlign w:val="top"/>
          </w:tcPr>
          <w:p>
            <w:r>
              <w:rPr>
                <w:sz w:val="16"/>
              </w:rPr>
              <w:t>The Commercial Pivot</w:t>
            </w:r>
          </w:p>
        </w:tc>
        <w:tc>
          <w:tcPr>
            <w:tcW w:type="dxa" w:w="7200"/>
            <w:vAlign w:val="top"/>
          </w:tcPr>
          <w:p>
            <w:r>
              <w:rPr>
                <w:sz w:val="16"/>
              </w:rPr>
              <w:t>High-conversion landing page with strong promise, curriculum, agenda, instructor authority, FAQs, and registration CTA.</w:t>
            </w:r>
          </w:p>
        </w:tc>
      </w:tr>
      <w:tr>
        <w:tc>
          <w:tcPr>
            <w:tcW w:type="dxa" w:w="2016"/>
            <w:vAlign w:val="top"/>
          </w:tcPr>
          <w:p>
            <w:r>
              <w:rPr>
                <w:sz w:val="16"/>
              </w:rPr>
              <w:t>Projects / Case Studies</w:t>
            </w:r>
          </w:p>
        </w:tc>
        <w:tc>
          <w:tcPr>
            <w:tcW w:type="dxa" w:w="7200"/>
            <w:vAlign w:val="top"/>
          </w:tcPr>
          <w:p>
            <w:r>
              <w:rPr>
                <w:sz w:val="16"/>
              </w:rPr>
              <w:t>Portfolio-style grid with commercial/development cards and filtered categories.</w:t>
            </w:r>
          </w:p>
        </w:tc>
      </w:tr>
      <w:tr>
        <w:tc>
          <w:tcPr>
            <w:tcW w:type="dxa" w:w="2016"/>
            <w:vAlign w:val="top"/>
          </w:tcPr>
          <w:p>
            <w:r>
              <w:rPr>
                <w:sz w:val="16"/>
              </w:rPr>
              <w:t>Insights</w:t>
            </w:r>
          </w:p>
        </w:tc>
        <w:tc>
          <w:tcPr>
            <w:tcW w:type="dxa" w:w="7200"/>
            <w:vAlign w:val="top"/>
          </w:tcPr>
          <w:p>
            <w:r>
              <w:rPr>
                <w:sz w:val="16"/>
              </w:rPr>
              <w:t>Editorial content hub with strong category navigation and newsletter CTA.</w:t>
            </w:r>
          </w:p>
        </w:tc>
      </w:tr>
      <w:tr>
        <w:tc>
          <w:tcPr>
            <w:tcW w:type="dxa" w:w="2016"/>
            <w:vAlign w:val="top"/>
          </w:tcPr>
          <w:p>
            <w:r>
              <w:rPr>
                <w:sz w:val="16"/>
              </w:rPr>
              <w:t>Speaking / Media</w:t>
            </w:r>
          </w:p>
        </w:tc>
        <w:tc>
          <w:tcPr>
            <w:tcW w:type="dxa" w:w="7200"/>
            <w:vAlign w:val="top"/>
          </w:tcPr>
          <w:p>
            <w:r>
              <w:rPr>
                <w:sz w:val="16"/>
              </w:rPr>
              <w:t>Clean speaker bureau style with topics, bio, headshots, media kit, and booking form.</w:t>
            </w:r>
          </w:p>
        </w:tc>
      </w:tr>
      <w:tr>
        <w:tc>
          <w:tcPr>
            <w:tcW w:type="dxa" w:w="2016"/>
            <w:vAlign w:val="top"/>
          </w:tcPr>
          <w:p>
            <w:r>
              <w:rPr>
                <w:sz w:val="16"/>
              </w:rPr>
              <w:t>Contact</w:t>
            </w:r>
          </w:p>
        </w:tc>
        <w:tc>
          <w:tcPr>
            <w:tcW w:type="dxa" w:w="7200"/>
            <w:vAlign w:val="top"/>
          </w:tcPr>
          <w:p>
            <w:r>
              <w:rPr>
                <w:sz w:val="16"/>
              </w:rPr>
              <w:t>Segmented form experience that feels professional and simple.</w:t>
            </w:r>
          </w:p>
        </w:tc>
      </w:tr>
    </w:tbl>
    <w:p/>
    <w:p>
      <w:pPr>
        <w:pStyle w:val="Heading1"/>
      </w:pPr>
      <w:r>
        <w:t>7. Copy Snippets for Design Placement</w:t>
      </w:r>
    </w:p>
    <w:p>
      <w:pPr>
        <w:pStyle w:val="ListBullet"/>
        <w:spacing w:after="40"/>
      </w:pPr>
      <w:r>
        <w:t>Headline: Commercial Real Estate Strategy. Veteran-Led Discipline. Development-Level Vision.</w:t>
      </w:r>
    </w:p>
    <w:p>
      <w:pPr>
        <w:pStyle w:val="ListBullet"/>
        <w:spacing w:after="40"/>
      </w:pPr>
      <w:r>
        <w:t>LeadHER CRE line: Equipping women and emerging real estate professionals to move from residential transactions to commercial real estate leadership.</w:t>
      </w:r>
    </w:p>
    <w:p>
      <w:pPr>
        <w:pStyle w:val="ListBullet"/>
        <w:spacing w:after="40"/>
      </w:pPr>
      <w:r>
        <w:t>CTA examples: Work With Yvonne; Explore LeadHER CRE; Join The Commercial Pivot; Request Sponsorship Info; Book Yvonne to Speak.</w:t>
      </w:r>
    </w:p>
    <w:p>
      <w:pPr>
        <w:pStyle w:val="ListBullet"/>
        <w:spacing w:after="40"/>
      </w:pPr>
      <w:r>
        <w:t>Service intro: Strategic advisory for owners, investors, tenants, and leaders navigating complex commercial real estate decisions.</w:t>
      </w:r>
    </w:p>
    <w:p>
      <w:pPr>
        <w:pStyle w:val="ListBullet"/>
        <w:spacing w:after="40"/>
      </w:pPr>
      <w:r>
        <w:t>Closing line: Built for bigger rooms, bigger deals, and stronger communities.</w:t>
      </w:r>
    </w:p>
    <w:p>
      <w:pPr>
        <w:pStyle w:val="Heading1"/>
      </w:pPr>
      <w:r>
        <w:t>8. Frontend Build Notes</w:t>
      </w:r>
    </w:p>
    <w:p>
      <w:pPr>
        <w:pStyle w:val="ListBullet"/>
        <w:spacing w:after="40"/>
      </w:pPr>
      <w:r>
        <w:t>Design should be easy to implement in Webflow, Framer, or a React/Tailwind frontend.</w:t>
      </w:r>
    </w:p>
    <w:p>
      <w:pPr>
        <w:pStyle w:val="ListBullet"/>
        <w:spacing w:after="40"/>
      </w:pPr>
      <w:r>
        <w:t>Use reusable CMS-friendly components for events, insights, case studies, and service cards.</w:t>
      </w:r>
    </w:p>
    <w:p>
      <w:pPr>
        <w:pStyle w:val="ListBullet"/>
        <w:spacing w:after="40"/>
      </w:pPr>
      <w:r>
        <w:t>Mobile design must preserve premium feel, not collapse into generic stacked blocks.</w:t>
      </w:r>
    </w:p>
    <w:p>
      <w:pPr>
        <w:pStyle w:val="ListBullet"/>
        <w:spacing w:after="40"/>
      </w:pPr>
      <w:r>
        <w:t>Accessibility should include strong contrast, large tap targets, clear form labels, keyboard navigation, and meaningful alt text.</w:t>
      </w:r>
    </w:p>
    <w:p>
      <w:pPr>
        <w:pStyle w:val="ListBullet"/>
        <w:spacing w:after="40"/>
      </w:pPr>
      <w:r>
        <w:t>Keep page speed in mind: use optimized imagery, limited heavy animation, and clean section architecture.</w:t>
      </w:r>
    </w:p>
    <w:sectPr w:rsidR="00FC693F" w:rsidRPr="0006063C" w:rsidSect="00034616">
      <w:footerReference w:type="default" r:id="rId9"/>
      <w:pgSz w:w="12240" w:h="15840"/>
      <w:pgMar w:top="936" w:right="1037" w:bottom="936" w:left="1037" w:header="720" w:footer="720" w:gutter="0"/>
      <w:cols w:space="720"/>
      <w:docGrid w:linePitch="360"/>
      <w:pgBorders w:offsetFrom="page">
        <w:top w:val="single" w:sz="8" w:space="18" w:color="102A43"/>
        <w:left w:val="single" w:sz="8" w:space="18" w:color="102A43"/>
        <w:bottom w:val="single" w:sz="8" w:space="18" w:color="102A43"/>
        <w:right w:val="single" w:sz="8" w:space="18" w:color="102A4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Design Frontend Brief | Yvonne Spencer + LeadHER CRE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B2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266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02A4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259" w:right="259"/>
    </w:pPr>
    <w:rPr>
      <w:rFonts w:ascii="Aptos" w:hAnsi="Aptos"/>
      <w:color w:val="2B2F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