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187A" w14:textId="3012C1FD" w:rsidR="002C0072" w:rsidRDefault="002C0072" w:rsidP="004A27EA">
      <w:pPr>
        <w:tabs>
          <w:tab w:val="left" w:pos="4044"/>
        </w:tabs>
        <w:spacing w:line="276" w:lineRule="auto"/>
        <w:rPr>
          <w:b/>
          <w:bCs/>
        </w:rPr>
      </w:pPr>
      <w:r w:rsidRPr="002C0072">
        <w:rPr>
          <w:b/>
          <w:bCs/>
          <w:highlight w:val="yellow"/>
        </w:rPr>
        <w:t>Note to Michelle: the images shown in the article are Spade House and Spade House 2.</w:t>
      </w:r>
    </w:p>
    <w:p w14:paraId="2B9069CE" w14:textId="77777777" w:rsidR="002C0072" w:rsidRDefault="002C0072" w:rsidP="004A27EA">
      <w:pPr>
        <w:tabs>
          <w:tab w:val="left" w:pos="4044"/>
        </w:tabs>
        <w:spacing w:line="276" w:lineRule="auto"/>
        <w:rPr>
          <w:b/>
          <w:bCs/>
        </w:rPr>
      </w:pPr>
    </w:p>
    <w:p w14:paraId="0242E44C" w14:textId="0839C6E8" w:rsidR="00A868D5" w:rsidRDefault="00A868D5" w:rsidP="004A27EA">
      <w:pPr>
        <w:tabs>
          <w:tab w:val="left" w:pos="4044"/>
        </w:tabs>
        <w:spacing w:line="276" w:lineRule="auto"/>
        <w:rPr>
          <w:b/>
          <w:bCs/>
        </w:rPr>
      </w:pPr>
      <w:r>
        <w:rPr>
          <w:b/>
          <w:bCs/>
        </w:rPr>
        <w:t>Herbert George Wells (H.G Wells) (1866-1946)</w:t>
      </w:r>
    </w:p>
    <w:p w14:paraId="5805E337" w14:textId="74EA9D5A" w:rsidR="00A868D5" w:rsidRDefault="00A868D5" w:rsidP="004A27EA">
      <w:pPr>
        <w:tabs>
          <w:tab w:val="left" w:pos="4044"/>
        </w:tabs>
        <w:spacing w:line="276" w:lineRule="auto"/>
        <w:rPr>
          <w:b/>
          <w:bCs/>
        </w:rPr>
      </w:pPr>
    </w:p>
    <w:p w14:paraId="67A386DF" w14:textId="5E5BA4C7" w:rsidR="00A868D5" w:rsidRDefault="006B1D9E" w:rsidP="004A27EA">
      <w:pPr>
        <w:tabs>
          <w:tab w:val="left" w:pos="4044"/>
        </w:tabs>
        <w:spacing w:line="276" w:lineRule="auto"/>
      </w:pPr>
      <w:r>
        <w:rPr>
          <w:b/>
          <w:bCs/>
        </w:rPr>
        <w:t xml:space="preserve">Publications of Interest: </w:t>
      </w:r>
      <w:r w:rsidR="004A27EA">
        <w:rPr>
          <w:b/>
          <w:bCs/>
        </w:rPr>
        <w:t>_</w:t>
      </w:r>
      <w:r w:rsidRPr="006B1D9E">
        <w:rPr>
          <w:i/>
          <w:iCs/>
        </w:rPr>
        <w:t>The Sea Lady</w:t>
      </w:r>
      <w:r w:rsidR="004A27EA">
        <w:t>_</w:t>
      </w:r>
      <w:r>
        <w:t xml:space="preserve"> (1902), </w:t>
      </w:r>
      <w:r w:rsidR="004A27EA">
        <w:rPr>
          <w:b/>
          <w:bCs/>
        </w:rPr>
        <w:t>_</w:t>
      </w:r>
      <w:r w:rsidRPr="006B1D9E">
        <w:rPr>
          <w:i/>
          <w:iCs/>
        </w:rPr>
        <w:t>Kipps</w:t>
      </w:r>
      <w:r w:rsidR="004A27EA">
        <w:rPr>
          <w:b/>
          <w:bCs/>
        </w:rPr>
        <w:t>_</w:t>
      </w:r>
      <w:r>
        <w:rPr>
          <w:i/>
          <w:iCs/>
        </w:rPr>
        <w:t xml:space="preserve"> </w:t>
      </w:r>
      <w:r>
        <w:t xml:space="preserve">(1905) and </w:t>
      </w:r>
      <w:r w:rsidR="004A27EA">
        <w:rPr>
          <w:b/>
          <w:bCs/>
        </w:rPr>
        <w:t>_</w:t>
      </w:r>
      <w:r>
        <w:rPr>
          <w:i/>
          <w:iCs/>
        </w:rPr>
        <w:t>The History of Mr. Polly</w:t>
      </w:r>
      <w:r w:rsidR="004A27EA">
        <w:rPr>
          <w:b/>
          <w:bCs/>
        </w:rPr>
        <w:t>_</w:t>
      </w:r>
      <w:r>
        <w:rPr>
          <w:i/>
          <w:iCs/>
        </w:rPr>
        <w:t xml:space="preserve"> </w:t>
      </w:r>
      <w:r>
        <w:t>(1910)</w:t>
      </w:r>
    </w:p>
    <w:p w14:paraId="4C57258D" w14:textId="6E166AAB" w:rsidR="006B1D9E" w:rsidRDefault="006B1D9E" w:rsidP="004A27EA">
      <w:pPr>
        <w:tabs>
          <w:tab w:val="left" w:pos="4044"/>
        </w:tabs>
        <w:spacing w:line="276" w:lineRule="auto"/>
      </w:pPr>
    </w:p>
    <w:p w14:paraId="6F50784B" w14:textId="3C595C2C" w:rsidR="00A868D5" w:rsidRPr="00846F91" w:rsidRDefault="006B1D9E" w:rsidP="004A27EA">
      <w:pPr>
        <w:tabs>
          <w:tab w:val="left" w:pos="4044"/>
        </w:tabs>
        <w:spacing w:line="276" w:lineRule="auto"/>
      </w:pPr>
      <w:r w:rsidRPr="006B1D9E">
        <w:rPr>
          <w:b/>
          <w:bCs/>
        </w:rPr>
        <w:t>Places</w:t>
      </w:r>
      <w:r>
        <w:rPr>
          <w:b/>
          <w:bCs/>
        </w:rPr>
        <w:t xml:space="preserve">: </w:t>
      </w:r>
      <w:r>
        <w:t>Sandgate, Folkestone, Aldington, Ramsgate</w:t>
      </w:r>
      <w:r w:rsidR="004A2419">
        <w:t>, Canterbury</w:t>
      </w:r>
    </w:p>
    <w:p w14:paraId="627E516C" w14:textId="18E2D435" w:rsidR="00A868D5" w:rsidRPr="004E07DF" w:rsidRDefault="00A868D5" w:rsidP="004A27EA">
      <w:pPr>
        <w:tabs>
          <w:tab w:val="left" w:pos="4044"/>
        </w:tabs>
        <w:spacing w:line="276" w:lineRule="auto"/>
      </w:pPr>
    </w:p>
    <w:p w14:paraId="202F2214" w14:textId="0A09E57D" w:rsidR="004E07DF" w:rsidRDefault="004E07DF" w:rsidP="004A27EA">
      <w:pPr>
        <w:spacing w:line="276" w:lineRule="auto"/>
      </w:pPr>
      <w:r>
        <w:t>“</w:t>
      </w:r>
      <w:r w:rsidRPr="004E07DF">
        <w:t>This bus it was, this ruddy, venerable and immortal bus, that came down the Folkestone hill with unflinching deliberation, and trundled through Sandgate and Hythe, and out into the windy spaces of the</w:t>
      </w:r>
      <w:r>
        <w:t xml:space="preserve"> </w:t>
      </w:r>
      <w:r w:rsidRPr="004E07DF">
        <w:t>Marsh, with Kipps and all his fortunes on its brow</w:t>
      </w:r>
      <w:r>
        <w:t xml:space="preserve">.” </w:t>
      </w:r>
    </w:p>
    <w:p w14:paraId="7D6860BD" w14:textId="1593D881" w:rsidR="004E07DF" w:rsidRDefault="004A27EA" w:rsidP="004A27EA">
      <w:pPr>
        <w:spacing w:line="276" w:lineRule="auto"/>
      </w:pPr>
      <w:r>
        <w:rPr>
          <w:b/>
          <w:bCs/>
        </w:rPr>
        <w:t>_</w:t>
      </w:r>
      <w:r w:rsidRPr="006B1D9E">
        <w:rPr>
          <w:i/>
          <w:iCs/>
        </w:rPr>
        <w:t>Kipps</w:t>
      </w:r>
      <w:r>
        <w:rPr>
          <w:b/>
          <w:bCs/>
        </w:rPr>
        <w:t>_</w:t>
      </w:r>
    </w:p>
    <w:p w14:paraId="055997D6" w14:textId="20345B7E" w:rsidR="00073E84" w:rsidRDefault="00073E84" w:rsidP="004A27EA">
      <w:pPr>
        <w:spacing w:line="276" w:lineRule="auto"/>
        <w:rPr>
          <w:b/>
          <w:bCs/>
        </w:rPr>
      </w:pPr>
    </w:p>
    <w:p w14:paraId="2337F5B0" w14:textId="7BF070CE" w:rsidR="00073E84" w:rsidRDefault="00073E84" w:rsidP="004A27EA">
      <w:pPr>
        <w:spacing w:line="276" w:lineRule="auto"/>
        <w:rPr>
          <w:b/>
          <w:bCs/>
        </w:rPr>
      </w:pPr>
    </w:p>
    <w:p w14:paraId="236DD1D5" w14:textId="3D301211" w:rsidR="00281D81" w:rsidRDefault="00281D81" w:rsidP="004A27EA">
      <w:pPr>
        <w:spacing w:line="276" w:lineRule="auto"/>
        <w:rPr>
          <w:b/>
          <w:bCs/>
        </w:rPr>
      </w:pPr>
    </w:p>
    <w:p w14:paraId="7E79AB6D" w14:textId="13B2DD6E" w:rsidR="00134724" w:rsidRPr="006862C2" w:rsidRDefault="00DD3385" w:rsidP="004A27EA">
      <w:pPr>
        <w:spacing w:line="276" w:lineRule="auto"/>
      </w:pPr>
      <w:r>
        <w:rPr>
          <w:noProof/>
        </w:rPr>
        <w:drawing>
          <wp:anchor distT="0" distB="0" distL="114300" distR="114300" simplePos="0" relativeHeight="251658240" behindDoc="0" locked="0" layoutInCell="1" allowOverlap="1" wp14:anchorId="6A2DC3EE" wp14:editId="6D9C6E43">
            <wp:simplePos x="0" y="0"/>
            <wp:positionH relativeFrom="margin">
              <wp:posOffset>2598420</wp:posOffset>
            </wp:positionH>
            <wp:positionV relativeFrom="margin">
              <wp:posOffset>4724400</wp:posOffset>
            </wp:positionV>
            <wp:extent cx="2943860" cy="1851660"/>
            <wp:effectExtent l="0" t="0" r="2540" b="2540"/>
            <wp:wrapSquare wrapText="bothSides"/>
            <wp:docPr id="4" name="Picture 4" descr="A vintage photo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BE573C-7B87-4EE8-8E19-AEC387A7580B.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860" cy="1851660"/>
                    </a:xfrm>
                    <a:prstGeom prst="rect">
                      <a:avLst/>
                    </a:prstGeom>
                  </pic:spPr>
                </pic:pic>
              </a:graphicData>
            </a:graphic>
            <wp14:sizeRelH relativeFrom="margin">
              <wp14:pctWidth>0</wp14:pctWidth>
            </wp14:sizeRelH>
            <wp14:sizeRelV relativeFrom="margin">
              <wp14:pctHeight>0</wp14:pctHeight>
            </wp14:sizeRelV>
          </wp:anchor>
        </w:drawing>
      </w:r>
      <w:r w:rsidR="00281D81">
        <w:t xml:space="preserve">When Wells’ doctor Henry Hick suggested he move to the </w:t>
      </w:r>
      <w:r w:rsidR="00C33ED7">
        <w:t>S</w:t>
      </w:r>
      <w:r w:rsidR="00EE7980">
        <w:t>outh-</w:t>
      </w:r>
      <w:r w:rsidR="00C33ED7">
        <w:t>E</w:t>
      </w:r>
      <w:r w:rsidR="00EE7980">
        <w:t xml:space="preserve">ast </w:t>
      </w:r>
      <w:r w:rsidR="00281D81">
        <w:t>coast</w:t>
      </w:r>
      <w:r w:rsidR="00EE7980">
        <w:t xml:space="preserve"> of England a new chapter in his literary life began.</w:t>
      </w:r>
      <w:r w:rsidR="00C33ED7">
        <w:t xml:space="preserve"> Wells and his wife Jane stayed at The Swan in Hythe and The Homestead in Sandgate for a short period before </w:t>
      </w:r>
      <w:r w:rsidR="00214FEA">
        <w:t>renti</w:t>
      </w:r>
      <w:r w:rsidR="00D31325">
        <w:t xml:space="preserve">ng </w:t>
      </w:r>
      <w:r w:rsidR="00C33ED7">
        <w:t>Beach Cottage on the coast of Sandgate.</w:t>
      </w:r>
      <w:r w:rsidR="006F2E14">
        <w:t xml:space="preserve"> </w:t>
      </w:r>
      <w:r w:rsidR="00214FEA">
        <w:t>In March 1899 Wells and Jane moved to Arnold House (also on the Sandgate coast), whilst their new home was being built.</w:t>
      </w:r>
      <w:r w:rsidR="00D31325">
        <w:t xml:space="preserve"> Both Beach Cottage (now known as Granville Cottage) and</w:t>
      </w:r>
      <w:r w:rsidR="00214FEA">
        <w:t xml:space="preserve"> Arnold House </w:t>
      </w:r>
      <w:r w:rsidR="00D31325">
        <w:t xml:space="preserve">(now known as </w:t>
      </w:r>
      <w:r w:rsidR="00214FEA">
        <w:t>20 Castle Road</w:t>
      </w:r>
      <w:r w:rsidR="00D31325">
        <w:t>)</w:t>
      </w:r>
      <w:r w:rsidR="00214FEA">
        <w:t xml:space="preserve"> </w:t>
      </w:r>
      <w:r w:rsidR="00D31325">
        <w:t>have plaques to commemorate Wells.</w:t>
      </w:r>
      <w:r w:rsidR="00776FBB">
        <w:t xml:space="preserve"> </w:t>
      </w:r>
      <w:r w:rsidR="00AA57D5">
        <w:rPr>
          <w:color w:val="000000" w:themeColor="text1"/>
        </w:rPr>
        <w:t xml:space="preserve">Wells and Jane moved into the completed Spade House (now Wells House Nursing Home) in December 1900. </w:t>
      </w:r>
      <w:r w:rsidR="00D436B1">
        <w:t>Wells had many connections to authors who spent time</w:t>
      </w:r>
      <w:r w:rsidR="00AA57D5">
        <w:t xml:space="preserve"> in</w:t>
      </w:r>
      <w:r w:rsidR="00D436B1">
        <w:t xml:space="preserve"> and wr</w:t>
      </w:r>
      <w:r w:rsidR="00F31242">
        <w:t>ote</w:t>
      </w:r>
      <w:r w:rsidR="00D436B1">
        <w:t xml:space="preserve"> about Kent. </w:t>
      </w:r>
      <w:r w:rsidR="001C581B">
        <w:t>Around 1</w:t>
      </w:r>
      <w:r w:rsidR="00D436B1">
        <w:t xml:space="preserve">898 </w:t>
      </w:r>
      <w:r w:rsidR="00776FBB">
        <w:t>Joseph Conrad moved near Hythe and the two authors became acquainted</w:t>
      </w:r>
      <w:r w:rsidR="00D436B1">
        <w:t>. In 1901</w:t>
      </w:r>
      <w:r w:rsidR="00776FBB">
        <w:t xml:space="preserve"> </w:t>
      </w:r>
      <w:r w:rsidR="00D436B1">
        <w:t>T.S Eliot wrote a review for Wells</w:t>
      </w:r>
      <w:r w:rsidR="00AA57D5">
        <w:t>’</w:t>
      </w:r>
      <w:r w:rsidR="00D436B1">
        <w:t xml:space="preserve"> novel </w:t>
      </w:r>
      <w:r w:rsidR="004A27EA">
        <w:t>_</w:t>
      </w:r>
      <w:r w:rsidR="00D436B1" w:rsidRPr="00D436B1">
        <w:rPr>
          <w:i/>
          <w:iCs/>
        </w:rPr>
        <w:t>The</w:t>
      </w:r>
      <w:r w:rsidR="00002E6E">
        <w:rPr>
          <w:i/>
          <w:iCs/>
        </w:rPr>
        <w:t xml:space="preserve"> First</w:t>
      </w:r>
      <w:r w:rsidR="00D436B1" w:rsidRPr="00D436B1">
        <w:rPr>
          <w:i/>
          <w:iCs/>
        </w:rPr>
        <w:t xml:space="preserve"> M</w:t>
      </w:r>
      <w:r w:rsidR="00002E6E">
        <w:rPr>
          <w:i/>
          <w:iCs/>
        </w:rPr>
        <w:t>e</w:t>
      </w:r>
      <w:r w:rsidR="00D436B1" w:rsidRPr="00D436B1">
        <w:rPr>
          <w:i/>
          <w:iCs/>
        </w:rPr>
        <w:t>n in the Moon</w:t>
      </w:r>
      <w:r w:rsidR="004A27EA">
        <w:t>_</w:t>
      </w:r>
      <w:r w:rsidR="00D436B1">
        <w:t xml:space="preserve">. Wells also dined, in March 1902, with Winston Churchill. But perhaps his most influential connection was to the illegitimate daughter of </w:t>
      </w:r>
      <w:r w:rsidR="003C1BB0">
        <w:t xml:space="preserve">the late </w:t>
      </w:r>
      <w:r w:rsidR="00D436B1">
        <w:t>J.F Nisbet</w:t>
      </w:r>
      <w:r w:rsidR="003C1BB0">
        <w:t>. Wells offered to fund her schooling and during a trip to the family home in Sandgate she became</w:t>
      </w:r>
      <w:r w:rsidR="00D436B1">
        <w:t xml:space="preserve"> the inspiration behind </w:t>
      </w:r>
      <w:r w:rsidR="004A27EA">
        <w:t>_</w:t>
      </w:r>
      <w:r w:rsidR="00D436B1" w:rsidRPr="006231C9">
        <w:rPr>
          <w:i/>
          <w:iCs/>
        </w:rPr>
        <w:t>The Sea Lady</w:t>
      </w:r>
      <w:r w:rsidR="004A27EA">
        <w:t>_</w:t>
      </w:r>
      <w:r w:rsidR="00D436B1">
        <w:t>.</w:t>
      </w:r>
      <w:r w:rsidR="006F2E14">
        <w:rPr>
          <w:rStyle w:val="FootnoteReference"/>
        </w:rPr>
        <w:footnoteReference w:id="1"/>
      </w:r>
      <w:r w:rsidR="00776FBB">
        <w:t xml:space="preserve"> </w:t>
      </w:r>
      <w:r w:rsidR="00DB7815">
        <w:t xml:space="preserve"> </w:t>
      </w:r>
      <w:r w:rsidR="00DB7815">
        <w:rPr>
          <w:color w:val="FF0000"/>
        </w:rPr>
        <w:t xml:space="preserve"> </w:t>
      </w:r>
    </w:p>
    <w:p w14:paraId="05FDA95D" w14:textId="77777777" w:rsidR="00134724" w:rsidRDefault="00134724" w:rsidP="004A27EA">
      <w:pPr>
        <w:spacing w:line="276" w:lineRule="auto"/>
      </w:pPr>
    </w:p>
    <w:p w14:paraId="1CF6E98D" w14:textId="0D5A1CBD" w:rsidR="003D79A1" w:rsidRDefault="0018118B" w:rsidP="004A27EA">
      <w:pPr>
        <w:spacing w:line="276" w:lineRule="auto"/>
      </w:pPr>
      <w:r>
        <w:t xml:space="preserve">In 1901 </w:t>
      </w:r>
      <w:r w:rsidR="004A27EA">
        <w:t>_</w:t>
      </w:r>
      <w:r w:rsidRPr="005717E3">
        <w:rPr>
          <w:i/>
          <w:iCs/>
        </w:rPr>
        <w:t>The Sea Lady</w:t>
      </w:r>
      <w:r w:rsidR="004A27EA">
        <w:t>_</w:t>
      </w:r>
      <w:r>
        <w:rPr>
          <w:i/>
          <w:iCs/>
        </w:rPr>
        <w:t xml:space="preserve"> </w:t>
      </w:r>
      <w:r>
        <w:t xml:space="preserve">was published in </w:t>
      </w:r>
      <w:r w:rsidR="004A27EA">
        <w:t>_</w:t>
      </w:r>
      <w:r w:rsidRPr="005717E3">
        <w:rPr>
          <w:i/>
          <w:iCs/>
        </w:rPr>
        <w:t>Pearson’s Magazine</w:t>
      </w:r>
      <w:r w:rsidR="004A27EA">
        <w:t>_</w:t>
      </w:r>
      <w:r>
        <w:t xml:space="preserve"> and then published as a book in 1902.</w:t>
      </w:r>
      <w:r>
        <w:rPr>
          <w:rStyle w:val="FootnoteReference"/>
        </w:rPr>
        <w:footnoteReference w:id="2"/>
      </w:r>
      <w:r>
        <w:t xml:space="preserve"> The novel </w:t>
      </w:r>
      <w:r w:rsidR="00A15BD3">
        <w:t>tells the story of a mermaid washed ashore in Sandgate</w:t>
      </w:r>
      <w:r w:rsidR="00834BB6">
        <w:t xml:space="preserve"> </w:t>
      </w:r>
      <w:r w:rsidR="000F26AA">
        <w:t>who is</w:t>
      </w:r>
      <w:r w:rsidR="00AF0A28">
        <w:t xml:space="preserve"> </w:t>
      </w:r>
      <w:r w:rsidR="00834BB6">
        <w:t xml:space="preserve">taken in by a wealthy family. </w:t>
      </w:r>
      <w:r w:rsidR="00F052C5">
        <w:t xml:space="preserve">After becoming well known to the town and creating </w:t>
      </w:r>
      <w:r w:rsidR="005717E3">
        <w:t>the</w:t>
      </w:r>
      <w:r w:rsidR="00F052C5">
        <w:t xml:space="preserve"> myth </w:t>
      </w:r>
      <w:r w:rsidR="00F052C5">
        <w:lastRenderedPageBreak/>
        <w:t xml:space="preserve">of wanting to integrate into society, her real motives become clear – to seduce Harry </w:t>
      </w:r>
      <w:proofErr w:type="spellStart"/>
      <w:r w:rsidR="00B12B9B">
        <w:t>Chatteris</w:t>
      </w:r>
      <w:proofErr w:type="spellEnd"/>
      <w:r w:rsidR="00C33FCD">
        <w:t>.</w:t>
      </w:r>
    </w:p>
    <w:p w14:paraId="399D3E3B" w14:textId="60692271" w:rsidR="00B6660B" w:rsidRDefault="00B6660B" w:rsidP="004A27EA">
      <w:pPr>
        <w:spacing w:line="276" w:lineRule="auto"/>
      </w:pPr>
    </w:p>
    <w:p w14:paraId="3C5B2E0E" w14:textId="01754034" w:rsidR="00B6660B" w:rsidRDefault="00B6660B" w:rsidP="004A27EA">
      <w:pPr>
        <w:spacing w:line="276" w:lineRule="auto"/>
      </w:pPr>
      <w:r>
        <w:t>During 1901 Wells embarked on a cycling tour of Kent</w:t>
      </w:r>
      <w:r w:rsidR="00AD7175">
        <w:t xml:space="preserve">, visiting Hill farm in Aldington to focus </w:t>
      </w:r>
      <w:r w:rsidR="00C33FCD">
        <w:t xml:space="preserve">on his </w:t>
      </w:r>
      <w:r w:rsidR="00AD7175">
        <w:t xml:space="preserve">writing and then </w:t>
      </w:r>
      <w:r w:rsidR="00C33FCD">
        <w:t xml:space="preserve">on </w:t>
      </w:r>
      <w:r w:rsidR="00AD7175">
        <w:t>to Ramsgate.</w:t>
      </w:r>
      <w:r w:rsidR="00BB262F">
        <w:rPr>
          <w:rStyle w:val="FootnoteReference"/>
        </w:rPr>
        <w:footnoteReference w:id="3"/>
      </w:r>
      <w:r w:rsidR="00AD7175">
        <w:t xml:space="preserve"> </w:t>
      </w:r>
      <w:r w:rsidR="00F141D1">
        <w:t>A few years later in 1904</w:t>
      </w:r>
      <w:r w:rsidR="004731FF">
        <w:t xml:space="preserve"> Wells completed</w:t>
      </w:r>
      <w:r w:rsidR="00F141D1">
        <w:t xml:space="preserve"> his novel</w:t>
      </w:r>
      <w:r w:rsidR="004731FF" w:rsidRPr="004731FF">
        <w:rPr>
          <w:i/>
          <w:iCs/>
        </w:rPr>
        <w:t xml:space="preserve"> </w:t>
      </w:r>
      <w:r w:rsidR="004A27EA">
        <w:t>_</w:t>
      </w:r>
      <w:r w:rsidR="004731FF" w:rsidRPr="004731FF">
        <w:rPr>
          <w:i/>
          <w:iCs/>
        </w:rPr>
        <w:t>Kipps</w:t>
      </w:r>
      <w:r w:rsidR="004A27EA">
        <w:t>_</w:t>
      </w:r>
      <w:r w:rsidR="004731FF">
        <w:rPr>
          <w:i/>
          <w:iCs/>
        </w:rPr>
        <w:t xml:space="preserve"> </w:t>
      </w:r>
      <w:r w:rsidR="004731FF">
        <w:t xml:space="preserve">which was published in 1905. </w:t>
      </w:r>
      <w:r w:rsidR="004A27EA">
        <w:t>_</w:t>
      </w:r>
      <w:r w:rsidR="004A27EA" w:rsidRPr="004731FF">
        <w:rPr>
          <w:i/>
          <w:iCs/>
        </w:rPr>
        <w:t>Kipps</w:t>
      </w:r>
      <w:proofErr w:type="gramStart"/>
      <w:r w:rsidR="004A27EA">
        <w:t>_</w:t>
      </w:r>
      <w:r w:rsidR="004A27EA">
        <w:rPr>
          <w:i/>
          <w:iCs/>
        </w:rPr>
        <w:t xml:space="preserve"> </w:t>
      </w:r>
      <w:r w:rsidR="004A27EA">
        <w:rPr>
          <w:i/>
          <w:iCs/>
        </w:rPr>
        <w:t>,</w:t>
      </w:r>
      <w:proofErr w:type="gramEnd"/>
      <w:r w:rsidR="000122B0">
        <w:rPr>
          <w:i/>
          <w:iCs/>
        </w:rPr>
        <w:t xml:space="preserve"> </w:t>
      </w:r>
      <w:r w:rsidR="000122B0">
        <w:t>based mainly in Folkestone,</w:t>
      </w:r>
      <w:r w:rsidR="00DB3349">
        <w:rPr>
          <w:i/>
          <w:iCs/>
        </w:rPr>
        <w:t xml:space="preserve"> </w:t>
      </w:r>
      <w:r w:rsidR="00DB3349">
        <w:t>is the rags</w:t>
      </w:r>
      <w:r w:rsidR="00577C29">
        <w:t>-</w:t>
      </w:r>
      <w:r w:rsidR="00DB3349">
        <w:t>to</w:t>
      </w:r>
      <w:r w:rsidR="00577C29">
        <w:t>-</w:t>
      </w:r>
      <w:r w:rsidR="00DB3349">
        <w:t>riches story of Kipps, a draper</w:t>
      </w:r>
      <w:r w:rsidR="0017421F">
        <w:t>’</w:t>
      </w:r>
      <w:r w:rsidR="00DB3349">
        <w:t>s assistant (the inspiration arguably from Wells</w:t>
      </w:r>
      <w:r w:rsidR="0017421F">
        <w:t>’</w:t>
      </w:r>
      <w:r w:rsidR="00DB3349">
        <w:t xml:space="preserve"> own experience</w:t>
      </w:r>
      <w:r w:rsidR="0017421F">
        <w:t xml:space="preserve"> as an apprentice at</w:t>
      </w:r>
      <w:r w:rsidR="00DB3349">
        <w:t xml:space="preserve"> the family drapery</w:t>
      </w:r>
      <w:r w:rsidR="00DB3349">
        <w:rPr>
          <w:rStyle w:val="FootnoteReference"/>
        </w:rPr>
        <w:footnoteReference w:id="4"/>
      </w:r>
      <w:r w:rsidR="00DB3349">
        <w:t>)</w:t>
      </w:r>
      <w:r w:rsidR="006978E4">
        <w:t>,</w:t>
      </w:r>
      <w:r w:rsidR="00DB3349">
        <w:t xml:space="preserve"> who received a large</w:t>
      </w:r>
      <w:r w:rsidR="003F138D">
        <w:t>, su</w:t>
      </w:r>
      <w:r w:rsidR="00B450C8">
        <w:t>r</w:t>
      </w:r>
      <w:r w:rsidR="003F138D">
        <w:t>prise</w:t>
      </w:r>
      <w:r w:rsidR="00DB3349">
        <w:t xml:space="preserve"> inheritance. </w:t>
      </w:r>
      <w:r w:rsidR="006978E4">
        <w:t>With his new</w:t>
      </w:r>
      <w:r w:rsidR="004072A0">
        <w:t>-</w:t>
      </w:r>
      <w:r w:rsidR="006978E4">
        <w:t>found wealth h</w:t>
      </w:r>
      <w:r w:rsidR="0017421F">
        <w:t>e is accepted into the high</w:t>
      </w:r>
      <w:r w:rsidR="004A27EA">
        <w:t>er</w:t>
      </w:r>
      <w:r w:rsidR="0017421F">
        <w:t xml:space="preserve"> classes of Folkestone but finds himself struggling to integrate. </w:t>
      </w:r>
      <w:r w:rsidR="00917603">
        <w:t xml:space="preserve">One scene shows Kipps desperately trying to educate himself in the </w:t>
      </w:r>
      <w:r w:rsidR="00917603" w:rsidRPr="00917603">
        <w:rPr>
          <w:highlight w:val="yellow"/>
        </w:rPr>
        <w:t xml:space="preserve">[local </w:t>
      </w:r>
      <w:proofErr w:type="gramStart"/>
      <w:r w:rsidR="00917603" w:rsidRPr="00917603">
        <w:rPr>
          <w:highlight w:val="yellow"/>
        </w:rPr>
        <w:t>library](</w:t>
      </w:r>
      <w:proofErr w:type="gramEnd"/>
      <w:r w:rsidR="00917603" w:rsidRPr="00917603">
        <w:rPr>
          <w:highlight w:val="yellow"/>
        </w:rPr>
        <w:t>link to 19C Folkestone Free Library)</w:t>
      </w:r>
      <w:r w:rsidR="00917603">
        <w:t xml:space="preserve">. </w:t>
      </w:r>
      <w:r w:rsidR="004072A0">
        <w:t>This comic novel’s critics have claimed it has</w:t>
      </w:r>
      <w:r w:rsidR="00605B33">
        <w:t xml:space="preserve"> autobiographical moments</w:t>
      </w:r>
      <w:r w:rsidR="004072A0">
        <w:t xml:space="preserve"> and a sense of Wells’ own life.</w:t>
      </w:r>
      <w:r w:rsidR="004072A0">
        <w:rPr>
          <w:rStyle w:val="FootnoteReference"/>
        </w:rPr>
        <w:footnoteReference w:id="5"/>
      </w:r>
      <w:r w:rsidR="00ED1FE3">
        <w:t xml:space="preserve"> </w:t>
      </w:r>
    </w:p>
    <w:p w14:paraId="66024DF6" w14:textId="7983F9D4" w:rsidR="00806E3F" w:rsidRDefault="00806E3F" w:rsidP="004A27EA">
      <w:pPr>
        <w:spacing w:line="276" w:lineRule="auto"/>
      </w:pPr>
    </w:p>
    <w:p w14:paraId="0213D091" w14:textId="277B8FD8" w:rsidR="00E04733" w:rsidRDefault="00DD3385" w:rsidP="004A27EA">
      <w:pPr>
        <w:spacing w:line="276" w:lineRule="auto"/>
      </w:pPr>
      <w:r>
        <w:rPr>
          <w:noProof/>
        </w:rPr>
        <w:drawing>
          <wp:anchor distT="0" distB="0" distL="114300" distR="114300" simplePos="0" relativeHeight="251659264" behindDoc="0" locked="0" layoutInCell="1" allowOverlap="1" wp14:anchorId="60B4FDC1" wp14:editId="035608C9">
            <wp:simplePos x="0" y="0"/>
            <wp:positionH relativeFrom="margin">
              <wp:posOffset>-7620</wp:posOffset>
            </wp:positionH>
            <wp:positionV relativeFrom="margin">
              <wp:posOffset>2834640</wp:posOffset>
            </wp:positionV>
            <wp:extent cx="2933700" cy="1896745"/>
            <wp:effectExtent l="0" t="0" r="0" b="0"/>
            <wp:wrapSquare wrapText="bothSides"/>
            <wp:docPr id="5" name="Picture 5" descr="A vintage photo of an ol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0262B6-D36F-498A-91B9-EC4E0A525E8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0" cy="1896745"/>
                    </a:xfrm>
                    <a:prstGeom prst="rect">
                      <a:avLst/>
                    </a:prstGeom>
                  </pic:spPr>
                </pic:pic>
              </a:graphicData>
            </a:graphic>
            <wp14:sizeRelH relativeFrom="margin">
              <wp14:pctWidth>0</wp14:pctWidth>
            </wp14:sizeRelH>
            <wp14:sizeRelV relativeFrom="margin">
              <wp14:pctHeight>0</wp14:pctHeight>
            </wp14:sizeRelV>
          </wp:anchor>
        </w:drawing>
      </w:r>
      <w:r w:rsidR="00806E3F">
        <w:t>In 1907 Wells’ became a Justice of the Peace for Folkestone</w:t>
      </w:r>
      <w:r w:rsidR="006E61EF">
        <w:t>,</w:t>
      </w:r>
      <w:r w:rsidR="00806E3F">
        <w:rPr>
          <w:rStyle w:val="FootnoteReference"/>
        </w:rPr>
        <w:footnoteReference w:id="6"/>
      </w:r>
      <w:r w:rsidR="00806E3F">
        <w:t xml:space="preserve"> </w:t>
      </w:r>
      <w:r w:rsidR="006E61EF">
        <w:t xml:space="preserve"> received a visit from the author Elizabeth von Armin </w:t>
      </w:r>
      <w:r w:rsidR="006E61EF">
        <w:rPr>
          <w:rStyle w:val="FootnoteReference"/>
        </w:rPr>
        <w:footnoteReference w:id="7"/>
      </w:r>
      <w:r w:rsidR="00577C29">
        <w:t xml:space="preserve"> </w:t>
      </w:r>
      <w:r w:rsidR="00806E3F">
        <w:t xml:space="preserve">and a few years later, in 1910, </w:t>
      </w:r>
      <w:r w:rsidR="000E4584">
        <w:t>published</w:t>
      </w:r>
      <w:r w:rsidR="00806E3F">
        <w:t xml:space="preserve"> his novel </w:t>
      </w:r>
      <w:r w:rsidR="00806E3F" w:rsidRPr="00806E3F">
        <w:rPr>
          <w:i/>
          <w:iCs/>
        </w:rPr>
        <w:t>The History of Mr. Polly</w:t>
      </w:r>
      <w:r w:rsidR="00806E3F">
        <w:t>.</w:t>
      </w:r>
      <w:r w:rsidR="00914B68">
        <w:t xml:space="preserve"> </w:t>
      </w:r>
      <w:r w:rsidR="003F40E9" w:rsidRPr="003F40E9">
        <w:rPr>
          <w:i/>
          <w:iCs/>
        </w:rPr>
        <w:t>The History of Mr. Polly</w:t>
      </w:r>
      <w:r w:rsidR="003F40E9">
        <w:t xml:space="preserve"> </w:t>
      </w:r>
      <w:r w:rsidR="00E52DA2">
        <w:t>is the story of Alfred Polly, a shop keeper in the fictional town of</w:t>
      </w:r>
      <w:r w:rsidR="003F40E9">
        <w:t xml:space="preserve"> Fishbourne in Kent, based on Sandgate.</w:t>
      </w:r>
      <w:r w:rsidR="003F40E9">
        <w:rPr>
          <w:rStyle w:val="FootnoteReference"/>
        </w:rPr>
        <w:footnoteReference w:id="8"/>
      </w:r>
      <w:r w:rsidR="002A68B9">
        <w:t xml:space="preserve"> It retells Mr. Polly’s history</w:t>
      </w:r>
      <w:r w:rsidR="00E52DA2">
        <w:t xml:space="preserve"> and, similar to</w:t>
      </w:r>
      <w:r w:rsidR="002A68B9">
        <w:t xml:space="preserve"> </w:t>
      </w:r>
      <w:r w:rsidR="002A68B9" w:rsidRPr="002A68B9">
        <w:rPr>
          <w:i/>
          <w:iCs/>
        </w:rPr>
        <w:t>Kipps</w:t>
      </w:r>
      <w:r w:rsidR="002A68B9">
        <w:t>, he begins as a draper’s assistant</w:t>
      </w:r>
      <w:r w:rsidR="00E52DA2">
        <w:t>, hanging around with the Three Ps until he eventually</w:t>
      </w:r>
      <w:r w:rsidR="002A68B9">
        <w:t xml:space="preserve"> receives an inheritance from his late father.</w:t>
      </w:r>
      <w:r w:rsidR="004A2419">
        <w:t xml:space="preserve"> </w:t>
      </w:r>
      <w:r w:rsidR="00E52DA2">
        <w:t xml:space="preserve">After </w:t>
      </w:r>
      <w:r w:rsidR="005E7389">
        <w:t xml:space="preserve">this </w:t>
      </w:r>
      <w:r w:rsidR="00E52DA2">
        <w:t>he travels to Canterbury, has a short love affair which ends in heartbreak and settles on marrying Miriam (his first cousin) brin</w:t>
      </w:r>
      <w:r w:rsidR="00E40966">
        <w:t>g</w:t>
      </w:r>
      <w:r w:rsidR="00E52DA2">
        <w:t>ing t</w:t>
      </w:r>
      <w:r w:rsidR="00E40966">
        <w:t>he</w:t>
      </w:r>
      <w:r w:rsidR="00E52DA2">
        <w:t xml:space="preserve"> novel back into the present, revealing the reality of shop-owning life. </w:t>
      </w:r>
      <w:r w:rsidR="00577C29">
        <w:t xml:space="preserve">Similar to </w:t>
      </w:r>
      <w:r w:rsidR="004A27EA">
        <w:t>_</w:t>
      </w:r>
      <w:r w:rsidR="004A27EA" w:rsidRPr="004731FF">
        <w:rPr>
          <w:i/>
          <w:iCs/>
        </w:rPr>
        <w:t>Kipps</w:t>
      </w:r>
      <w:proofErr w:type="gramStart"/>
      <w:r w:rsidR="004A27EA">
        <w:t>_</w:t>
      </w:r>
      <w:r w:rsidR="004A27EA">
        <w:rPr>
          <w:i/>
          <w:iCs/>
        </w:rPr>
        <w:t xml:space="preserve"> </w:t>
      </w:r>
      <w:r w:rsidR="00577C29">
        <w:rPr>
          <w:i/>
          <w:iCs/>
        </w:rPr>
        <w:t xml:space="preserve"> </w:t>
      </w:r>
      <w:r w:rsidR="00577C29">
        <w:t>the</w:t>
      </w:r>
      <w:proofErr w:type="gramEnd"/>
      <w:r w:rsidR="00577C29">
        <w:t xml:space="preserve"> novel feels somewhat autobiographical</w:t>
      </w:r>
      <w:r w:rsidR="003725CE">
        <w:t>, a theme throughout Wells’</w:t>
      </w:r>
      <w:r w:rsidR="002675E1">
        <w:t xml:space="preserve"> </w:t>
      </w:r>
      <w:r w:rsidR="003725CE">
        <w:t xml:space="preserve">writing. </w:t>
      </w:r>
      <w:r w:rsidR="00E40966">
        <w:t xml:space="preserve">Each of the novels Wells wrote while living in Sandgate gives its reader a small glimpse into the history of H.G Wells. </w:t>
      </w:r>
    </w:p>
    <w:p w14:paraId="3847959E" w14:textId="2D43B042" w:rsidR="001E61D9" w:rsidRDefault="001E61D9" w:rsidP="004A27EA">
      <w:pPr>
        <w:spacing w:line="276" w:lineRule="auto"/>
      </w:pPr>
    </w:p>
    <w:p w14:paraId="52047E1A" w14:textId="4ED1750A" w:rsidR="005E1F09" w:rsidRPr="005E1F09" w:rsidRDefault="005E1F09" w:rsidP="004A27EA">
      <w:pPr>
        <w:spacing w:line="276" w:lineRule="auto"/>
        <w:rPr>
          <w:b/>
          <w:bCs/>
        </w:rPr>
      </w:pPr>
    </w:p>
    <w:p w14:paraId="72FECC49" w14:textId="2FD944ED" w:rsidR="004D7510" w:rsidRPr="00547791" w:rsidRDefault="004A4679" w:rsidP="004A27EA">
      <w:pPr>
        <w:spacing w:line="276" w:lineRule="auto"/>
        <w:rPr>
          <w:b/>
          <w:bCs/>
        </w:rPr>
      </w:pPr>
      <w:r w:rsidRPr="00547791">
        <w:rPr>
          <w:b/>
          <w:bCs/>
        </w:rPr>
        <w:t xml:space="preserve">Bibliography </w:t>
      </w:r>
    </w:p>
    <w:p w14:paraId="6AA2B5FA" w14:textId="77777777" w:rsidR="006862C2" w:rsidRDefault="006862C2" w:rsidP="004A27EA">
      <w:pPr>
        <w:spacing w:line="276" w:lineRule="auto"/>
      </w:pPr>
    </w:p>
    <w:p w14:paraId="30BEF87F" w14:textId="15A3BE77" w:rsidR="007274A6" w:rsidRDefault="009E5F46" w:rsidP="004A27EA">
      <w:pPr>
        <w:spacing w:line="276" w:lineRule="auto"/>
      </w:pPr>
      <w:r>
        <w:t xml:space="preserve">Roberts, Adam. </w:t>
      </w:r>
      <w:r w:rsidR="004A27EA">
        <w:t>_</w:t>
      </w:r>
      <w:r w:rsidR="004A27EA" w:rsidRPr="004731FF">
        <w:rPr>
          <w:i/>
          <w:iCs/>
        </w:rPr>
        <w:t>Kipps</w:t>
      </w:r>
      <w:r w:rsidR="004A27EA">
        <w:t>_</w:t>
      </w:r>
      <w:r w:rsidR="004A27EA">
        <w:rPr>
          <w:i/>
          <w:iCs/>
        </w:rPr>
        <w:t xml:space="preserve"> </w:t>
      </w:r>
      <w:r w:rsidRPr="009E5F46">
        <w:rPr>
          <w:i/>
          <w:iCs/>
        </w:rPr>
        <w:t xml:space="preserve">H.G Wells: A literary </w:t>
      </w:r>
      <w:proofErr w:type="spellStart"/>
      <w:r w:rsidRPr="009E5F46">
        <w:rPr>
          <w:i/>
          <w:iCs/>
        </w:rPr>
        <w:t>Life</w:t>
      </w:r>
      <w:r w:rsidR="004A27EA">
        <w:t>_</w:t>
      </w:r>
      <w:r w:rsidR="004A27EA" w:rsidRPr="004731FF">
        <w:rPr>
          <w:i/>
          <w:iCs/>
        </w:rPr>
        <w:t>Kipps</w:t>
      </w:r>
      <w:proofErr w:type="spellEnd"/>
      <w:r w:rsidR="004A27EA">
        <w:t>_</w:t>
      </w:r>
      <w:r w:rsidRPr="009E5F46">
        <w:rPr>
          <w:i/>
          <w:iCs/>
        </w:rPr>
        <w:t>.</w:t>
      </w:r>
      <w:r>
        <w:t xml:space="preserve"> Palgrave Macmillan, 2019. Springer E-books. Accessed 22/06/2020 </w:t>
      </w:r>
      <w:hyperlink r:id="rId10" w:anchor="about" w:history="1">
        <w:r w:rsidR="007274A6" w:rsidRPr="007274A6">
          <w:rPr>
            <w:rStyle w:val="Hyperlink"/>
          </w:rPr>
          <w:t>https://link.springer.com/book/10.1007%2F978-3-030-26421-5#about</w:t>
        </w:r>
      </w:hyperlink>
    </w:p>
    <w:p w14:paraId="5A19AFBB" w14:textId="77777777" w:rsidR="004D7510" w:rsidRPr="007274A6" w:rsidRDefault="004D7510" w:rsidP="004A27EA">
      <w:pPr>
        <w:spacing w:line="276" w:lineRule="auto"/>
      </w:pPr>
    </w:p>
    <w:p w14:paraId="5C13EC69" w14:textId="249555C4" w:rsidR="004D7510" w:rsidRPr="004D7510" w:rsidRDefault="004D7510" w:rsidP="004A27EA">
      <w:pPr>
        <w:spacing w:line="276" w:lineRule="auto"/>
        <w:rPr>
          <w:rFonts w:eastAsia="Times New Roman" w:cstheme="minorHAnsi"/>
          <w:color w:val="000000" w:themeColor="text1"/>
          <w:lang w:eastAsia="en-GB"/>
        </w:rPr>
      </w:pPr>
      <w:r w:rsidRPr="004D7510">
        <w:rPr>
          <w:rFonts w:eastAsia="Times New Roman" w:cstheme="minorHAnsi"/>
          <w:color w:val="000000" w:themeColor="text1"/>
          <w:shd w:val="clear" w:color="auto" w:fill="FFFFFF"/>
          <w:lang w:eastAsia="en-GB"/>
        </w:rPr>
        <w:t xml:space="preserve">Scott, Bonnie </w:t>
      </w:r>
      <w:proofErr w:type="spellStart"/>
      <w:r w:rsidRPr="004D7510">
        <w:rPr>
          <w:rFonts w:eastAsia="Times New Roman" w:cstheme="minorHAnsi"/>
          <w:color w:val="000000" w:themeColor="text1"/>
          <w:shd w:val="clear" w:color="auto" w:fill="FFFFFF"/>
          <w:lang w:eastAsia="en-GB"/>
        </w:rPr>
        <w:t>Kime</w:t>
      </w:r>
      <w:proofErr w:type="spellEnd"/>
      <w:r w:rsidRPr="004D7510">
        <w:rPr>
          <w:rFonts w:eastAsia="Times New Roman" w:cstheme="minorHAnsi"/>
          <w:color w:val="000000" w:themeColor="text1"/>
          <w:shd w:val="clear" w:color="auto" w:fill="FFFFFF"/>
          <w:lang w:eastAsia="en-GB"/>
        </w:rPr>
        <w:t>. “Tracing Garden Networks: Katherine Mansfield and Elizabeth Von Arnim.” </w:t>
      </w:r>
      <w:r w:rsidR="004A27EA">
        <w:t>_</w:t>
      </w:r>
      <w:r w:rsidR="004A27EA" w:rsidRPr="004731FF">
        <w:rPr>
          <w:i/>
          <w:iCs/>
        </w:rPr>
        <w:t>Kipps</w:t>
      </w:r>
      <w:r w:rsidR="004A27EA">
        <w:t>_</w:t>
      </w:r>
      <w:r w:rsidR="004A27EA">
        <w:rPr>
          <w:i/>
          <w:iCs/>
        </w:rPr>
        <w:t xml:space="preserve"> </w:t>
      </w:r>
      <w:r w:rsidRPr="004D7510">
        <w:rPr>
          <w:rFonts w:eastAsia="Times New Roman" w:cstheme="minorHAnsi"/>
          <w:i/>
          <w:iCs/>
          <w:color w:val="000000" w:themeColor="text1"/>
          <w:shd w:val="clear" w:color="auto" w:fill="FFFFFF"/>
          <w:lang w:eastAsia="en-GB"/>
        </w:rPr>
        <w:t xml:space="preserve">Katherine Mansfield and Elizabeth Von </w:t>
      </w:r>
      <w:proofErr w:type="spellStart"/>
      <w:r w:rsidRPr="004D7510">
        <w:rPr>
          <w:rFonts w:eastAsia="Times New Roman" w:cstheme="minorHAnsi"/>
          <w:i/>
          <w:iCs/>
          <w:color w:val="000000" w:themeColor="text1"/>
          <w:shd w:val="clear" w:color="auto" w:fill="FFFFFF"/>
          <w:lang w:eastAsia="en-GB"/>
        </w:rPr>
        <w:t>Arnim</w:t>
      </w:r>
      <w:r w:rsidR="004A27EA">
        <w:t>_</w:t>
      </w:r>
      <w:r w:rsidR="004A27EA" w:rsidRPr="004731FF">
        <w:rPr>
          <w:i/>
          <w:iCs/>
        </w:rPr>
        <w:t>Kipps</w:t>
      </w:r>
      <w:proofErr w:type="spellEnd"/>
      <w:r w:rsidR="004A27EA">
        <w:t>_</w:t>
      </w:r>
      <w:r w:rsidRPr="004D7510">
        <w:rPr>
          <w:rFonts w:eastAsia="Times New Roman" w:cstheme="minorHAnsi"/>
          <w:color w:val="000000" w:themeColor="text1"/>
          <w:shd w:val="clear" w:color="auto" w:fill="FFFFFF"/>
          <w:lang w:eastAsia="en-GB"/>
        </w:rPr>
        <w:t xml:space="preserve">, Edinburgh University Press, 2019. </w:t>
      </w:r>
      <w:r w:rsidRPr="004D7510">
        <w:rPr>
          <w:rFonts w:eastAsia="Times New Roman" w:cstheme="minorHAnsi"/>
          <w:i/>
          <w:iCs/>
          <w:color w:val="000000" w:themeColor="text1"/>
          <w:shd w:val="clear" w:color="auto" w:fill="FFFFFF"/>
          <w:lang w:eastAsia="en-GB"/>
        </w:rPr>
        <w:t>JSTOR</w:t>
      </w:r>
      <w:r w:rsidRPr="004D7510">
        <w:rPr>
          <w:rFonts w:eastAsia="Times New Roman" w:cstheme="minorHAnsi"/>
          <w:color w:val="000000" w:themeColor="text1"/>
          <w:shd w:val="clear" w:color="auto" w:fill="FFFFFF"/>
          <w:lang w:eastAsia="en-GB"/>
        </w:rPr>
        <w:t xml:space="preserve">, Accessed 22/06/2020 </w:t>
      </w:r>
      <w:hyperlink r:id="rId11" w:history="1">
        <w:r w:rsidRPr="004D7510">
          <w:rPr>
            <w:rStyle w:val="Hyperlink"/>
            <w:rFonts w:eastAsia="Times New Roman" w:cstheme="minorHAnsi"/>
            <w:color w:val="000000" w:themeColor="text1"/>
            <w:shd w:val="clear" w:color="auto" w:fill="FFFFFF"/>
            <w:lang w:eastAsia="en-GB"/>
          </w:rPr>
          <w:t>www.jstor.org/stable/10.3366/j.ctvrs90wt.8</w:t>
        </w:r>
      </w:hyperlink>
      <w:r w:rsidRPr="004D7510">
        <w:rPr>
          <w:rFonts w:eastAsia="Times New Roman" w:cstheme="minorHAnsi"/>
          <w:color w:val="000000" w:themeColor="text1"/>
          <w:shd w:val="clear" w:color="auto" w:fill="FFFFFF"/>
          <w:lang w:eastAsia="en-GB"/>
        </w:rPr>
        <w:t xml:space="preserve"> </w:t>
      </w:r>
    </w:p>
    <w:p w14:paraId="09CFE190" w14:textId="03616E4F" w:rsidR="004D7510" w:rsidRPr="004D7510" w:rsidRDefault="004D7510" w:rsidP="004A27EA">
      <w:pPr>
        <w:spacing w:line="276" w:lineRule="auto"/>
        <w:rPr>
          <w:rFonts w:eastAsia="Times New Roman" w:cstheme="minorHAnsi"/>
          <w:lang w:eastAsia="en-GB"/>
        </w:rPr>
      </w:pPr>
    </w:p>
    <w:p w14:paraId="7A97A349" w14:textId="294FDDCE" w:rsidR="009E5F46" w:rsidRDefault="009E5F46" w:rsidP="004A27EA">
      <w:pPr>
        <w:spacing w:line="276" w:lineRule="auto"/>
      </w:pPr>
    </w:p>
    <w:p w14:paraId="24E3DF68" w14:textId="205ABB00" w:rsidR="009519CE" w:rsidRDefault="009519CE" w:rsidP="004A27EA">
      <w:pPr>
        <w:spacing w:line="276" w:lineRule="auto"/>
        <w:rPr>
          <w:rFonts w:eastAsia="Times New Roman" w:cstheme="minorHAnsi"/>
          <w:color w:val="000000" w:themeColor="text1"/>
          <w:shd w:val="clear" w:color="auto" w:fill="FFFFFF"/>
          <w:lang w:eastAsia="en-GB"/>
        </w:rPr>
      </w:pPr>
      <w:r w:rsidRPr="009519CE">
        <w:rPr>
          <w:rFonts w:eastAsia="Times New Roman" w:cstheme="minorHAnsi"/>
          <w:color w:val="000000" w:themeColor="text1"/>
          <w:shd w:val="clear" w:color="auto" w:fill="FFFFFF"/>
          <w:lang w:eastAsia="en-GB"/>
        </w:rPr>
        <w:t>Sherborne, Michael. </w:t>
      </w:r>
      <w:r w:rsidR="004A27EA">
        <w:t>_</w:t>
      </w:r>
      <w:r w:rsidR="004A27EA" w:rsidRPr="004731FF">
        <w:rPr>
          <w:i/>
          <w:iCs/>
        </w:rPr>
        <w:t>Kipps</w:t>
      </w:r>
      <w:r w:rsidR="004A27EA">
        <w:t>_</w:t>
      </w:r>
      <w:r w:rsidR="004A27EA">
        <w:rPr>
          <w:i/>
          <w:iCs/>
        </w:rPr>
        <w:t xml:space="preserve"> </w:t>
      </w:r>
      <w:r w:rsidRPr="009519CE">
        <w:rPr>
          <w:rFonts w:eastAsia="Times New Roman" w:cstheme="minorHAnsi"/>
          <w:i/>
          <w:iCs/>
          <w:color w:val="000000" w:themeColor="text1"/>
          <w:lang w:eastAsia="en-GB"/>
        </w:rPr>
        <w:t xml:space="preserve">H.G. Wells: Another Kind of </w:t>
      </w:r>
      <w:proofErr w:type="spellStart"/>
      <w:r w:rsidRPr="009519CE">
        <w:rPr>
          <w:rFonts w:eastAsia="Times New Roman" w:cstheme="minorHAnsi"/>
          <w:i/>
          <w:iCs/>
          <w:color w:val="000000" w:themeColor="text1"/>
          <w:lang w:eastAsia="en-GB"/>
        </w:rPr>
        <w:t>Life</w:t>
      </w:r>
      <w:r w:rsidR="004A27EA">
        <w:t>_</w:t>
      </w:r>
      <w:r w:rsidR="004A27EA" w:rsidRPr="004731FF">
        <w:rPr>
          <w:i/>
          <w:iCs/>
        </w:rPr>
        <w:t>Kipps</w:t>
      </w:r>
      <w:proofErr w:type="spellEnd"/>
      <w:r w:rsidR="004A27EA">
        <w:t>_</w:t>
      </w:r>
      <w:r w:rsidRPr="009519CE">
        <w:rPr>
          <w:rFonts w:eastAsia="Times New Roman" w:cstheme="minorHAnsi"/>
          <w:color w:val="000000" w:themeColor="text1"/>
          <w:shd w:val="clear" w:color="auto" w:fill="FFFFFF"/>
          <w:lang w:eastAsia="en-GB"/>
        </w:rPr>
        <w:t xml:space="preserve">, Peter Owen Publishers, 2013. ProQuest </w:t>
      </w:r>
      <w:proofErr w:type="spellStart"/>
      <w:r w:rsidR="00A17C2F">
        <w:rPr>
          <w:rFonts w:eastAsia="Times New Roman" w:cstheme="minorHAnsi"/>
          <w:color w:val="000000" w:themeColor="text1"/>
          <w:shd w:val="clear" w:color="auto" w:fill="FFFFFF"/>
          <w:lang w:eastAsia="en-GB"/>
        </w:rPr>
        <w:t>E</w:t>
      </w:r>
      <w:r w:rsidRPr="009519CE">
        <w:rPr>
          <w:rFonts w:eastAsia="Times New Roman" w:cstheme="minorHAnsi"/>
          <w:color w:val="000000" w:themeColor="text1"/>
          <w:shd w:val="clear" w:color="auto" w:fill="FFFFFF"/>
          <w:lang w:eastAsia="en-GB"/>
        </w:rPr>
        <w:t>book</w:t>
      </w:r>
      <w:proofErr w:type="spellEnd"/>
      <w:r w:rsidRPr="009519CE">
        <w:rPr>
          <w:rFonts w:eastAsia="Times New Roman" w:cstheme="minorHAnsi"/>
          <w:color w:val="000000" w:themeColor="text1"/>
          <w:shd w:val="clear" w:color="auto" w:fill="FFFFFF"/>
          <w:lang w:eastAsia="en-GB"/>
        </w:rPr>
        <w:t xml:space="preserve"> Central,</w:t>
      </w:r>
      <w:r>
        <w:rPr>
          <w:rFonts w:eastAsia="Times New Roman" w:cstheme="minorHAnsi"/>
          <w:color w:val="000000" w:themeColor="text1"/>
          <w:shd w:val="clear" w:color="auto" w:fill="FFFFFF"/>
          <w:lang w:eastAsia="en-GB"/>
        </w:rPr>
        <w:t xml:space="preserve"> Accessed 22/06/2020 </w:t>
      </w:r>
      <w:hyperlink r:id="rId12" w:history="1">
        <w:r w:rsidR="00A17C2F" w:rsidRPr="009519CE">
          <w:rPr>
            <w:rStyle w:val="Hyperlink"/>
            <w:rFonts w:eastAsia="Times New Roman" w:cstheme="minorHAnsi"/>
            <w:shd w:val="clear" w:color="auto" w:fill="FFFFFF"/>
            <w:lang w:eastAsia="en-GB"/>
          </w:rPr>
          <w:t>https://ebookcentral.proquest.com/lib/exeter/detail.action?docID=1563999</w:t>
        </w:r>
      </w:hyperlink>
      <w:r>
        <w:rPr>
          <w:rFonts w:eastAsia="Times New Roman" w:cstheme="minorHAnsi"/>
          <w:color w:val="000000" w:themeColor="text1"/>
          <w:shd w:val="clear" w:color="auto" w:fill="FFFFFF"/>
          <w:lang w:eastAsia="en-GB"/>
        </w:rPr>
        <w:t xml:space="preserve"> </w:t>
      </w:r>
    </w:p>
    <w:p w14:paraId="16366271" w14:textId="77777777" w:rsidR="001E61D9" w:rsidRDefault="001E61D9" w:rsidP="004A27EA">
      <w:pPr>
        <w:spacing w:line="276" w:lineRule="auto"/>
        <w:rPr>
          <w:rFonts w:eastAsia="Times New Roman" w:cstheme="minorHAnsi"/>
          <w:color w:val="000000" w:themeColor="text1"/>
          <w:shd w:val="clear" w:color="auto" w:fill="FFFFFF"/>
          <w:lang w:eastAsia="en-GB"/>
        </w:rPr>
      </w:pPr>
    </w:p>
    <w:p w14:paraId="1086C909" w14:textId="77777777" w:rsidR="009E5F46" w:rsidRPr="009519CE" w:rsidRDefault="009E5F46" w:rsidP="004A27EA">
      <w:pPr>
        <w:spacing w:line="276" w:lineRule="auto"/>
        <w:rPr>
          <w:rFonts w:eastAsia="Times New Roman" w:cstheme="minorHAnsi"/>
          <w:color w:val="000000" w:themeColor="text1"/>
          <w:lang w:eastAsia="en-GB"/>
        </w:rPr>
      </w:pPr>
    </w:p>
    <w:p w14:paraId="6F171D52" w14:textId="77777777" w:rsidR="004A4679" w:rsidRPr="009519CE" w:rsidRDefault="004A4679" w:rsidP="004A27EA">
      <w:pPr>
        <w:spacing w:line="276" w:lineRule="auto"/>
        <w:rPr>
          <w:rFonts w:cstheme="minorHAnsi"/>
          <w:color w:val="000000" w:themeColor="text1"/>
        </w:rPr>
      </w:pPr>
    </w:p>
    <w:p w14:paraId="31B51B15" w14:textId="0BDCB260" w:rsidR="00301F10" w:rsidRDefault="00301F10" w:rsidP="004A27EA">
      <w:pPr>
        <w:spacing w:line="276" w:lineRule="auto"/>
      </w:pPr>
    </w:p>
    <w:p w14:paraId="2CB3B3C4" w14:textId="77777777" w:rsidR="00301F10" w:rsidRPr="00DB3349" w:rsidRDefault="00301F10" w:rsidP="004A27EA">
      <w:pPr>
        <w:spacing w:line="276" w:lineRule="auto"/>
      </w:pPr>
    </w:p>
    <w:p w14:paraId="31FA20E4" w14:textId="1B85EDA2" w:rsidR="00134724" w:rsidRDefault="00134724" w:rsidP="004A27EA">
      <w:pPr>
        <w:spacing w:line="276" w:lineRule="auto"/>
      </w:pPr>
    </w:p>
    <w:p w14:paraId="5D77BAEB" w14:textId="77777777" w:rsidR="003D79A1" w:rsidRDefault="003D79A1" w:rsidP="004A27EA">
      <w:pPr>
        <w:spacing w:line="276" w:lineRule="auto"/>
      </w:pPr>
    </w:p>
    <w:p w14:paraId="2B36125D" w14:textId="546B3667" w:rsidR="001E1876" w:rsidRDefault="001E1876" w:rsidP="004A27EA">
      <w:pPr>
        <w:spacing w:line="276" w:lineRule="auto"/>
      </w:pPr>
    </w:p>
    <w:p w14:paraId="3012E53C" w14:textId="77777777" w:rsidR="001E1876" w:rsidRPr="00281D81" w:rsidRDefault="001E1876" w:rsidP="004A27EA">
      <w:pPr>
        <w:spacing w:line="276" w:lineRule="auto"/>
      </w:pPr>
    </w:p>
    <w:sectPr w:rsidR="001E1876" w:rsidRPr="00281D81" w:rsidSect="005E58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21C30" w14:textId="77777777" w:rsidR="00DA5219" w:rsidRDefault="00DA5219" w:rsidP="008151F5">
      <w:r>
        <w:separator/>
      </w:r>
    </w:p>
  </w:endnote>
  <w:endnote w:type="continuationSeparator" w:id="0">
    <w:p w14:paraId="29E75DBB" w14:textId="77777777" w:rsidR="00DA5219" w:rsidRDefault="00DA5219" w:rsidP="0081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C5042" w14:textId="77777777" w:rsidR="00DA5219" w:rsidRDefault="00DA5219" w:rsidP="008151F5">
      <w:r>
        <w:separator/>
      </w:r>
    </w:p>
  </w:footnote>
  <w:footnote w:type="continuationSeparator" w:id="0">
    <w:p w14:paraId="2071BBC0" w14:textId="77777777" w:rsidR="00DA5219" w:rsidRDefault="00DA5219" w:rsidP="008151F5">
      <w:r>
        <w:continuationSeparator/>
      </w:r>
    </w:p>
  </w:footnote>
  <w:footnote w:id="1">
    <w:p w14:paraId="2C0C8B6D" w14:textId="3256A4C4" w:rsidR="006F2E14" w:rsidRPr="006F2E14" w:rsidRDefault="006F2E14">
      <w:pPr>
        <w:pStyle w:val="FootnoteText"/>
      </w:pPr>
      <w:r>
        <w:rPr>
          <w:rStyle w:val="FootnoteReference"/>
        </w:rPr>
        <w:footnoteRef/>
      </w:r>
      <w:r>
        <w:t xml:space="preserve"> Sherborne</w:t>
      </w:r>
      <w:r w:rsidR="004731FF">
        <w:t>,</w:t>
      </w:r>
      <w:r>
        <w:t xml:space="preserve"> 133-1</w:t>
      </w:r>
      <w:r w:rsidR="00D436B1">
        <w:t>54</w:t>
      </w:r>
    </w:p>
  </w:footnote>
  <w:footnote w:id="2">
    <w:p w14:paraId="3912D16E" w14:textId="0A227C2E" w:rsidR="0018118B" w:rsidRDefault="0018118B" w:rsidP="0018118B">
      <w:pPr>
        <w:pStyle w:val="FootnoteText"/>
      </w:pPr>
      <w:r>
        <w:rPr>
          <w:rStyle w:val="FootnoteReference"/>
        </w:rPr>
        <w:footnoteRef/>
      </w:r>
      <w:r>
        <w:t xml:space="preserve"> Roberts</w:t>
      </w:r>
      <w:r w:rsidR="004731FF">
        <w:t xml:space="preserve">, </w:t>
      </w:r>
      <w:r>
        <w:t>135</w:t>
      </w:r>
    </w:p>
  </w:footnote>
  <w:footnote w:id="3">
    <w:p w14:paraId="5B9AC3E9" w14:textId="74B5FBEB" w:rsidR="00BB262F" w:rsidRDefault="00BB262F">
      <w:pPr>
        <w:pStyle w:val="FootnoteText"/>
      </w:pPr>
      <w:r>
        <w:rPr>
          <w:rStyle w:val="FootnoteReference"/>
        </w:rPr>
        <w:footnoteRef/>
      </w:r>
      <w:r>
        <w:t xml:space="preserve"> Sherborne, 143</w:t>
      </w:r>
    </w:p>
  </w:footnote>
  <w:footnote w:id="4">
    <w:p w14:paraId="368B700A" w14:textId="1E560AD3" w:rsidR="00BB262F" w:rsidRDefault="00DB3349">
      <w:pPr>
        <w:pStyle w:val="FootnoteText"/>
      </w:pPr>
      <w:r>
        <w:rPr>
          <w:rStyle w:val="FootnoteReference"/>
        </w:rPr>
        <w:footnoteRef/>
      </w:r>
      <w:r>
        <w:t xml:space="preserve"> Sherborne, 38</w:t>
      </w:r>
    </w:p>
  </w:footnote>
  <w:footnote w:id="5">
    <w:p w14:paraId="775F7316" w14:textId="0366AFC2" w:rsidR="004072A0" w:rsidRDefault="004072A0">
      <w:pPr>
        <w:pStyle w:val="FootnoteText"/>
      </w:pPr>
      <w:r>
        <w:rPr>
          <w:rStyle w:val="FootnoteReference"/>
        </w:rPr>
        <w:footnoteRef/>
      </w:r>
      <w:r>
        <w:t xml:space="preserve"> Sherborne 167</w:t>
      </w:r>
    </w:p>
  </w:footnote>
  <w:footnote w:id="6">
    <w:p w14:paraId="476B7502" w14:textId="3E0CD092" w:rsidR="00806E3F" w:rsidRDefault="00806E3F">
      <w:pPr>
        <w:pStyle w:val="FootnoteText"/>
      </w:pPr>
      <w:r>
        <w:rPr>
          <w:rStyle w:val="FootnoteReference"/>
        </w:rPr>
        <w:footnoteRef/>
      </w:r>
      <w:r>
        <w:t xml:space="preserve"> Sherborne 181</w:t>
      </w:r>
    </w:p>
  </w:footnote>
  <w:footnote w:id="7">
    <w:p w14:paraId="4562C013" w14:textId="25A7FD54" w:rsidR="006E61EF" w:rsidRDefault="006E61EF">
      <w:pPr>
        <w:pStyle w:val="FootnoteText"/>
      </w:pPr>
      <w:r>
        <w:rPr>
          <w:rStyle w:val="FootnoteReference"/>
        </w:rPr>
        <w:footnoteRef/>
      </w:r>
      <w:r>
        <w:t xml:space="preserve"> Scott, 30</w:t>
      </w:r>
    </w:p>
  </w:footnote>
  <w:footnote w:id="8">
    <w:p w14:paraId="067E9025" w14:textId="6E0F8075" w:rsidR="003F40E9" w:rsidRDefault="003F40E9">
      <w:pPr>
        <w:pStyle w:val="FootnoteText"/>
      </w:pPr>
      <w:r>
        <w:rPr>
          <w:rStyle w:val="FootnoteReference"/>
        </w:rPr>
        <w:footnoteRef/>
      </w:r>
      <w:r>
        <w:t xml:space="preserve"> Roberts, 203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5B2"/>
    <w:multiLevelType w:val="hybridMultilevel"/>
    <w:tmpl w:val="6E3AFEBC"/>
    <w:lvl w:ilvl="0" w:tplc="9ABCB9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D5"/>
    <w:rsid w:val="00002E6E"/>
    <w:rsid w:val="000122B0"/>
    <w:rsid w:val="00073E84"/>
    <w:rsid w:val="00083D5B"/>
    <w:rsid w:val="000C0924"/>
    <w:rsid w:val="000C1A01"/>
    <w:rsid w:val="000E4584"/>
    <w:rsid w:val="000F26AA"/>
    <w:rsid w:val="000F694C"/>
    <w:rsid w:val="00134724"/>
    <w:rsid w:val="0017421F"/>
    <w:rsid w:val="0018118B"/>
    <w:rsid w:val="001C581B"/>
    <w:rsid w:val="001E1876"/>
    <w:rsid w:val="001E61D9"/>
    <w:rsid w:val="00214FEA"/>
    <w:rsid w:val="002675E1"/>
    <w:rsid w:val="00281D81"/>
    <w:rsid w:val="002A68B9"/>
    <w:rsid w:val="002C0072"/>
    <w:rsid w:val="002C3202"/>
    <w:rsid w:val="00301F10"/>
    <w:rsid w:val="003725CE"/>
    <w:rsid w:val="003B4984"/>
    <w:rsid w:val="003C1BB0"/>
    <w:rsid w:val="003D79A1"/>
    <w:rsid w:val="003F138D"/>
    <w:rsid w:val="003F40E9"/>
    <w:rsid w:val="004072A0"/>
    <w:rsid w:val="00415063"/>
    <w:rsid w:val="00415CE6"/>
    <w:rsid w:val="004731FF"/>
    <w:rsid w:val="004A2419"/>
    <w:rsid w:val="004A27EA"/>
    <w:rsid w:val="004A4679"/>
    <w:rsid w:val="004D3F08"/>
    <w:rsid w:val="004D7510"/>
    <w:rsid w:val="004E07DF"/>
    <w:rsid w:val="004F178C"/>
    <w:rsid w:val="00547791"/>
    <w:rsid w:val="005717E3"/>
    <w:rsid w:val="00577C29"/>
    <w:rsid w:val="005871F2"/>
    <w:rsid w:val="005E1F09"/>
    <w:rsid w:val="005E585F"/>
    <w:rsid w:val="005E7389"/>
    <w:rsid w:val="00605B33"/>
    <w:rsid w:val="006231C9"/>
    <w:rsid w:val="00656948"/>
    <w:rsid w:val="006740FC"/>
    <w:rsid w:val="006862C2"/>
    <w:rsid w:val="006978E4"/>
    <w:rsid w:val="006B1D9E"/>
    <w:rsid w:val="006B2E28"/>
    <w:rsid w:val="006E61EF"/>
    <w:rsid w:val="006F1635"/>
    <w:rsid w:val="006F2E14"/>
    <w:rsid w:val="007274A6"/>
    <w:rsid w:val="00745496"/>
    <w:rsid w:val="00776688"/>
    <w:rsid w:val="00776FBB"/>
    <w:rsid w:val="00806E3F"/>
    <w:rsid w:val="008151F5"/>
    <w:rsid w:val="00834BB6"/>
    <w:rsid w:val="00846F91"/>
    <w:rsid w:val="0087122C"/>
    <w:rsid w:val="00895AAE"/>
    <w:rsid w:val="00914B68"/>
    <w:rsid w:val="00917603"/>
    <w:rsid w:val="009509FB"/>
    <w:rsid w:val="009519CE"/>
    <w:rsid w:val="00960383"/>
    <w:rsid w:val="00960CCB"/>
    <w:rsid w:val="009E5F46"/>
    <w:rsid w:val="00A00C4D"/>
    <w:rsid w:val="00A15BD3"/>
    <w:rsid w:val="00A17C2F"/>
    <w:rsid w:val="00A44E36"/>
    <w:rsid w:val="00A55764"/>
    <w:rsid w:val="00A77046"/>
    <w:rsid w:val="00A80958"/>
    <w:rsid w:val="00A868D5"/>
    <w:rsid w:val="00A90948"/>
    <w:rsid w:val="00AA0F85"/>
    <w:rsid w:val="00AA57D5"/>
    <w:rsid w:val="00AD7175"/>
    <w:rsid w:val="00AF0A28"/>
    <w:rsid w:val="00B12B9B"/>
    <w:rsid w:val="00B450C8"/>
    <w:rsid w:val="00B60EEA"/>
    <w:rsid w:val="00B6660B"/>
    <w:rsid w:val="00BA7FCA"/>
    <w:rsid w:val="00BB262F"/>
    <w:rsid w:val="00BD0C17"/>
    <w:rsid w:val="00C33ED7"/>
    <w:rsid w:val="00C33FCD"/>
    <w:rsid w:val="00CD3ED4"/>
    <w:rsid w:val="00D31325"/>
    <w:rsid w:val="00D436B1"/>
    <w:rsid w:val="00D84E05"/>
    <w:rsid w:val="00DA5219"/>
    <w:rsid w:val="00DB3349"/>
    <w:rsid w:val="00DB7815"/>
    <w:rsid w:val="00DC7D79"/>
    <w:rsid w:val="00DD3385"/>
    <w:rsid w:val="00E04733"/>
    <w:rsid w:val="00E40966"/>
    <w:rsid w:val="00E52DA2"/>
    <w:rsid w:val="00E818A7"/>
    <w:rsid w:val="00EB6295"/>
    <w:rsid w:val="00ED1FE3"/>
    <w:rsid w:val="00ED6C4F"/>
    <w:rsid w:val="00EE7980"/>
    <w:rsid w:val="00EE7D9B"/>
    <w:rsid w:val="00F052C5"/>
    <w:rsid w:val="00F141D1"/>
    <w:rsid w:val="00F31242"/>
    <w:rsid w:val="00F325F5"/>
    <w:rsid w:val="00F36F17"/>
    <w:rsid w:val="00F70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6A98"/>
  <w15:chartTrackingRefBased/>
  <w15:docId w15:val="{DA78D70F-EBC6-6F4C-8F59-A1F66141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DF"/>
    <w:pPr>
      <w:ind w:left="720"/>
      <w:contextualSpacing/>
    </w:pPr>
  </w:style>
  <w:style w:type="paragraph" w:styleId="FootnoteText">
    <w:name w:val="footnote text"/>
    <w:basedOn w:val="Normal"/>
    <w:link w:val="FootnoteTextChar"/>
    <w:uiPriority w:val="99"/>
    <w:semiHidden/>
    <w:unhideWhenUsed/>
    <w:rsid w:val="008151F5"/>
    <w:rPr>
      <w:sz w:val="20"/>
      <w:szCs w:val="20"/>
    </w:rPr>
  </w:style>
  <w:style w:type="character" w:customStyle="1" w:styleId="FootnoteTextChar">
    <w:name w:val="Footnote Text Char"/>
    <w:basedOn w:val="DefaultParagraphFont"/>
    <w:link w:val="FootnoteText"/>
    <w:uiPriority w:val="99"/>
    <w:semiHidden/>
    <w:rsid w:val="008151F5"/>
    <w:rPr>
      <w:sz w:val="20"/>
      <w:szCs w:val="20"/>
    </w:rPr>
  </w:style>
  <w:style w:type="character" w:styleId="FootnoteReference">
    <w:name w:val="footnote reference"/>
    <w:basedOn w:val="DefaultParagraphFont"/>
    <w:uiPriority w:val="99"/>
    <w:semiHidden/>
    <w:unhideWhenUsed/>
    <w:rsid w:val="008151F5"/>
    <w:rPr>
      <w:vertAlign w:val="superscript"/>
    </w:rPr>
  </w:style>
  <w:style w:type="character" w:styleId="Hyperlink">
    <w:name w:val="Hyperlink"/>
    <w:basedOn w:val="DefaultParagraphFont"/>
    <w:uiPriority w:val="99"/>
    <w:unhideWhenUsed/>
    <w:rsid w:val="009519CE"/>
    <w:rPr>
      <w:color w:val="0563C1" w:themeColor="hyperlink"/>
      <w:u w:val="single"/>
    </w:rPr>
  </w:style>
  <w:style w:type="character" w:styleId="UnresolvedMention">
    <w:name w:val="Unresolved Mention"/>
    <w:basedOn w:val="DefaultParagraphFont"/>
    <w:uiPriority w:val="99"/>
    <w:semiHidden/>
    <w:unhideWhenUsed/>
    <w:rsid w:val="009519CE"/>
    <w:rPr>
      <w:color w:val="605E5C"/>
      <w:shd w:val="clear" w:color="auto" w:fill="E1DFDD"/>
    </w:rPr>
  </w:style>
  <w:style w:type="character" w:styleId="FollowedHyperlink">
    <w:name w:val="FollowedHyperlink"/>
    <w:basedOn w:val="DefaultParagraphFont"/>
    <w:uiPriority w:val="99"/>
    <w:semiHidden/>
    <w:unhideWhenUsed/>
    <w:rsid w:val="009E5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5124">
      <w:bodyDiv w:val="1"/>
      <w:marLeft w:val="0"/>
      <w:marRight w:val="0"/>
      <w:marTop w:val="0"/>
      <w:marBottom w:val="0"/>
      <w:divBdr>
        <w:top w:val="none" w:sz="0" w:space="0" w:color="auto"/>
        <w:left w:val="none" w:sz="0" w:space="0" w:color="auto"/>
        <w:bottom w:val="none" w:sz="0" w:space="0" w:color="auto"/>
        <w:right w:val="none" w:sz="0" w:space="0" w:color="auto"/>
      </w:divBdr>
    </w:div>
    <w:div w:id="913974717">
      <w:bodyDiv w:val="1"/>
      <w:marLeft w:val="0"/>
      <w:marRight w:val="0"/>
      <w:marTop w:val="0"/>
      <w:marBottom w:val="0"/>
      <w:divBdr>
        <w:top w:val="none" w:sz="0" w:space="0" w:color="auto"/>
        <w:left w:val="none" w:sz="0" w:space="0" w:color="auto"/>
        <w:bottom w:val="none" w:sz="0" w:space="0" w:color="auto"/>
        <w:right w:val="none" w:sz="0" w:space="0" w:color="auto"/>
      </w:divBdr>
    </w:div>
    <w:div w:id="1002591143">
      <w:bodyDiv w:val="1"/>
      <w:marLeft w:val="0"/>
      <w:marRight w:val="0"/>
      <w:marTop w:val="0"/>
      <w:marBottom w:val="0"/>
      <w:divBdr>
        <w:top w:val="none" w:sz="0" w:space="0" w:color="auto"/>
        <w:left w:val="none" w:sz="0" w:space="0" w:color="auto"/>
        <w:bottom w:val="none" w:sz="0" w:space="0" w:color="auto"/>
        <w:right w:val="none" w:sz="0" w:space="0" w:color="auto"/>
      </w:divBdr>
    </w:div>
    <w:div w:id="1045564966">
      <w:bodyDiv w:val="1"/>
      <w:marLeft w:val="0"/>
      <w:marRight w:val="0"/>
      <w:marTop w:val="0"/>
      <w:marBottom w:val="0"/>
      <w:divBdr>
        <w:top w:val="none" w:sz="0" w:space="0" w:color="auto"/>
        <w:left w:val="none" w:sz="0" w:space="0" w:color="auto"/>
        <w:bottom w:val="none" w:sz="0" w:space="0" w:color="auto"/>
        <w:right w:val="none" w:sz="0" w:space="0" w:color="auto"/>
      </w:divBdr>
    </w:div>
    <w:div w:id="1621452476">
      <w:bodyDiv w:val="1"/>
      <w:marLeft w:val="0"/>
      <w:marRight w:val="0"/>
      <w:marTop w:val="0"/>
      <w:marBottom w:val="0"/>
      <w:divBdr>
        <w:top w:val="none" w:sz="0" w:space="0" w:color="auto"/>
        <w:left w:val="none" w:sz="0" w:space="0" w:color="auto"/>
        <w:bottom w:val="none" w:sz="0" w:space="0" w:color="auto"/>
        <w:right w:val="none" w:sz="0" w:space="0" w:color="auto"/>
      </w:divBdr>
    </w:div>
    <w:div w:id="1778985841">
      <w:bodyDiv w:val="1"/>
      <w:marLeft w:val="0"/>
      <w:marRight w:val="0"/>
      <w:marTop w:val="0"/>
      <w:marBottom w:val="0"/>
      <w:divBdr>
        <w:top w:val="none" w:sz="0" w:space="0" w:color="auto"/>
        <w:left w:val="none" w:sz="0" w:space="0" w:color="auto"/>
        <w:bottom w:val="none" w:sz="0" w:space="0" w:color="auto"/>
        <w:right w:val="none" w:sz="0" w:space="0" w:color="auto"/>
      </w:divBdr>
    </w:div>
    <w:div w:id="17898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ookcentral.proquest.com/lib/exeter/detail.action?docID=1563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10.3366/j.ctvrs90wt.8" TargetMode="External"/><Relationship Id="rId5" Type="http://schemas.openxmlformats.org/officeDocument/2006/relationships/webSettings" Target="webSettings.xml"/><Relationship Id="rId10" Type="http://schemas.openxmlformats.org/officeDocument/2006/relationships/hyperlink" Target="https://link.springer.com/book/10.1007%2F978-3-030-26421-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5DA8DF-E33D-F84C-8B5E-4580B0A5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Blandford, Simone</dc:creator>
  <cp:keywords/>
  <dc:description/>
  <cp:lastModifiedBy>PAUL CAMPBELL</cp:lastModifiedBy>
  <cp:revision>2</cp:revision>
  <cp:lastPrinted>2020-06-22T11:31:00Z</cp:lastPrinted>
  <dcterms:created xsi:type="dcterms:W3CDTF">2020-06-22T18:02:00Z</dcterms:created>
  <dcterms:modified xsi:type="dcterms:W3CDTF">2020-06-22T18:02:00Z</dcterms:modified>
</cp:coreProperties>
</file>